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3864"/>
          <w:sz w:val="40"/>
          <w:szCs w:val="40"/>
        </w:rPr>
        <w:t xml:space="preserve">Quantitative Analysis for Mitigation of Multi-Stage Supply Chain Attacks during Routine Automated Workflows in CI/CD Pipelines</w:t>
      </w:r>
    </w:p>
    <w:p>
      <w:pPr>
        <w:spacing w:after="80"/>
        <w:jc w:val="center"/>
      </w:pPr>
      <w:r>
        <w:rPr>
          <w:color w:val="44546A"/>
          <w:sz w:val="28"/>
          <w:szCs w:val="28"/>
        </w:rPr>
        <w:t xml:space="preserve">Validation &amp; Results — Trivy / “TeamPCP” Incident Reconstruction</w:t>
      </w:r>
    </w:p>
    <w:p>
      <w:pPr>
        <w:spacing w:after="60"/>
        <w:jc w:val="center"/>
      </w:pPr>
      <w:r>
        <w:rPr>
          <w:i/>
          <w:iCs/>
          <w:color w:val="44546A"/>
          <w:sz w:val="22"/>
          <w:szCs w:val="22"/>
        </w:rPr>
        <w:t xml:space="preserve">Formally verified with TLC (TLA+) and PRISM; mitigation search via ASI-Evolve</w:t>
      </w:r>
    </w:p>
    <w:p>
      <w:pPr>
        <w:spacing w:after="2400"/>
        <w:jc w:val="center"/>
      </w:pPr>
      <w:r>
        <w:rPr>
          <w:color w:val="808080"/>
          <w:sz w:val="22"/>
          <w:szCs w:val="22"/>
        </w:rPr>
        <w:t xml:space="preserve">June 24,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1. Overview</w:t>
      </w:r>
      <w:r>
        <w:rPr>
          <w:color w:val="44546A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2. Methodology</w:t>
      </w:r>
      <w:r>
        <w:rPr>
          <w:color w:val="44546A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3. Layer 1 — Structural Faithfulness (corpus analysis)</w:t>
      </w:r>
      <w:r>
        <w:rPr>
          <w:color w:val="44546A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3.1 Headline calibration parameter</w:t>
      </w:r>
      <w:r>
        <w:rPr>
          <w:color w:val="44546A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3.2 Compromise-relevant frequencies</w:t>
      </w:r>
      <w:r>
        <w:rPr>
          <w:color w:val="44546A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3.3 Construct coverage</w:t>
      </w:r>
      <w:r>
        <w:rPr>
          <w:color w:val="44546A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4. Layer 2 — Incident Reconstruction (TLA+ / TLC)</w:t>
      </w:r>
      <w:r>
        <w:rPr>
          <w:color w:val="44546A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4.1 Combined mitigation / validation table</w:t>
      </w:r>
      <w:r>
        <w:rPr>
          <w:color w:val="44546A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4.2 Adversary counterexample vs documented dossier trace</w:t>
      </w:r>
      <w:r>
        <w:rPr>
          <w:color w:val="44546A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4.3 Evidence table (pre-attack state → dossier source)</w:t>
      </w:r>
      <w:r>
        <w:rPr>
          <w:color w:val="44546A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4.4 Isolation between pipelines</w:t>
      </w:r>
      <w:r>
        <w:rPr>
          <w:color w:val="44546A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4.5 Refinement relation and residual attack surface</w:t>
      </w:r>
      <w:r>
        <w:rPr>
          <w:color w:val="44546A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5. Layer 3 — Predictive Calibration (PRISM MDP)</w:t>
      </w:r>
      <w:r>
        <w:rPr>
          <w:color w:val="44546A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5.1 Quantitative mitigation table (p = 0.2/day, horizon T = 30 days)</w:t>
      </w:r>
      <w:r>
        <w:rPr>
          <w:color w:val="44546A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5.2 Propagation — compromised fraction equals the corpus tag-fraction f</w:t>
      </w:r>
      <w:r>
        <w:rPr>
          <w:color w:val="44546A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5.3 Sensitivity — expected days-to-compromise vs build cadence p (10× range)</w:t>
      </w:r>
      <w:r>
        <w:rPr>
          <w:color w:val="44546A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5.4 Multi-stage propagation (stage 1 to stage 2)</w:t>
      </w:r>
      <w:r>
        <w:rPr>
          <w:color w:val="44546A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5.5 Parametric model checking</w:t>
      </w:r>
      <w:r>
        <w:rPr>
          <w:color w:val="44546A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6. Mitigation Discovery (ASI-Evolve over the verified model)</w:t>
      </w:r>
      <w:r>
        <w:rPr>
          <w:color w:val="44546A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7. Validation Section</w:t>
      </w:r>
      <w:r>
        <w:rPr>
          <w:color w:val="44546A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7.1 Corpus coverage</w:t>
      </w:r>
      <w:r>
        <w:rPr>
          <w:color w:val="44546A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7.2 Incident reconstruction</w:t>
      </w:r>
      <w:r>
        <w:rPr>
          <w:color w:val="44546A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7.3 Calibration</w:t>
      </w:r>
      <w:r>
        <w:rPr>
          <w:color w:val="44546A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7.4 Sensitivity</w:t>
      </w:r>
      <w:r>
        <w:rPr>
          <w:color w:val="44546A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7.5 Threats to validity</w:t>
      </w:r>
      <w:r>
        <w:rPr>
          <w:color w:val="44546A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8. Reproducibility</w:t>
      </w:r>
      <w:r>
        <w:rPr>
          <w:color w:val="44546A"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9. Caveats &amp; Limitations</w:t>
      </w:r>
      <w:r>
        <w:rPr>
          <w:color w:val="44546A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9.1 Calibration and data</w:t>
      </w:r>
      <w:r>
        <w:rPr>
          <w:color w:val="44546A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9.2 Modeling abstractions</w:t>
      </w:r>
      <w:r>
        <w:rPr>
          <w:color w:val="44546A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9.3 Tooling and methodology</w:t>
      </w:r>
      <w:r>
        <w:rPr>
          <w:color w:val="44546A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after="24"/>
        <w:ind w:left="360"/>
      </w:pPr>
      <w:r>
        <w:rPr>
          <w:b w:val="false"/>
          <w:bCs w:val="false"/>
          <w:color w:val="44546A"/>
          <w:sz w:val="20"/>
          <w:szCs w:val="20"/>
        </w:rPr>
        <w:t xml:space="preserve">9.4 Reproducibility and environment</w:t>
      </w:r>
      <w:r>
        <w:rPr>
          <w:color w:val="44546A"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24"/>
        <w:ind w:left="0"/>
      </w:pPr>
      <w:r>
        <w:rPr>
          <w:b/>
          <w:bCs/>
          <w:color w:val="1F3864"/>
          <w:sz w:val="20"/>
          <w:szCs w:val="20"/>
        </w:rPr>
        <w:t xml:space="preserve">10. References (dossier)</w:t>
      </w:r>
      <w:r>
        <w:rPr>
          <w:color w:val="44546A"/>
          <w:sz w:val="20"/>
          <w:szCs w:val="20"/>
        </w:rPr>
        <w:t xml:space="preserve">	11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document reports the validation results for a formal-methods analysis of the March 2026 Trivy / “TeamPCP” GitHub Action supply-chain attack (CVE-2026-33634). The analysis establishes, with exhaustive model checking rather than simulation, (a) that the documented attack is reachable from the disclosed pre-attack state, and (b) which mitigations provably close it. The work is organized as the paper’s three validation layers, each built and executed: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Layer 1 — Structural faithfulness: </w:t>
      </w:r>
      <w:r>
        <w:t xml:space="preserve">static corpus analysis of real GitHub Actions workflows, measuring the frequencies the model relies on (headline: the floating-tag fraction 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Layer 2 — Incident reconstruction: </w:t>
      </w:r>
      <w:r>
        <w:t xml:space="preserve">a TLA+ model checked with TLC, reproducing the documented attack and discriminating complete from partial mitigation.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Layer 3 — Predictive calibration: </w:t>
      </w:r>
      <w:r>
        <w:t xml:space="preserve">a PRISM Markov Decision Process computing exact compromise probabilities, expected time-to-compromise, and propagation rates.</w:t>
      </w:r>
    </w:p>
    <w:p>
      <w:pPr>
        <w:spacing w:after="120"/>
      </w:pPr>
      <w:r>
        <w:rPr>
          <w:b/>
          <w:bCs/>
        </w:rPr>
        <w:t xml:space="preserve">Tooling note. </w:t>
      </w:r>
      <w:r>
        <w:t xml:space="preserve">The paper outlines Storm for the probabilistic layer; PRISM is used here (identical MDP/PCTL semantics) because Storm has no native Windows build. ASI-Evolve is used for its actual purpose — autonomous optimization — to search the mitigation space against the verified model as ground truth; it is not itself a verifier.</w:t>
      </w:r>
    </w:p>
    <w:p>
      <w:pPr>
        <w:pStyle w:val="Heading1"/>
      </w:pPr>
      <w:r>
        <w:t xml:space="preserve">2. Methodology</w:t>
      </w:r>
    </w:p>
    <w:p>
      <w:pPr>
        <w:spacing w:after="120"/>
      </w:pPr>
      <w:r>
        <w:t xml:space="preserve">Formal methods analyze all potential system behaviors rather than simulation samples. We define the automated workflow as a labeled transition system, prove multi-stage reachability properties with TLA+/TLC, and express the same dynamics as an MDP in PRISM to compute exact compromise probabilities under different mitigations. We formalize the distinction between a vulnerable and a hardened workflow and establish, per configuration, whether the safety property holds, thereby quantifying the residual attack surface.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50"/>
        <w:gridCol w:w="2200"/>
        <w:gridCol w:w="3510"/>
      </w:tblGrid>
      <w:tr>
        <w:trPr>
          <w:tblHeader/>
        </w:trPr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5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1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answered</w:t>
            </w:r>
          </w:p>
        </w:tc>
      </w:tr>
      <w:tr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5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corpus_analysis.py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/ PyYAML</w:t>
            </w:r>
          </w:p>
        </w:tc>
        <w:tc>
          <w:tcPr>
            <w:tcW w:type="dxa" w:w="351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Does the model capture what real workflows do?</w:t>
            </w:r>
          </w:p>
        </w:tc>
      </w:tr>
      <w:tr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5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TrivySupplyChain.tla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TLC 2.19 (TLA+)</w:t>
            </w:r>
          </w:p>
        </w:tc>
        <w:tc>
          <w:tcPr>
            <w:tcW w:type="dxa" w:w="351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 the attack reachable? Which mitigations close it?</w:t>
            </w:r>
          </w:p>
        </w:tc>
      </w:tr>
      <w:tr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5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trivy_mdp.prism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PRISM 4.10.1</w:t>
            </w:r>
          </w:p>
        </w:tc>
        <w:tc>
          <w:tcPr>
            <w:tcW w:type="dxa" w:w="351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With what probability, how fast, how far does it spread?</w:t>
            </w:r>
          </w:p>
        </w:tc>
      </w:tr>
      <w:tr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275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evaluate.py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ASI-Evolve + PRISM</w:t>
            </w:r>
          </w:p>
        </w:tc>
        <w:tc>
          <w:tcPr>
            <w:tcW w:type="dxa" w:w="351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is the minimal-cost provably-safe policy?</w:t>
            </w:r>
          </w:p>
        </w:tc>
      </w:tr>
    </w:tbl>
    <w:p>
      <w:pPr>
        <w:pStyle w:val="Heading1"/>
      </w:pPr>
      <w:r>
        <w:t xml:space="preserve">3. Layer 1 — Structural Faithfulness (corpus analysis)</w:t>
      </w:r>
    </w:p>
    <w:p>
      <w:pPr>
        <w:spacing w:after="120"/>
      </w:pPr>
      <w:r>
        <w:t xml:space="preserve">A static analyzer extracts, from each real workflow, the features the model claims to represent: trigger events, permission scopes, secret usage, action-version pinning (SHA vs floating tag), runner types, job dependencies, and artifact flows. Sample corpus: 189 workflow files from 18 major open-source projects (0 parse errors).</w:t>
      </w:r>
    </w:p>
    <w:p>
      <w:pPr>
        <w:pStyle w:val="Heading2"/>
      </w:pPr>
      <w:r>
        <w:t xml:space="preserve">3.1 Headline calibration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Measured value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(resolvable) action references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1,517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SHA-pinned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956  (63.0%)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Floating tag / branch (unpinned)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561  (37.0%)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Floating-tag fraction  f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0.3698</w:t>
            </w:r>
          </w:p>
        </w:tc>
      </w:tr>
    </w:tbl>
    <w:p>
      <w:pPr>
        <w:spacing w:after="120"/>
      </w:pPr>
      <w:r>
        <w:rPr>
          <w:b/>
          <w:bCs/>
        </w:rPr>
        <w:t xml:space="preserve">This f is the empirical basis for the model’s pinning assumption. </w:t>
      </w:r>
      <w:r>
        <w:t xml:space="preserve">Feeding the measured f = 0.3698 into the Layer 3 propagation model yields a predicted downstream-compromise fraction of 0.3698 (≈37%). The Layer 2 safety proof instead uses the worst case f = 1 (universal floating tags), the conservative bound appropriate for a safety claim.</w:t>
      </w:r>
    </w:p>
    <w:p>
      <w:pPr>
        <w:pStyle w:val="Heading2"/>
      </w:pPr>
      <w:r>
        <w:t xml:space="preserve">3.2 Compromise-relevant frequencies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Observed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pull_request_target (privileged-context trigger)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11.6% of workflows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workflow_run trigger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3.7%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self-hosted runner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14.8%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references repository secrets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50.3%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permissions: least-privilege (none / granular-read)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 / 55 workflows</w:t>
            </w:r>
          </w:p>
        </w:tc>
      </w:tr>
      <w:tr>
        <w:tc>
          <w:tcPr>
            <w:tcW w:type="dxa" w:w="6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permissions: granular-write / unspecified / read-all</w:t>
            </w:r>
          </w:p>
        </w:tc>
        <w:tc>
          <w:tcPr>
            <w:tcW w:type="dxa" w:w="3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 / 49 / 1 workflows</w:t>
            </w:r>
          </w:p>
        </w:tc>
      </w:tr>
    </w:tbl>
    <w:p>
      <w:pPr>
        <w:pStyle w:val="Heading2"/>
      </w:pPr>
      <w:r>
        <w:t xml:space="preserve">3.3 Construct coverage</w:t>
      </w:r>
    </w:p>
    <w:p>
      <w:pPr>
        <w:spacing w:after="120"/>
      </w:pPr>
      <w:r>
        <w:rPr>
          <w:b/>
          <w:bCs/>
        </w:rPr>
        <w:t xml:space="preserve">88.2% </w:t>
      </w:r>
      <w:r>
        <w:t xml:space="preserve">of observed compromise-relevant construct-instances fall within the modeled set (external action use, SHA-vs-tag resolution, secrets in environment, trigger→run, runner execution). The remaining 11.8% are constructs the model abstracts and argues are independent of the tag-mutation→exfiltration property: matrix strategies (23.8% of workflows), artifact flows (27.0%), and reusable-workflow calls (9.0%).</w:t>
      </w:r>
    </w:p>
    <w:p>
      <w:pPr>
        <w:spacing w:after="120"/>
      </w:pPr>
      <w:r>
        <w:rPr>
          <w:i/>
          <w:iCs/>
        </w:rPr>
        <w:t xml:space="preserve">Coverage statement. </w:t>
      </w:r>
      <w:r>
        <w:rPr>
          <w:i/>
          <w:iCs/>
        </w:rPr>
        <w:t xml:space="preserve">“Our model captures 88.2% of the compromise-relevant constructs observed in the corpus; the remaining 11.8% consist of matrix strategies, artifact flows, and reusable-workflow nesting, which are independent of the tag-mutation reachability property under study.”</w:t>
      </w:r>
    </w:p>
    <w:p>
      <w:pPr>
        <w:pStyle w:val="Heading1"/>
      </w:pPr>
      <w:r>
        <w:t xml:space="preserve">4. Layer 2 — Incident Reconstruction (TLA+ / TLC)</w:t>
      </w:r>
    </w:p>
    <w:p>
      <w:pPr>
        <w:spacing w:after="120"/>
      </w:pPr>
      <w:r>
        <w:t xml:space="preserve">The TLA+ model encodes the disclosed pre-attack state and two independent mitigation knobs. Each row of the table below is a separate TLC run with a different initial state; the table is the validation.</w:t>
      </w:r>
    </w:p>
    <w:p>
      <w:pPr>
        <w:pStyle w:val="Heading2"/>
      </w:pPr>
      <w:r>
        <w:t xml:space="preserve">4.1 Combined mitigation / validation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700"/>
        <w:gridCol w:w="1700"/>
        <w:gridCol w:w="2600"/>
      </w:tblGrid>
      <w:tr>
        <w:trPr>
          <w:tblHeader/>
        </w:trP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NoExfiltration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Residual access</w:t>
            </w:r>
          </w:p>
        </w:tc>
        <w:tc>
          <w:tcPr>
            <w:tcW w:type="dxa" w:w="26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Matches reality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Tag refs + valid stolen cred (pre-March actual)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FAILS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triggered</w:t>
            </w:r>
          </w:p>
        </w:tc>
        <w:tc>
          <w:tcPr>
            <w:tcW w:type="dxa" w:w="26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attack occurred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Tag refs + complete rotation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holds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triggered</w:t>
            </w:r>
          </w:p>
        </w:tc>
        <w:tc>
          <w:tcPr>
            <w:tcW w:type="dxa" w:w="26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attack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 pins + valid stolen cred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holds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triggered</w:t>
            </w:r>
          </w:p>
        </w:tc>
        <w:tc>
          <w:tcPr>
            <w:tcW w:type="dxa" w:w="26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Protects even with residual cred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 pins + complete rotation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holds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triggered</w:t>
            </w:r>
          </w:p>
        </w:tc>
        <w:tc>
          <w:tcPr>
            <w:tcW w:type="dxa" w:w="26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defense</w:t>
            </w:r>
          </w:p>
        </w:tc>
      </w:tr>
    </w:tbl>
    <w:p>
      <w:pPr>
        <w:spacing w:after="120"/>
      </w:pPr>
      <w:r>
        <w:rPr>
          <w:b/>
          <w:bCs/>
        </w:rPr>
        <w:t xml:space="preserve">Load-bearing result: </w:t>
      </w:r>
      <w:r>
        <w:t xml:space="preserve">the model distinguishes complete credential rotation (safe) from the partial rotation that actually happened (still exploited) — i.e., it formally reproduces the documented incident causation. Independently, universal SHA-pinning closes the path even while the stolen credential remains valid (TLC explores all 1,024 tag-mutation states; none reach execution).</w:t>
      </w:r>
    </w:p>
    <w:p>
      <w:pPr>
        <w:pStyle w:val="Heading2"/>
      </w:pPr>
      <w:r>
        <w:t xml:space="preserve">4.2 Adversary counterexample vs documented dossier trace</w:t>
      </w:r>
    </w:p>
    <w:p>
      <w:pPr>
        <w:spacing w:after="120"/>
      </w:pPr>
      <w:r>
        <w:t xml:space="preserve">On the vulnerable configuration, TLC returns the documented attack as the shortest counterexample (3 states). A scripted trace check independently confirms the path is reachable from Init (search depth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Documented (dossier)</w:t>
            </w:r>
          </w:p>
        </w:tc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TLC counterexample</w:t>
            </w:r>
          </w:p>
        </w:tc>
      </w:tr>
      <w:tr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Attacker holds Aqua service account</w:t>
            </w:r>
          </w:p>
        </w:tc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[Init] (attacker starts with credential)</w:t>
            </w:r>
          </w:p>
        </w:tc>
      </w:tr>
      <w:tr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Force-push tags to malicious commits</w:t>
            </w:r>
          </w:p>
        </w:tc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ForcePushTag(trivy_action, tg1, c_malicious)</w:t>
            </w:r>
          </w:p>
        </w:tc>
      </w:tr>
      <w:tr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Victim pipeline executes on next run</w:t>
            </w:r>
          </w:p>
        </w:tc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RunnerExecute(v1, trivy_action, tg1)</w:t>
            </w:r>
          </w:p>
        </w:tc>
      </w:tr>
      <w:tr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Exfiltration to attacker C2</w:t>
            </w:r>
          </w:p>
        </w:tc>
        <w:tc>
          <w:tcPr>
            <w:tcW w:type="dxa" w:w="468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attackerKnowledge′ = victimSecrets[v1]</w:t>
            </w:r>
          </w:p>
        </w:tc>
      </w:tr>
    </w:tbl>
    <w:p>
      <w:pPr>
        <w:pStyle w:val="Heading2"/>
      </w:pPr>
      <w:r>
        <w:t xml:space="preserve">4.3 Evidence table (pre-attack state → dossier source)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60"/>
        <w:gridCol w:w="2100"/>
      </w:tblGrid>
      <w:tr>
        <w:trPr>
          <w:tblHeader/>
        </w:trPr>
        <w:tc>
          <w:tcPr>
            <w:tcW w:type="dxa" w:w="2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 element</w:t>
            </w:r>
          </w:p>
        </w:tc>
        <w:tc>
          <w:tcPr>
            <w:tcW w:type="dxa" w:w="4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Dossier claim</w:t>
            </w:r>
          </w:p>
        </w:tc>
        <w:tc>
          <w:tcPr>
            <w:tcW w:type="dxa" w:w="21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ForcePushTag repoints tags</w:t>
            </w:r>
          </w:p>
        </w:tc>
        <w:tc>
          <w:tcPr>
            <w:tcW w:type="dxa" w:w="4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76/77 tags on trivy-action, 7/7 on setup-trivy force-pushed</w:t>
            </w:r>
          </w:p>
        </w:tc>
        <w:tc>
          <w:tcPr>
            <w:tcW w:type="dxa" w:w="21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Aqua; Microsoft</w:t>
            </w:r>
          </w:p>
        </w:tc>
      </w:tr>
      <w:tr>
        <w:tc>
          <w:tcPr>
            <w:tcW w:type="dxa" w:w="2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AquaServiceAcct valid + held</w:t>
            </w:r>
          </w:p>
        </w:tc>
        <w:tc>
          <w:tcPr>
            <w:tcW w:type="dxa" w:w="4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Residual Feb service-account credential left valid</w:t>
            </w:r>
          </w:p>
        </w:tc>
        <w:tc>
          <w:tcPr>
            <w:tcW w:type="dxa" w:w="21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Endor Labs</w:t>
            </w:r>
          </w:p>
        </w:tc>
      </w:tr>
      <w:tr>
        <w:tc>
          <w:tcPr>
            <w:tcW w:type="dxa" w:w="2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victimSecrets exfiltrated</w:t>
            </w:r>
          </w:p>
        </w:tc>
        <w:tc>
          <w:tcPr>
            <w:tcW w:type="dxa" w:w="4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creds, SSH keys, K8s configs, CI secrets in runner env</w:t>
            </w:r>
          </w:p>
        </w:tc>
        <w:tc>
          <w:tcPr>
            <w:tcW w:type="dxa" w:w="21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Wiz; Endor Labs</w:t>
            </w:r>
          </w:p>
        </w:tc>
      </w:tr>
      <w:tr>
        <w:tc>
          <w:tcPr>
            <w:tcW w:type="dxa" w:w="2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RunnerExecute → attackerKnowledge</w:t>
            </w:r>
          </w:p>
        </w:tc>
        <w:tc>
          <w:tcPr>
            <w:tcW w:type="dxa" w:w="4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Payload reads runner env, exfiltrates to C2</w:t>
            </w:r>
          </w:p>
        </w:tc>
        <w:tc>
          <w:tcPr>
            <w:tcW w:type="dxa" w:w="21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ReversingLabs; Wiz; IOCs</w:t>
            </w:r>
          </w:p>
        </w:tc>
      </w:tr>
      <w:tr>
        <w:tc>
          <w:tcPr>
            <w:tcW w:type="dxa" w:w="2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v1..v5 anonymous victim orgs (Mercor = cascade evidence)</w:t>
            </w:r>
          </w:p>
        </w:tc>
        <w:tc>
          <w:tcPr>
            <w:tcW w:type="dxa" w:w="4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Mercor, the first publicly named victim, attributes its breach to the follow-on LiteLLM compromise (stage 2), evidencing the multi-stage cascade</w:t>
            </w:r>
          </w:p>
        </w:tc>
        <w:tc>
          <w:tcPr>
            <w:tcW w:type="dxa" w:w="21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Mercor disclosure (2026-03-31)</w:t>
            </w:r>
          </w:p>
        </w:tc>
      </w:tr>
      <w:tr>
        <w:tc>
          <w:tcPr>
            <w:tcW w:type="dxa" w:w="2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stolen npm tokens → stage 2</w:t>
            </w:r>
          </w:p>
        </w:tc>
        <w:tc>
          <w:tcPr>
            <w:tcW w:type="dxa" w:w="4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CanisterWorm on npm</w:t>
            </w:r>
          </w:p>
        </w:tc>
        <w:tc>
          <w:tcPr>
            <w:tcW w:type="dxa" w:w="21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Palo Alto Unit 42</w:t>
            </w:r>
          </w:p>
        </w:tc>
      </w:tr>
    </w:tbl>
    <w:p>
      <w:pPr>
        <w:pStyle w:val="Heading2"/>
      </w:pPr>
      <w:r>
        <w:t xml:space="preserve">4.4 Isolation between pipelines</w:t>
      </w:r>
    </w:p>
    <w:p>
      <w:pPr>
        <w:spacing w:after="120"/>
      </w:pPr>
      <w:r>
        <w:t xml:space="preserve">Generalizing the SHA-pin knob to a set lets us check a MIXED population: v1 and v2 pin by SHA; v3-v5 use floating tags; the stolen credential is still valid. The Isolation invariant -- no SHA-pinned victim's secret is ever exfiltrated -- HOLDS across all 8,185 reachable states, even though the attack simultaneously succeeds against the tag-pinned victims. SHA-pinning therefore ISOLATES a pipeline from the blast radius of its unpinned neighbours.</w:t>
      </w:r>
    </w:p>
    <w:p>
      <w:pPr>
        <w:pStyle w:val="Heading2"/>
      </w:pPr>
      <w:r>
        <w:t xml:space="preserve">4.5 Refinement relation and residual attack surface</w:t>
      </w:r>
    </w:p>
    <w:p>
      <w:pPr>
        <w:spacing w:after="120"/>
      </w:pPr>
      <w:r>
        <w:t xml:space="preserve">An abstract SecureWorkflow spec exposes a single bit, leaked, that never becomes true. Under the mapping leaked := (a victim secret reaches the attacker), the HARDENED workflow refines SecureWorkflow (TLC: property holds), while the VULNERABLE workflow does not (TLC returns a behaviour whose leaked flips false to true -- the documented attack). The residual attack surface is quantified: the reachable compromised set equals exactly the unpinned subset, which hardening shrinks monotonically to the empty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28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TLC result</w:t>
            </w:r>
          </w:p>
        </w:tc>
      </w:tr>
      <w:tr>
        <w:tc>
          <w:tcPr>
            <w:tcW w:type="dxa" w:w="3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Isolation (mixed population)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v1,v2 pinned; v3-v5 tags</w:t>
            </w:r>
          </w:p>
        </w:tc>
        <w:tc>
          <w:tcPr>
            <w:tcW w:type="dxa" w:w="28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HOLDS (8,185 states)</w:t>
            </w:r>
          </w:p>
        </w:tc>
      </w:tr>
      <w:tr>
        <w:tc>
          <w:tcPr>
            <w:tcW w:type="dxa" w:w="3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Containment witness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</w:t>
            </w:r>
          </w:p>
        </w:tc>
        <w:tc>
          <w:tcPr>
            <w:tcW w:type="dxa" w:w="28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breach reaches only unpinned v3</w:t>
            </w:r>
          </w:p>
        </w:tc>
      </w:tr>
      <w:tr>
        <w:tc>
          <w:tcPr>
            <w:tcW w:type="dxa" w:w="3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Refinement: hardened refines Secure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SHA-pinned</w:t>
            </w:r>
          </w:p>
        </w:tc>
        <w:tc>
          <w:tcPr>
            <w:tcW w:type="dxa" w:w="28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HOLDS</w:t>
            </w:r>
          </w:p>
        </w:tc>
      </w:tr>
      <w:tr>
        <w:tc>
          <w:tcPr>
            <w:tcW w:type="dxa" w:w="3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Refinement: vulnerable refines Secure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floating tags</w:t>
            </w:r>
          </w:p>
        </w:tc>
        <w:tc>
          <w:tcPr>
            <w:tcW w:type="dxa" w:w="28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FAILS (leaked flips)</w:t>
            </w:r>
          </w:p>
        </w:tc>
      </w:tr>
      <w:tr>
        <w:tc>
          <w:tcPr>
            <w:tcW w:type="dxa" w:w="3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Residual surface reachable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floating tags</w:t>
            </w:r>
          </w:p>
        </w:tc>
        <w:tc>
          <w:tcPr>
            <w:tcW w:type="dxa" w:w="28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= all 5 victims (the unpinned set)</w:t>
            </w:r>
          </w:p>
        </w:tc>
      </w:tr>
    </w:tbl>
    <w:p>
      <w:pPr>
        <w:pStyle w:val="Heading1"/>
      </w:pPr>
      <w:r>
        <w:t xml:space="preserve">5. Layer 3 — Predictive Calibration (PRISM MDP)</w:t>
      </w:r>
    </w:p>
    <w:p>
      <w:pPr>
        <w:spacing w:after="120"/>
      </w:pPr>
      <w:r>
        <w:t xml:space="preserve">The same actions (ForcePushTag, RunnerExecute) are lifted into an MDP: the attacker’s weaponization timing is nondeterministic (adversary), the victim build cadence is probabilistic (p builds/day).</w:t>
      </w:r>
    </w:p>
    <w:p>
      <w:pPr>
        <w:pStyle w:val="Heading2"/>
      </w:pPr>
      <w:r>
        <w:t xml:space="preserve">5.1 Quantitative mitigation table (p = 0.2/day, horizon T =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00"/>
        <w:gridCol w:w="2400"/>
        <w:gridCol w:w="1400"/>
      </w:tblGrid>
      <w:tr>
        <w:trPr>
          <w:tblHeader/>
        </w:trP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Pmax(compromise)</w:t>
            </w:r>
          </w:p>
        </w:tc>
        <w:tc>
          <w:tcPr>
            <w:tcW w:type="dxa" w:w="2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E[days] (fastest adversary)</w:t>
            </w:r>
          </w:p>
        </w:tc>
        <w:tc>
          <w:tcPr>
            <w:tcW w:type="dxa" w:w="1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P(≤ 30 days)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Tag refs + valid stolen cred (actual)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6.00</w:t>
            </w:r>
          </w:p>
        </w:tc>
        <w:tc>
          <w:tcPr>
            <w:tcW w:type="dxa" w:w="1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0.9985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Tag refs + complete rotation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2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∞ (never)</w:t>
            </w:r>
          </w:p>
        </w:tc>
        <w:tc>
          <w:tcPr>
            <w:tcW w:type="dxa" w:w="1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0.0000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 pins + valid stolen cred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2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∞ (never)</w:t>
            </w:r>
          </w:p>
        </w:tc>
        <w:tc>
          <w:tcPr>
            <w:tcW w:type="dxa" w:w="1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0.0000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 pins + complete rotation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2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∞ (never)</w:t>
            </w:r>
          </w:p>
        </w:tc>
        <w:tc>
          <w:tcPr>
            <w:tcW w:type="dxa" w:w="14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0.0000</w:t>
            </w:r>
          </w:p>
        </w:tc>
      </w:tr>
    </w:tbl>
    <w:p>
      <w:pPr>
        <w:spacing w:after="120"/>
      </w:pPr>
      <w:r>
        <w:t xml:space="preserve">The expected time 6.00 decomposes exactly as 1 day to weaponize + 1/p = 5 days to the next build — a closed-form sanity check the model checker confirms.</w:t>
      </w:r>
    </w:p>
    <w:p>
      <w:pPr>
        <w:pStyle w:val="Heading2"/>
      </w:pPr>
      <w:r>
        <w:t xml:space="preserve">5.2 Propagation — compromised fraction equals the corpus tag-fraction 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00"/>
        <w:gridCol w:w="1000"/>
        <w:gridCol w:w="1200"/>
        <w:gridCol w:w="1000"/>
        <w:gridCol w:w="900"/>
        <w:gridCol w:w="900"/>
      </w:tblGrid>
      <w:tr>
        <w:trPr>
          <w:tblHeader/>
        </w:trP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Corpus tag-fraction f</w:t>
            </w:r>
          </w:p>
        </w:tc>
        <w:tc>
          <w:tcPr>
            <w:tcW w:type="dxa" w:w="1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0.10</w:t>
            </w:r>
          </w:p>
        </w:tc>
        <w:tc>
          <w:tcPr>
            <w:tcW w:type="dxa" w:w="1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0.30</w:t>
            </w:r>
          </w:p>
        </w:tc>
        <w:tc>
          <w:tcPr>
            <w:tcW w:type="dxa" w:w="1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0.3698*</w:t>
            </w:r>
          </w:p>
        </w:tc>
        <w:tc>
          <w:tcPr>
            <w:tcW w:type="dxa" w:w="1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0.70</w:t>
            </w:r>
          </w:p>
        </w:tc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0.90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Predicted compromised fraction</w:t>
            </w:r>
          </w:p>
        </w:tc>
        <w:tc>
          <w:tcPr>
            <w:tcW w:type="dxa" w:w="1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  <w:tc>
          <w:tcPr>
            <w:tcW w:type="dxa" w:w="1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</w:t>
            </w:r>
          </w:p>
        </w:tc>
        <w:tc>
          <w:tcPr>
            <w:tcW w:type="dxa" w:w="1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0.3698</w:t>
            </w:r>
          </w:p>
        </w:tc>
        <w:tc>
          <w:tcPr>
            <w:tcW w:type="dxa" w:w="1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0.70</w:t>
            </w:r>
          </w:p>
        </w:tc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</w:t>
            </w:r>
          </w:p>
        </w:tc>
      </w:tr>
    </w:tbl>
    <w:p>
      <w:pPr>
        <w:spacing w:after="120"/>
      </w:pPr>
      <w:r>
        <w:rPr>
          <w:b/>
          <w:bCs/>
        </w:rPr>
        <w:t xml:space="preserve">*</w:t>
      </w:r>
      <w:r>
        <w:t xml:space="preserve"> the value measured in Layer 1. The propagation model returns Pmax = f exactly, so the Layer 1 measurement flows directly into a downstream-compromise prediction calibratable against reported incident counts.</w:t>
      </w:r>
    </w:p>
    <w:p>
      <w:pPr>
        <w:pStyle w:val="Heading2"/>
      </w:pPr>
      <w:r>
        <w:t xml:space="preserve">5.3 Sensitivity — expected days-to-compromise vs build cadence p (10× range)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/>
        </w:trPr>
        <w:tc>
          <w:tcPr>
            <w:tcW w:type="dxa" w:w="27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 (builds/day)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0.05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0.10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0.15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0.20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0.25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0.30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0.40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0.50</w:t>
            </w:r>
          </w:p>
        </w:tc>
      </w:tr>
      <w:tr>
        <w:tc>
          <w:tcPr>
            <w:tcW w:type="dxa" w:w="27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E[days] to compromise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21.0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11.0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7.67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6.00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5.00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4.33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3.50</w:t>
            </w:r>
          </w:p>
        </w:tc>
        <w:tc>
          <w:tcPr>
            <w:tcW w:type="dxa" w:w="825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3.00</w:t>
            </w:r>
          </w:p>
        </w:tc>
      </w:tr>
    </w:tbl>
    <w:p>
      <w:pPr>
        <w:spacing w:after="120"/>
      </w:pPr>
      <w:r>
        <w:rPr>
          <w:b/>
          <w:bCs/>
        </w:rPr>
        <w:t xml:space="preserve">Mitigation ranking stability: </w:t>
      </w:r>
      <w:r>
        <w:t xml:space="preserve">across this 10× variation in p the vulnerable time moves 21→3 days, but SHA-pinning yields Pmax = 0 at every value of p. Per the paper’s criterion — if the ranking is stable across a 10× variation, the recommendation is robust — the SHA-pin / rotation guidance survives parameter uncertainty.</w:t>
      </w:r>
    </w:p>
    <w:p>
      <w:pPr>
        <w:pStyle w:val="Heading2"/>
      </w:pPr>
      <w:r>
        <w:t xml:space="preserve">5.4 Multi-stage propagation (stage 1 to stage 2)</w:t>
      </w:r>
    </w:p>
    <w:p>
      <w:pPr>
        <w:spacing w:after="120"/>
      </w:pPr>
      <w:r>
        <w:t xml:space="preserve">A DTMC chains the two documented stages: stage 1 (trivy-action compromise yields a stolen npm publish token with probability q) enables stage 2 (CanisterWorm npm publication, adopted by downstream consumers at per-day rate r). With p = 0.2, q = 0.5, r = 0.1, N2 =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Multi-stage metric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P(reach stage 2 / npm propagation)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  (= token-theft rate q)</w:t>
            </w:r>
          </w:p>
        </w:tc>
      </w:tr>
      <w:t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P(stage 2 within 30 days)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0.454</w:t>
            </w:r>
          </w:p>
        </w:tc>
      </w:tr>
      <w:t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P(full downstream propagation)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</w:tr>
      <w:t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E[hosts compromised at day 30]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2.18</w:t>
            </w:r>
          </w:p>
        </w:tc>
      </w:tr>
      <w:t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E[days to first downstream compromise] (q=1)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16.0 = 1 weaponize + 5 stage-1 + 10 adoption</w:t>
            </w:r>
          </w:p>
        </w:tc>
      </w:tr>
      <w:t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P(reach stage 2) under complete rotation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  (rotation kills the entire cascade)</w:t>
            </w:r>
          </w:p>
        </w:tc>
      </w:tr>
    </w:tbl>
    <w:p>
      <w:pPr>
        <w:spacing w:after="120"/>
      </w:pPr>
      <w:r>
        <w:rPr>
          <w:b/>
          <w:bCs/>
        </w:rPr>
        <w:t xml:space="preserve">Key result: </w:t>
      </w:r>
      <w:r>
        <w:t xml:space="preserve">complete credential rotation drives the probability of the whole downstream npm cascade to zero, not merely stage 1.</w:t>
      </w:r>
    </w:p>
    <w:p>
      <w:pPr>
        <w:pStyle w:val="Heading2"/>
      </w:pPr>
      <w:r>
        <w:t xml:space="preserve">5.5 Parametric model checking</w:t>
      </w:r>
    </w:p>
    <w:p>
      <w:pPr>
        <w:spacing w:after="120"/>
      </w:pPr>
      <w:r>
        <w:t xml:space="preserve">PRISM's parametric engine returns closed-form functions of the parameters, not point samples: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Closed form (PRISM, exact)</w:t>
            </w:r>
          </w:p>
        </w:tc>
      </w:tr>
      <w:t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Expected days-to-compromise vs build cadence p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(p + 1) / p</w:t>
            </w:r>
          </w:p>
        </w:tc>
      </w:tr>
      <w:tr>
        <w:tc>
          <w:tcPr>
            <w:tcW w:type="dxa" w:w="60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P(reach stage 2) vs token-theft rate q</w:t>
            </w:r>
          </w:p>
        </w:tc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</w:tr>
    </w:tbl>
    <w:p>
      <w:pPr>
        <w:spacing w:after="120"/>
      </w:pPr>
      <w:r>
        <w:t xml:space="preserve">The first is the symbolic form of the discrete sensitivity sweep (21 to 3 days); the second proves the downstream propagation probability equals the token-theft rate exactly, for every q.</w:t>
      </w:r>
    </w:p>
    <w:p>
      <w:pPr>
        <w:pStyle w:val="Heading1"/>
      </w:pPr>
      <w:r>
        <w:t xml:space="preserve">6. Mitigation Discovery (ASI-Evolve over the verified model)</w:t>
      </w:r>
    </w:p>
    <w:p>
      <w:pPr>
        <w:spacing w:after="120"/>
      </w:pPr>
      <w:r>
        <w:t xml:space="preserve">ASI-Evolve proposes candidate defender policies; each is model-checked by PRISM before it earns a score (score = −(compromise_fraction + operational_cost)). The LLM proposes; the model checker decides. Verified score landscape: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00"/>
        <w:gridCol w:w="1200"/>
        <w:gridCol w:w="1700"/>
        <w:gridCol w:w="900"/>
      </w:tblGrid>
      <w:tr>
        <w:trPr>
          <w:tblHeader/>
        </w:trP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Compromise fraction</w:t>
            </w:r>
          </w:p>
        </w:tc>
        <w:tc>
          <w:tcPr>
            <w:tcW w:type="dxa" w:w="1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Safe?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 (no pin, no rotation)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−1.00</w:t>
            </w:r>
          </w:p>
        </w:tc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rotate credential only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1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0.05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−0.05  (optimum)</w:t>
            </w:r>
          </w:p>
        </w:tc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SHA-pin, no rotation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1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−0.30</w:t>
            </w:r>
          </w:p>
        </w:tc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half SHA-pin, no rotation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0.15</w:t>
            </w:r>
          </w:p>
        </w:tc>
        <w:tc>
          <w:tcPr>
            <w:tcW w:type="dxa" w:w="17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−0.65</w:t>
            </w:r>
          </w:p>
        </w:tc>
        <w:tc>
          <w:tcPr>
            <w:tcW w:type="dxa" w:w="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  <w:r>
        <w:t xml:space="preserve">Maximizing the score converges on complete credential rotation — the minimal-cost provably-safe policy, which is exactly the paper’s central finding.</w:t>
      </w:r>
    </w:p>
    <w:p>
      <w:pPr>
        <w:pStyle w:val="Heading1"/>
      </w:pPr>
      <w:r>
        <w:t xml:space="preserve">7. Validation Section</w:t>
      </w:r>
    </w:p>
    <w:p>
      <w:pPr>
        <w:pStyle w:val="Heading2"/>
      </w:pPr>
      <w:r>
        <w:t xml:space="preserve">7.1 Corpus coverage</w:t>
      </w:r>
    </w:p>
    <w:p>
      <w:pPr>
        <w:spacing w:after="120"/>
      </w:pPr>
      <w:r>
        <w:t xml:space="preserve">88.2% of compromise-relevant constructs in the 189-workflow corpus are within the formalism; the excluded 11.8% (matrix strategies, artifact flows, reusable-workflow nesting) do not affect the tag-mutation→exfiltration reachability property.</w:t>
      </w:r>
    </w:p>
    <w:p>
      <w:pPr>
        <w:pStyle w:val="Heading2"/>
      </w:pPr>
      <w:r>
        <w:t xml:space="preserve">7.2 Incident reconstruction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360"/>
        <w:gridCol w:w="2200"/>
      </w:tblGrid>
      <w:tr>
        <w:trPr>
          <w:tblHeader/>
        </w:trPr>
        <w:tc>
          <w:tcPr>
            <w:tcW w:type="dxa" w:w="2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Incident</w:t>
            </w:r>
          </w:p>
        </w:tc>
        <w:tc>
          <w:tcPr>
            <w:tcW w:type="dxa" w:w="1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Reachable pre-mitigation?</w:t>
            </w:r>
          </w:p>
        </w:tc>
        <w:tc>
          <w:tcPr>
            <w:tcW w:type="dxa" w:w="2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Closed by mitigation?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Matches documented outcome?</w:t>
            </w:r>
          </w:p>
        </w:tc>
      </w:tr>
      <w:tr>
        <w:tc>
          <w:tcPr>
            <w:tcW w:type="dxa" w:w="2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Trivy / TeamPCP (Mar 2026, CVE-2026-33634)</w:t>
            </w:r>
          </w:p>
        </w:tc>
        <w:tc>
          <w:tcPr>
            <w:tcW w:type="dxa" w:w="19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(3-step trace)</w:t>
            </w:r>
          </w:p>
        </w:tc>
        <w:tc>
          <w:tcPr>
            <w:tcW w:type="dxa" w:w="236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 pin: yes; complete rotation: yes; partial rotation: no</w:t>
            </w:r>
          </w:p>
        </w:tc>
        <w:tc>
          <w:tcPr>
            <w:tcW w:type="dxa" w:w="2200"/>
            <w:tcBorders>
              <w:top w:val="single" w:color="B7C3D6" w:sz="1"/>
              <w:left w:val="single" w:color="B7C3D6" w:sz="1"/>
              <w:bottom w:val="single" w:color="B7C3D6" w:sz="1"/>
              <w:right w:val="single" w:color="B7C3D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partial rotation flagged insufficient, matching the real causation</w:t>
            </w:r>
          </w:p>
        </w:tc>
      </w:tr>
    </w:tbl>
    <w:p>
      <w:pPr>
        <w:pStyle w:val="Heading2"/>
      </w:pPr>
      <w:r>
        <w:t xml:space="preserve">7.3 Calibration</w:t>
      </w:r>
    </w:p>
    <w:p>
      <w:pPr>
        <w:spacing w:after="120"/>
      </w:pPr>
      <w:r>
        <w:t xml:space="preserve">Input distributions are derived from public data. The floating-tag fraction f = 0.3698 comes from Layer 1 corpus measurement. Stage-2 malicious-package rates come from the OpenSSF malicious-packages dataset (OSV format, seeded by the Backstabber's Knife Collection, Ohm et al. DIMVA 2020): npm accounts for 214,497 reports -- 94.2% of all ecosystems -- and npm malicious-package publications rose from 329 in February 2026 to 1,048 in March 2026 (a 3.19x spike), the exact month of the CanisterWorm stage-2 attack, which was one of those 1,048 packages.</w:t>
      </w:r>
    </w:p>
    <w:p>
      <w:pPr>
        <w:spacing w:after="120"/>
      </w:pPr>
      <w:r>
        <w:rPr>
          <w:b/>
          <w:bCs/>
        </w:rPr>
        <w:t xml:space="preserve">Timeline consistency: </w:t>
      </w:r>
      <w:r>
        <w:t xml:space="preserve">the model's fastest-adversary times (6 days to stage-1 compromise, 16 days to the first downstream compromise) are lower bounds consistent with the documented ~28-day February-to-March residual-credential window; the surplus is adversarial patience, captured by the MDP's nondeterministic weaponization timing.</w:t>
      </w:r>
    </w:p>
    <w:p>
      <w:pPr>
        <w:pStyle w:val="Heading2"/>
      </w:pPr>
      <w:r>
        <w:t xml:space="preserve">7.4 Sensitivity</w:t>
      </w:r>
    </w:p>
    <w:p>
      <w:pPr>
        <w:spacing w:after="120"/>
      </w:pPr>
      <w:r>
        <w:t xml:space="preserve">Conclusions are stable under parameter uncertainty: a 10× variation in p changes absolute timings but not the mitigation ranking (SHA-pinning and complete rotation remain Pmax = 0 throughout).</w:t>
      </w:r>
    </w:p>
    <w:p>
      <w:pPr>
        <w:pStyle w:val="Heading2"/>
      </w:pPr>
      <w:r>
        <w:t xml:space="preserve">7.5 Threats to validity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Disclosure bias: only publicly caught and disclosed incidents are modeled.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vs deployment: the formalism abstracts deployed systems (network path, payload internals, Git storage).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Survivorship / popularity bias: the corpus is large, security-mature projects that SHA-pin more than average, so the measured f = 37% is a lower bound on the ecosystem-wide floating-tag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size: 189 workflows is a demonstration corpus; the analyzer scales unchanged to larger corpora.</w:t>
      </w:r>
    </w:p>
    <w:p>
      <w:pPr>
        <w:pStyle w:val="Heading1"/>
      </w:pPr>
      <w:r>
        <w:t xml:space="preserve">8. Reproducibility</w:t>
      </w:r>
    </w:p>
    <w:p>
      <w:pPr>
        <w:spacing w:after="120"/>
      </w:pPr>
      <w:r>
        <w:t xml:space="preserve">Each layer regenerates its results with a single command (Windows PowerShell; bundled TLA+ and PRISM tools, JDK 20):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Layer 1: </w:t>
      </w:r>
      <w:r>
        <w:t xml:space="preserve">layer1\run-layer1.ps1  (14/14 extractor unit tests, then corpus analysis)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Layer 2: </w:t>
      </w:r>
      <w:r>
        <w:t xml:space="preserve">run-all.ps1  (5 TLC checks: 4 configs + scripted trace)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Layer 3: </w:t>
      </w:r>
      <w:r>
        <w:t xml:space="preserve">layer3\run-layer3.ps1  (PRISM quantitative table, propagation, sensitivity)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Discovery: </w:t>
      </w:r>
      <w:r>
        <w:t xml:space="preserve">asi_evolve\evaluate.py  (PRISM-backed policy oracle)</w:t>
      </w:r>
    </w:p>
    <w:p>
      <w:r>
        <w:br w:type="page"/>
      </w:r>
    </w:p>
    <w:p>
      <w:pPr>
        <w:pStyle w:val="Heading1"/>
      </w:pPr>
      <w:r>
        <w:t xml:space="preserve">9. Caveats &amp; Limitations</w:t>
      </w:r>
    </w:p>
    <w:p>
      <w:pPr>
        <w:spacing w:after="120"/>
      </w:pPr>
      <w:r>
        <w:t xml:space="preserve">This analysis is deliberately scoped and conservative. The following caveats qualify every result above and should be read alongside the threats to validity in §7.5.</w:t>
      </w:r>
    </w:p>
    <w:p>
      <w:pPr>
        <w:pStyle w:val="Heading2"/>
      </w:pPr>
      <w:r>
        <w:t xml:space="preserve">9.1 Calibration and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Unmeasured stage-2 parameters. </w:t>
      </w:r>
      <w:r>
        <w:t xml:space="preserve">q (fraction of compromised runners holding npm publish tokens) and r (downstream adoption rate) are assumptions; no clean public dataset exists for them. The parametric result P(reach stage 2) = q is reported precisely so this dependence is explicit rather than buried in a point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Corpus is small and popularity-biased. </w:t>
      </w:r>
      <w:r>
        <w:t xml:space="preserve">189 workflows from large, security-mature OSS projects, which SHA-pin far more than typical repositories. The measured floating-tag fraction f = 37% is therefore a LOWER BOUND on the ecosystem-wide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cadence is illustrative. </w:t>
      </w:r>
      <w:r>
        <w:t xml:space="preserve">p = 0.2 builds/day is an assumed value, not a per-repository measurement.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Calibration is correlational. </w:t>
      </w:r>
      <w:r>
        <w:t xml:space="preserve">The Feb-&gt;Mar npm spike (329 -&gt; 1,048) corroborates the incident timing and situates CanisterWorm in measured base rates, but does not by itself establish causation.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Incident facts taken from the dossier. </w:t>
      </w:r>
      <w:r>
        <w:t xml:space="preserve">CVE-2026-33634, the 76/77 and 7/7 tag counts, victim identities, and dates are encoded faithfully from the provided sources, not independently re-verified against live records.</w:t>
      </w:r>
    </w:p>
    <w:p>
      <w:pPr>
        <w:pStyle w:val="Heading2"/>
      </w:pPr>
      <w:r>
        <w:t xml:space="preserve">9.2 Modeling abstractions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Small model scale. </w:t>
      </w:r>
      <w:r>
        <w:t xml:space="preserve">5 victims, 5 tags, 3 commits, 2 repos. Sufficient to exercise the reachability/safety property, but not a proof for arbitrary population size 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Deliberate boundary (Step 2). </w:t>
      </w:r>
      <w:r>
        <w:t xml:space="preserve">Out of scope by design: how the attacker first obtained the credential (an initial condition); the C2 network path (modeled as set union); victim production systems downstream; Git object-storage internals (tag mutation is atomic); GitHub's internal authn/authz; and payload byte-structure (only the active secret-transfer behaviour is modeled).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Stage-2 propagation is simplified. </w:t>
      </w:r>
      <w:r>
        <w:t xml:space="preserve">Downstream adoption is modeled as sequential (one consumer per day at rate r) over a small representative population (N2 = 5), not full population contagion dynamics.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Worst-case adversary. </w:t>
      </w:r>
      <w:r>
        <w:t xml:space="preserve">Weaponization timing is nondeterministic, so Pmax / Rmin report the most-capable attacker, not expected real-world behaviour. Reported times are lower bounds.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observable in the refinement. </w:t>
      </w:r>
      <w:r>
        <w:t xml:space="preserve">The abstract `leaked` bit collapses all victim-secret exfiltration into one observation; the refinement is proven at the model's scale.</w:t>
      </w:r>
    </w:p>
    <w:p>
      <w:pPr>
        <w:pStyle w:val="Heading2"/>
      </w:pPr>
      <w:r>
        <w:t xml:space="preserve">9.3 Tooling and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PRISM, not Storm. </w:t>
      </w:r>
      <w:r>
        <w:t xml:space="preserve">The paper names Storm; PRISM is used (identical MDP/PCTL semantics) because Storm has no native Windows build. No Storm run was performed; the .prism models are portable to Storm on Linux.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Parametric engine limits. </w:t>
      </w:r>
      <w:r>
        <w:t xml:space="preserve">PRISM's parametric engine returns closed forms for unbounded reachability and expected rewards, but not for step-bounded (F&lt;=T) properties; the bounded compromise probability is given by its analytic form 1-(1-p)^(T-1), verified numerically.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ASI-Evolve loop not run. </w:t>
      </w:r>
      <w:r>
        <w:t xml:space="preserve">Only the evaluation oracle and its score landscape were verified locally; the full LLM-driven evolutionary loop requires an external API key and was not executed.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practitioner review. </w:t>
      </w:r>
      <w:r>
        <w:t xml:space="preserve">The paper calls for platform / CI-CD / SLSA engineers to review the threat model before formalization; that human step has not been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incident reconstructed. </w:t>
      </w:r>
      <w:r>
        <w:t xml:space="preserve">Only the Trivy / TeamPCP incident is modeled; the validation methodology envisions a table of N historical incidents.</w:t>
      </w:r>
    </w:p>
    <w:p>
      <w:pPr>
        <w:pStyle w:val="Heading2"/>
      </w:pPr>
      <w:r>
        <w:t xml:space="preserve">9.4 Reproducibility and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Host-specific paths. </w:t>
      </w:r>
      <w:r>
        <w:t xml:space="preserve">The run scripts hardcode this machine's JDK 20 and the Git-for-Windows MinGW runtime (for PRISM's native CUDD library) and work around a broken system java launcher; they will need adjustment on another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under version control. </w:t>
      </w:r>
      <w:r>
        <w:t xml:space="preserve">The artifacts are not yet in a git repository; there is no commit history or provenance tracking.</w:t>
      </w:r>
    </w:p>
    <w:p>
      <w:pPr>
        <w:pStyle w:val="Heading1"/>
      </w:pPr>
      <w:r>
        <w:t xml:space="preserve">10. References (dossier)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Aqua Security — Trivy supply-chain attack disclosure: https://www.aquasec.com/blog/trivy-supply-chain-attack-what-you-need-to-know/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Security Advisory — aquasecurity/trivy: https://github.com/aquasecurity/trivy/security/advisories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CVE-2026-33634: https://www.cve.org/CVERecord?id=CVE-2026-33634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Palo Alto Unit 42 (CanisterWorm): https://unit42.paloaltonetworks.com/teampcp-supply-chain-attacks/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Microsoft Security Blog — detecting/defending the Trivy compromise: https://www.microsoft.com/en-us/security/blog/2026/03/24/detecting-investigating-defending-against-trivy-supply-chain-compromise/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Wiz Research: https://www.wiz.io/blog/trivy-compromised-teampcp-supply-chain-attack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ReversingLabs: https://www.reversinglabs.com/blog/teampcp-supply-chain-attack-spreads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Endor Labs (Feb–Mar causal chain): https://www.endorlabs.com/learn/teampcp-isnt-done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Kudelski Security (two variants): https://kudelskisecurity.com/research/investigating-two-variants-of-the-trivy-supply-chain-compromise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SANS ISC: https://isc.sans.edu/diary/32856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Cato Networks: https://www.catonetworks.com/blog/teampcp-supply-chain-attack/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Trivy / TeamPCP — Validation &amp;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4D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2026-07-15T06:43:35.261Z</dcterms:created>
  <dcterms:modified xsi:type="dcterms:W3CDTF">2026-07-15T06:43:35.262Z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