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Working Title: Quantitative Analysis for Mitigation of Multi-Stage Supply Chain Attacks during Routine Automated Workflows in CI/CD Pipelines                                          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Methodology: Formal methods analyzing all potential system behaviors rather than just simulation samples; Define a process calculus or labeled transition system for automated workflows (GitHub Actions), then prove properties about multi-stage reachability with TLA+; Use Storm to express pipelines as MDPs and compute exact probabilities of compromise propagation under different mitigations; Formalize “Isolation” between CI/CD pipelines and prove when mitigations do or don’t enforce it; Model a vulnerable and hardened workflow respectively, then formally establish a refinement relation then quantifying the residual attack service.</w:t>
        <w:br w:type="textWrapping"/>
        <w:br w:type="textWrapping"/>
        <w:t xml:space="preserve">Public data for backtesting: Layer 1: Structural faithfulness via corpus analysis – does the model capture what real workflows actually do </w:t>
        <w:br w:type="textWrapping"/>
        <w:t xml:space="preserve">GitHub’s Actions workflows (millions of real YAML files to statically analyze)</w:t>
        <w:br w:type="textWrapping"/>
        <w:tab/>
        <w:t xml:space="preserve">- Pull a large sample of real workflows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 dataset of GitHub Actions workflow histories</w:t>
        </w:r>
      </w:hyperlink>
      <w:r w:rsidDel="00000000" w:rsidR="00000000" w:rsidRPr="00000000">
        <w:rPr>
          <w:rtl w:val="0"/>
        </w:rPr>
        <w:t xml:space="preserve">), for each workflow, extract the features we claim to model; trigger events, permission scopes, secret usage, action versions (pinned v. floating), runner types, job dependencies, artifact flows between jobs. </w:t>
        <w:br w:type="textWrapping"/>
        <w:tab/>
        <w:t xml:space="preserve">-  Verify our abstract actually covers what we see in real-time; workflow_run triggers, reusable workflows, matrix strategies, composite actions, self-hosted runner labels. Document coverage explicitly: “our model captures N% of constructs observed in the corpus; the remaining M% consists of [list], which we argue are independent to the compromise properties under study.” Corpus analysis measures the actual observed frequency of unpinned actions, overly permissive token scopes, or pull_request_target misuse. </w:t>
        <w:br w:type="textWrapping"/>
        <w:br w:type="textWrapping"/>
        <w:t xml:space="preserve">Layer 2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Layer 2 Workflow</w:t>
        </w:r>
      </w:hyperlink>
      <w:r w:rsidDel="00000000" w:rsidR="00000000" w:rsidRPr="00000000">
        <w:rPr>
          <w:rtl w:val="0"/>
        </w:rPr>
        <w:br w:type="textWrapping"/>
        <w:t xml:space="preserve">Incident reconstruction: building a formal model of the pre-attack system state to check if the model can reproduce known historical attacks</w:t>
        <w:br w:type="textWrapping"/>
        <w:tab/>
        <w:t xml:space="preserve">- For each well-documented incident, encode the pre-attack system state in our formalism and check whether our model flags the attack path as reachable with a non-trivial possibility, and whether our proposed mitigations close it.</w:t>
        <w:br w:type="textWrapping"/>
        <w:tab/>
        <w:t xml:space="preserve">- 1. System model to represent the victim’s pipeline, trust relationships, and permissions before compromise 2. Attack trace encoded as a path through our state space (the sequence of stages the attacker actually executed) 3. Formal statement to check, i.e., (is there a reachable state where attacker-controlled code executes with production credentials) 4. Edit the model to reflect the fix the victim deployed, with the same property re-checked. </w:t>
        <w:br w:type="textWrapping"/>
        <w:t xml:space="preserve">If the model says an incident is unreachable, it’s missing something. If the model says the attack path was reachable pre-mitigation and unreachable post-mitigation, that’s successful.</w:t>
        <w:br w:type="textWrapping"/>
        <w:br w:type="textWrapping"/>
        <w:t xml:space="preserve">Layer 3: Predictive calibration  – do your quantitative outputs match observed frequencies</w:t>
        <w:br w:type="textWrapping"/>
        <w:t xml:space="preserve">– OSV and Backstabber’s Knife Collection for frequency calibration – if model predicts that pipelines with property X are comprised at rate Y; check if the observed rate in the data is consistent.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– Indirect calibration, as there are no compromised pipelines, only packages.</w:t>
        <w:br w:type="textWrapping"/>
        <w:tab/>
        <w:t xml:space="preserve">- Given the rate of malicious package publication per ecosystem per month, and given the distribution of pipeline configurations, the model should predict a distribution of downstream compromise events consistent with reported incidents.</w:t>
        <w:br w:type="textWrapping"/>
        <w:tab/>
        <w:t xml:space="preserve">- For Storm, compute quantities such as “expected time to compromise given a malicious dependency enters the ecosystem” and compare to documented times in incident reports.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Sensitivity analysis — formal methods unique obligation</w:t>
        <w:br w:type="textWrapping"/>
        <w:tab/>
      </w:r>
      <w:r w:rsidDel="00000000" w:rsidR="00000000" w:rsidRPr="00000000">
        <w:rPr>
          <w:rtl w:val="0"/>
        </w:rPr>
        <w:t xml:space="preserve">– The input probabilities stem from imperfect data</w:t>
        <w:br w:type="textWrapping"/>
        <w:t xml:space="preserve">Vary each input parameter across plausible ranges and report how conclusions change; parametric model checking. If mitigation ranking is stable across a 10x variation in compromise probability, it is likely to succeed.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Threat model validation with practitioners</w:t>
        <w:br w:type="textWrapping"/>
        <w:t xml:space="preserve">- Get platform engineers, CI/CD maintainers, SLSA contributors to review the threat model before it’s formalized. Give acknowledgments.</w:t>
        <w:br w:type="textWrapping"/>
        <w:br w:type="textWrapping"/>
        <w:t xml:space="preserve">Validation section:</w:t>
        <w:br w:type="textWrapping"/>
        <w:t xml:space="preserve">Corpus coverage: What fraction of real-world constructs the formalism captures, what it excludes, and why.</w:t>
        <w:br w:type="textWrapping"/>
        <w:t xml:space="preserve">Incident reconstruction: A table of </w:t>
      </w:r>
      <w:r w:rsidDel="00000000" w:rsidR="00000000" w:rsidRPr="00000000">
        <w:rPr>
          <w:i w:val="1"/>
          <w:i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historical incidents that the model represents, and whether the output matches the documented outcome.</w:t>
        <w:br w:type="textWrapping"/>
        <w:t xml:space="preserve">Calibration: How input distributions were derived from public data, with sources respectively.</w:t>
        <w:br w:type="textWrapping"/>
        <w:t xml:space="preserve">Sensitivity: How the conclusions vary under parameter uncertainty</w:t>
        <w:br w:type="textWrapping"/>
        <w:t xml:space="preserve">Threats to validity: We only see the public incidents that were caught and disclosed, the difference between modeled and deployed systems, and survivorship bias in the workflow corpus (popular repos)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Citations so far: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https://doi.org/10.1080/10429247.2013.11431972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https://unit42.paloaltonetworks.com/teampcp-supply-chain-attacks/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https://www.ox.security/blog/teampcps-telnyx-windows-malware-technical-analysis/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https://link.springer.com/article/10.1007/s10207-025-01207-9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Rajalakshmi-Mr/publication/399016205_Securing_the_Modern_Software_Supply_Chain_AI-Driven_Threat_Analysis_and_Defense-in-_Depth_Architecture/links/694b33f50c98040d4820c975/Securing-the-Modern-Software-Supply-Chain-AI-Driven-Threat-Analysis-and-Defense-in-Depth-Architecture.pdf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https://github.com/aquasecurity/trivy/security/advisories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t xml:space="preserve">https://www.cve.org/CVERecord?id=CVE-2026-33634</w:t>
        <w:br w:type="textWrapping"/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https://isc.sans.edu/diary/32856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t xml:space="preserve">https://www.endorlabs.com/learn/teampcp-isnt-done</w:t>
        <w:br w:type="textWrapping"/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https://www.aquasec.com/blog/trivy-supply-chain-attack-what-you-need-to-know/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https://www.microsoft.com/en-us/security/blog/2026/03/24/detecting-investigating-defending-against-trivy-supply-chain-compromise/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https://kudelskisecurity.com/research/investigating-two-variants-of-the-trivy-supply-chain-compromise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https://www.wiz.io/blog/trivy-compromised-teampcp-supply-chain-attack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https://www.reversinglabs.com/blog/teampcp-supply-chain-attack-spreads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t xml:space="preserve">https://www.catonetworks.com/blog/teampcp-supply-chain-attack/</w:t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TeamPCP, geopolitical risk solutions, vendor risk management, payload execution, identity-first security, risk of compromised tokens; build attack graphs, compute propagation probabilities, model CI/CD pipelines as Markov chains, and validate against actual incident data. (CI/CD, dependency resolution, scheduled build jobs), dependency confusion attacks, misconfigured YAML files, and credential leaks caused by API misuse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k.springer.com/article/10.1007/s10207-025-01207-9" TargetMode="External"/><Relationship Id="rId10" Type="http://schemas.openxmlformats.org/officeDocument/2006/relationships/hyperlink" Target="https://www.ox.security/blog/teampcps-telnyx-windows-malware-technical-analysis/" TargetMode="External"/><Relationship Id="rId13" Type="http://schemas.openxmlformats.org/officeDocument/2006/relationships/hyperlink" Target="https://github.com/aquasecurity/trivy/security/advisories" TargetMode="External"/><Relationship Id="rId12" Type="http://schemas.openxmlformats.org/officeDocument/2006/relationships/hyperlink" Target="https://www.researchgate.net/profile/Rajalakshmi-Mr/publication/399016205_Securing_the_Modern_Software_Supply_Chain_AI-Driven_Threat_Analysis_and_Defense-in-_Depth_Architecture/links/694b33f50c98040d4820c975/Securing-the-Modern-Software-Supply-Chain-AI-Driven-Threat-Analysis-and-Defense-in-Depth-Architectur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it42.paloaltonetworks.com/teampcp-supply-chain-attacks/" TargetMode="External"/><Relationship Id="rId15" Type="http://schemas.openxmlformats.org/officeDocument/2006/relationships/hyperlink" Target="https://www.aquasec.com/blog/trivy-supply-chain-attack-what-you-need-to-know/" TargetMode="External"/><Relationship Id="rId14" Type="http://schemas.openxmlformats.org/officeDocument/2006/relationships/hyperlink" Target="https://isc.sans.edu/diary/32856" TargetMode="External"/><Relationship Id="rId17" Type="http://schemas.openxmlformats.org/officeDocument/2006/relationships/hyperlink" Target="https://kudelskisecurity.com/research/investigating-two-variants-of-the-trivy-supply-chain-compromise" TargetMode="External"/><Relationship Id="rId16" Type="http://schemas.openxmlformats.org/officeDocument/2006/relationships/hyperlink" Target="https://www.microsoft.com/en-us/security/blog/2026/03/24/detecting-investigating-defending-against-trivy-supply-chain-compromis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reversinglabs.com/blog/teampcp-supply-chain-attack-spreads" TargetMode="External"/><Relationship Id="rId6" Type="http://schemas.openxmlformats.org/officeDocument/2006/relationships/hyperlink" Target="https://zenodo.org/records/13985548" TargetMode="External"/><Relationship Id="rId18" Type="http://schemas.openxmlformats.org/officeDocument/2006/relationships/hyperlink" Target="https://www.wiz.io/blog/trivy-compromised-teampcp-supply-chain-attack" TargetMode="External"/><Relationship Id="rId7" Type="http://schemas.openxmlformats.org/officeDocument/2006/relationships/hyperlink" Target="https://docs.google.com/document/d/1Y_PgNbSr3tg5OZRnx8mZywgzsauU9ZOoxXWiEZH5S1c/edit?usp=sharing" TargetMode="External"/><Relationship Id="rId8" Type="http://schemas.openxmlformats.org/officeDocument/2006/relationships/hyperlink" Target="https://doi.org/10.1080/10429247.2013.114319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