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94"/>
        <w:gridCol w:w="1995"/>
        <w:gridCol w:w="1996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324"/>
        <w:gridCol w:w="3325"/>
        <w:gridCol w:w="3323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Quaternary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do...}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insert(option, first, second, target)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插入一条新的四元式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</w:t>
            </w:r>
            <w:r>
              <w:rPr/>
              <w:t>Option</w:t>
            </w:r>
            <w:r>
              <w:rPr/>
              <w:t>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option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getFirst(int position)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getSecond(int position)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getTarget(int position)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当前四元式的数量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LibreOffice/6.0.6.2$Linux_X86_64 LibreOffice_project/00m0$Build-2</Application>
  <Pages>2</Pages>
  <Words>480</Words>
  <Characters>1511</Characters>
  <CharactersWithSpaces>1583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2018-12-09T10:13:01Z</dcterms:modified>
  <cp:revision>50</cp:revision>
  <dc:subject/>
  <dc:title/>
</cp:coreProperties>
</file>