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FED" w:rsidRPr="00D86CCA" w:rsidRDefault="00D86CCA" w:rsidP="00D86CCA">
      <w:pPr>
        <w:jc w:val="center"/>
        <w:rPr>
          <w:b/>
        </w:rPr>
      </w:pPr>
      <w:bookmarkStart w:id="0" w:name="_GoBack"/>
      <w:bookmarkEnd w:id="0"/>
      <w:r w:rsidRPr="00D86CCA">
        <w:rPr>
          <w:b/>
        </w:rPr>
        <w:t>MEMO</w:t>
      </w:r>
    </w:p>
    <w:p w:rsidR="00D86CCA" w:rsidRPr="00D86CCA" w:rsidRDefault="00D86CCA">
      <w:r w:rsidRPr="00D86CCA">
        <w:rPr>
          <w:b/>
        </w:rPr>
        <w:t xml:space="preserve">To: </w:t>
      </w:r>
      <w:r>
        <w:rPr>
          <w:b/>
        </w:rPr>
        <w:tab/>
      </w:r>
      <w:r>
        <w:rPr>
          <w:b/>
        </w:rPr>
        <w:tab/>
      </w:r>
      <w:r w:rsidRPr="00D86CCA">
        <w:t>The File</w:t>
      </w:r>
    </w:p>
    <w:p w:rsidR="00D86CCA" w:rsidRPr="00D86CCA" w:rsidRDefault="00D86CCA">
      <w:pPr>
        <w:rPr>
          <w:b/>
        </w:rPr>
      </w:pPr>
      <w:r w:rsidRPr="00D86CCA">
        <w:rPr>
          <w:b/>
        </w:rPr>
        <w:t>From</w:t>
      </w:r>
      <w:r w:rsidRPr="00D86CCA">
        <w:t xml:space="preserve">:   </w:t>
      </w:r>
      <w:r>
        <w:tab/>
      </w:r>
      <w:r>
        <w:tab/>
      </w:r>
      <w:r w:rsidRPr="00D86CCA">
        <w:t>Susan Bishop, Salmon Management Division</w:t>
      </w:r>
    </w:p>
    <w:p w:rsidR="00D86CCA" w:rsidRPr="00D86CCA" w:rsidRDefault="00D86CCA" w:rsidP="00D86CCA">
      <w:pPr>
        <w:ind w:left="1440" w:hanging="1440"/>
        <w:rPr>
          <w:b/>
        </w:rPr>
      </w:pPr>
      <w:r w:rsidRPr="00D86CCA">
        <w:rPr>
          <w:b/>
        </w:rPr>
        <w:t>Subject:</w:t>
      </w:r>
      <w:r>
        <w:rPr>
          <w:b/>
        </w:rPr>
        <w:tab/>
      </w:r>
      <w:r w:rsidRPr="00D86CCA">
        <w:t xml:space="preserve">Derivation of </w:t>
      </w:r>
      <w:r w:rsidR="00D070B1">
        <w:t xml:space="preserve">freshwater </w:t>
      </w:r>
      <w:r w:rsidRPr="00D86CCA">
        <w:t xml:space="preserve">trips/salmon or steelhead caught </w:t>
      </w:r>
      <w:r w:rsidR="00D070B1">
        <w:t xml:space="preserve">used </w:t>
      </w:r>
      <w:r w:rsidRPr="00D86CCA">
        <w:t xml:space="preserve">for </w:t>
      </w:r>
      <w:r w:rsidR="00D070B1">
        <w:t xml:space="preserve">the </w:t>
      </w:r>
      <w:r w:rsidRPr="00D86CCA">
        <w:t>economic analysis for the NEPA analysis of the 2015 Puget Sound Chinook harvest plan</w:t>
      </w:r>
    </w:p>
    <w:p w:rsidR="00D86CCA" w:rsidRPr="00D86CCA" w:rsidRDefault="00D86CCA" w:rsidP="00D86CCA">
      <w:pPr>
        <w:spacing w:line="240" w:lineRule="auto"/>
      </w:pPr>
      <w:r w:rsidRPr="00D86CCA">
        <w:rPr>
          <w:b/>
        </w:rPr>
        <w:t xml:space="preserve">Date: </w:t>
      </w:r>
      <w:r>
        <w:rPr>
          <w:b/>
        </w:rPr>
        <w:tab/>
      </w:r>
      <w:r>
        <w:rPr>
          <w:b/>
        </w:rPr>
        <w:tab/>
      </w:r>
      <w:r w:rsidR="00235D62">
        <w:t>September 17</w:t>
      </w:r>
      <w:r w:rsidRPr="00D86CCA">
        <w:t>, 2013</w:t>
      </w:r>
    </w:p>
    <w:p w:rsidR="00D86CCA" w:rsidRDefault="00D86CCA">
      <w:r>
        <w:t xml:space="preserve">This memo summarizes the methodology used to derive recreational, freshwater, steelhead ‘angler success’ ratios for application to </w:t>
      </w:r>
      <w:r w:rsidR="00ED2C6B">
        <w:t xml:space="preserve">the </w:t>
      </w:r>
      <w:r>
        <w:t>economic evaluation of salmon fisheries for the NEPA analysis of the 2015 Puget Sound Chinook harvest plan.  The approach is the result of conversations with and input from Will Beattie (N</w:t>
      </w:r>
      <w:r w:rsidR="00027C1E">
        <w:t xml:space="preserve">WIFC), James Dixon (NOAAF), </w:t>
      </w:r>
      <w:r>
        <w:t>Eric Kraig (WDFW)</w:t>
      </w:r>
      <w:r w:rsidR="00027C1E">
        <w:t xml:space="preserve"> and Tom Wegge (TCW Economics)</w:t>
      </w:r>
      <w:r>
        <w:t>.</w:t>
      </w:r>
    </w:p>
    <w:p w:rsidR="007B338C" w:rsidRDefault="007B338C" w:rsidP="00A376EF">
      <w:r>
        <w:t>An examination of available Puget Sound</w:t>
      </w:r>
      <w:r w:rsidR="00D070B1">
        <w:t>-</w:t>
      </w:r>
      <w:r>
        <w:t>specific catch and effort data concluded that the data were insufficient to derive estimate</w:t>
      </w:r>
      <w:r w:rsidR="00D070B1">
        <w:t>s</w:t>
      </w:r>
      <w:r>
        <w:t xml:space="preserve"> </w:t>
      </w:r>
      <w:r w:rsidR="00D070B1">
        <w:t xml:space="preserve">of angler success </w:t>
      </w:r>
      <w:r>
        <w:t xml:space="preserve">based only on </w:t>
      </w:r>
      <w:r w:rsidR="00D070B1">
        <w:t xml:space="preserve">available </w:t>
      </w:r>
      <w:r>
        <w:t xml:space="preserve">Puget Sound information (J. Dixon, pers. comm.)  Data were not consistently available across river systems or years within a system.  In addition, the available data were weighted toward river systems and years with large pink returns.  </w:t>
      </w:r>
      <w:r w:rsidR="00D070B1">
        <w:t>Previous e</w:t>
      </w:r>
      <w:r>
        <w:t xml:space="preserve">stimates for </w:t>
      </w:r>
      <w:r w:rsidR="008E70DE">
        <w:t>related</w:t>
      </w:r>
      <w:r>
        <w:t xml:space="preserve"> NEPA studies were based </w:t>
      </w:r>
      <w:r w:rsidR="00D070B1">
        <w:t xml:space="preserve">either </w:t>
      </w:r>
      <w:r>
        <w:t>on data from the Columbia River</w:t>
      </w:r>
      <w:r w:rsidR="00D070B1">
        <w:t>,</w:t>
      </w:r>
      <w:r w:rsidR="008E70DE">
        <w:t xml:space="preserve"> or </w:t>
      </w:r>
      <w:r w:rsidR="00D070B1">
        <w:t>on state-level (Washington)</w:t>
      </w:r>
      <w:r w:rsidR="00ED2C6B">
        <w:t xml:space="preserve"> </w:t>
      </w:r>
      <w:r w:rsidR="00D070B1">
        <w:t xml:space="preserve">data from </w:t>
      </w:r>
      <w:r w:rsidR="008E70DE">
        <w:t>the nationwide survey of fisher</w:t>
      </w:r>
      <w:r w:rsidR="00D070B1">
        <w:t>s</w:t>
      </w:r>
      <w:r w:rsidR="008E70DE">
        <w:t xml:space="preserve"> and hunt</w:t>
      </w:r>
      <w:r w:rsidR="00D070B1">
        <w:t>ers</w:t>
      </w:r>
      <w:r w:rsidR="008E70DE">
        <w:t xml:space="preserve"> conducted by the U.S. Fish and Wildlife Service (USFWS) periodically</w:t>
      </w:r>
      <w:r w:rsidR="00D070B1">
        <w:t xml:space="preserve"> (scheduled for every five years), </w:t>
      </w:r>
      <w:r w:rsidR="008E70DE">
        <w:t xml:space="preserve"> together with available </w:t>
      </w:r>
      <w:r w:rsidR="00D070B1">
        <w:t xml:space="preserve">information on </w:t>
      </w:r>
      <w:r w:rsidR="008E70DE">
        <w:t xml:space="preserve">Puget Sound </w:t>
      </w:r>
      <w:r w:rsidR="00D070B1">
        <w:t>catch.</w:t>
      </w:r>
      <w:r w:rsidR="008E70DE">
        <w:t xml:space="preserve">  The latter</w:t>
      </w:r>
      <w:r w:rsidR="00D070B1">
        <w:t xml:space="preserve"> approach was determined to be </w:t>
      </w:r>
      <w:r w:rsidR="008E70DE">
        <w:t xml:space="preserve">the most reliable and representative </w:t>
      </w:r>
      <w:r w:rsidR="00D070B1">
        <w:t xml:space="preserve">for </w:t>
      </w:r>
      <w:r w:rsidR="00A62592">
        <w:t>deriv</w:t>
      </w:r>
      <w:r w:rsidR="00D070B1">
        <w:t>ing</w:t>
      </w:r>
      <w:r w:rsidR="00A62592">
        <w:t xml:space="preserve"> a </w:t>
      </w:r>
      <w:r w:rsidR="00D070B1">
        <w:t xml:space="preserve">freshwater </w:t>
      </w:r>
      <w:r w:rsidR="00A62592">
        <w:t xml:space="preserve">trip/fish </w:t>
      </w:r>
      <w:r w:rsidR="00D070B1">
        <w:t xml:space="preserve">caught </w:t>
      </w:r>
      <w:r w:rsidR="00A62592">
        <w:t>estimate for</w:t>
      </w:r>
      <w:r w:rsidR="00ED2C6B">
        <w:t xml:space="preserve"> the</w:t>
      </w:r>
      <w:r w:rsidR="00A62592">
        <w:t xml:space="preserve"> </w:t>
      </w:r>
      <w:r w:rsidR="00ED2C6B">
        <w:t xml:space="preserve">2015 </w:t>
      </w:r>
      <w:r w:rsidR="008E70DE">
        <w:t>Puget Sound</w:t>
      </w:r>
      <w:r w:rsidR="00ED2C6B">
        <w:t xml:space="preserve"> Chinook Harvest Plan analysis</w:t>
      </w:r>
      <w:r w:rsidR="008E70DE">
        <w:t>.</w:t>
      </w:r>
      <w:r w:rsidR="00A62592">
        <w:t xml:space="preserve"> </w:t>
      </w:r>
    </w:p>
    <w:p w:rsidR="00306D69" w:rsidRPr="00942259" w:rsidRDefault="00D86CCA" w:rsidP="00A376EF">
      <w:r>
        <w:t>The U.S. Fish and Wildlife Servi</w:t>
      </w:r>
      <w:r w:rsidR="00A376EF">
        <w:t>ce survey of fisher</w:t>
      </w:r>
      <w:r w:rsidR="00D070B1">
        <w:t>s</w:t>
      </w:r>
      <w:r w:rsidR="00A376EF">
        <w:t xml:space="preserve"> (</w:t>
      </w:r>
      <w:r w:rsidR="00306D69">
        <w:t xml:space="preserve">2011 report </w:t>
      </w:r>
      <w:r w:rsidR="00A376EF">
        <w:t>attached) provides an estimate of statewide Washington angler effort (angler days and trips), and an estimate of angler days directed at salmon and steelhead in freshwater</w:t>
      </w:r>
      <w:r w:rsidR="00D070B1">
        <w:t>(and saltwater)</w:t>
      </w:r>
      <w:r w:rsidR="00A376EF">
        <w:t>.  Angler days can be converted to angler trips by their ratio (0.961 trips per day</w:t>
      </w:r>
      <w:r w:rsidR="00306D69">
        <w:t xml:space="preserve"> in 2011</w:t>
      </w:r>
      <w:r w:rsidR="00A376EF">
        <w:t xml:space="preserve">). Salmon or steelhead </w:t>
      </w:r>
      <w:r w:rsidR="00A62592">
        <w:t>trips</w:t>
      </w:r>
      <w:r w:rsidR="00A376EF">
        <w:t xml:space="preserve"> in Puget Sound rivers </w:t>
      </w:r>
      <w:r w:rsidR="004F291A">
        <w:t xml:space="preserve">(freshwater) </w:t>
      </w:r>
      <w:r w:rsidR="00A376EF">
        <w:t>can be estimated by</w:t>
      </w:r>
      <w:r w:rsidR="004F291A">
        <w:t xml:space="preserve"> applying</w:t>
      </w:r>
      <w:r w:rsidR="00A376EF">
        <w:t xml:space="preserve"> </w:t>
      </w:r>
      <w:r w:rsidR="004F291A">
        <w:t>estimates of Puget Sound catch  to the angler success ratios</w:t>
      </w:r>
      <w:r w:rsidR="00A376EF">
        <w:t xml:space="preserve">. The WDFW Catch Record Card (CRC) analysis </w:t>
      </w:r>
      <w:r w:rsidR="008E70DE">
        <w:t>provided landed salmon and steelhead catch for Puget Sound.</w:t>
      </w:r>
      <w:r w:rsidR="00A376EF">
        <w:t xml:space="preserve">  </w:t>
      </w:r>
      <w:r w:rsidR="004F291A">
        <w:t>As shown in the table below, a</w:t>
      </w:r>
      <w:r w:rsidR="00A376EF">
        <w:t xml:space="preserve">ngler success </w:t>
      </w:r>
      <w:r w:rsidR="004F291A">
        <w:t xml:space="preserve">(i.e., trips per fish caught) </w:t>
      </w:r>
      <w:r w:rsidR="00A376EF">
        <w:t xml:space="preserve">in Puget Sound is </w:t>
      </w:r>
      <w:r w:rsidR="00ED2C6B">
        <w:t xml:space="preserve">estimated to be </w:t>
      </w:r>
      <w:r w:rsidR="00A376EF">
        <w:t>3.44 trips/salmon caught and 18.55 trips/steelhead caught</w:t>
      </w:r>
      <w:r w:rsidR="007B338C">
        <w:t xml:space="preserve"> in 2011</w:t>
      </w:r>
      <w:r w:rsidR="00A376EF">
        <w:t xml:space="preserve">.   </w:t>
      </w:r>
      <w:r w:rsidR="004F291A">
        <w:t>E</w:t>
      </w:r>
      <w:r w:rsidR="00306D69">
        <w:t xml:space="preserve">stimates </w:t>
      </w:r>
      <w:r w:rsidR="004F291A">
        <w:t xml:space="preserve">of </w:t>
      </w:r>
      <w:r w:rsidR="00532CF3">
        <w:t xml:space="preserve">salmon and steelhead </w:t>
      </w:r>
      <w:r w:rsidR="004F291A">
        <w:t xml:space="preserve">angler success in 2006 </w:t>
      </w:r>
      <w:r w:rsidR="00306D69">
        <w:t xml:space="preserve">are substantially different </w:t>
      </w:r>
      <w:r w:rsidR="00532CF3">
        <w:t>than for 2011,</w:t>
      </w:r>
      <w:r w:rsidR="00306D69">
        <w:t xml:space="preserve"> and </w:t>
      </w:r>
      <w:r w:rsidR="00532CF3">
        <w:t xml:space="preserve">are more consistent with the pattern of angler success observed from USFWS survey data from the </w:t>
      </w:r>
      <w:r w:rsidR="00306D69">
        <w:t>previous odd-year survey</w:t>
      </w:r>
      <w:r w:rsidR="00B13182">
        <w:t xml:space="preserve"> conducted in 2001</w:t>
      </w:r>
      <w:r w:rsidR="00306D69">
        <w:t xml:space="preserve">, i.e., higher trips/steelhead caught </w:t>
      </w:r>
      <w:r w:rsidR="00532CF3">
        <w:t xml:space="preserve">occur along with </w:t>
      </w:r>
      <w:r w:rsidR="00306D69">
        <w:t>lower trips/ salmon caught in odd years</w:t>
      </w:r>
      <w:r w:rsidR="00532CF3">
        <w:t>,</w:t>
      </w:r>
      <w:r w:rsidR="00306D69">
        <w:t xml:space="preserve"> which likely reflects the effect of large pink </w:t>
      </w:r>
      <w:r w:rsidR="00532CF3">
        <w:t xml:space="preserve">salmon </w:t>
      </w:r>
      <w:r w:rsidR="00306D69">
        <w:t>returns</w:t>
      </w:r>
      <w:r w:rsidR="00306D69" w:rsidRPr="00942259">
        <w:t>.  Therefore,</w:t>
      </w:r>
      <w:r w:rsidR="00532CF3">
        <w:t xml:space="preserve"> it was determined that</w:t>
      </w:r>
      <w:r w:rsidR="00306D69" w:rsidRPr="00942259">
        <w:t xml:space="preserve"> the 2006 estimates </w:t>
      </w:r>
      <w:r w:rsidR="00532CF3">
        <w:t xml:space="preserve">of salmon and steelhead angler success </w:t>
      </w:r>
      <w:r w:rsidR="00306D69" w:rsidRPr="00942259">
        <w:t>should be used for the even years</w:t>
      </w:r>
      <w:r w:rsidR="00532CF3">
        <w:t>,</w:t>
      </w:r>
      <w:r w:rsidR="00306D69" w:rsidRPr="00942259">
        <w:t xml:space="preserve"> and </w:t>
      </w:r>
      <w:r w:rsidR="00532CF3">
        <w:t xml:space="preserve">that </w:t>
      </w:r>
      <w:r w:rsidR="00306D69" w:rsidRPr="00942259">
        <w:t xml:space="preserve">the 2011 estimates </w:t>
      </w:r>
      <w:r w:rsidR="00532CF3">
        <w:t xml:space="preserve">of salmon and steelhead angler success should be used to estimate freshwater effort </w:t>
      </w:r>
      <w:r w:rsidR="00306D69" w:rsidRPr="00942259">
        <w:t xml:space="preserve">for the odd years </w:t>
      </w:r>
      <w:r w:rsidR="00532CF3">
        <w:t xml:space="preserve">over </w:t>
      </w:r>
      <w:r w:rsidR="00306D69" w:rsidRPr="00942259">
        <w:t xml:space="preserve">the base period (2001-2011) to </w:t>
      </w:r>
      <w:r w:rsidR="00532CF3">
        <w:t xml:space="preserve">more accurately </w:t>
      </w:r>
      <w:r w:rsidR="00306D69" w:rsidRPr="00942259">
        <w:t xml:space="preserve">account for this </w:t>
      </w:r>
      <w:r w:rsidR="00532CF3">
        <w:t xml:space="preserve">‘pink salmon’ </w:t>
      </w:r>
      <w:r w:rsidR="00306D69" w:rsidRPr="00942259">
        <w:t>effect.</w:t>
      </w:r>
    </w:p>
    <w:p w:rsidR="00A376EF" w:rsidRDefault="00532CF3" w:rsidP="00A376EF">
      <w:r>
        <w:lastRenderedPageBreak/>
        <w:t>Information in t</w:t>
      </w:r>
      <w:r w:rsidR="00A376EF">
        <w:t xml:space="preserve">he following table </w:t>
      </w:r>
      <w:r>
        <w:t xml:space="preserve">presents the data used to derive freshwater trips in Puget Sound (note that </w:t>
      </w:r>
      <w:r w:rsidR="00ED2C6B">
        <w:t xml:space="preserve">annual </w:t>
      </w:r>
      <w:r>
        <w:t xml:space="preserve">trips </w:t>
      </w:r>
      <w:r w:rsidR="00ED2C6B">
        <w:t xml:space="preserve">for salmon </w:t>
      </w:r>
      <w:r>
        <w:t>in marine waters are reported by WDFW)</w:t>
      </w:r>
      <w:r w:rsidR="00A376EF">
        <w:t>:</w:t>
      </w:r>
    </w:p>
    <w:p w:rsidR="00532CF3" w:rsidRDefault="00532CF3" w:rsidP="00A376EF"/>
    <w:p w:rsidR="00A376EF" w:rsidRDefault="00942259" w:rsidP="00A376EF">
      <w:r>
        <w:rPr>
          <w:noProof/>
        </w:rPr>
        <mc:AlternateContent>
          <mc:Choice Requires="wps">
            <w:drawing>
              <wp:anchor distT="0" distB="0" distL="114300" distR="114300" simplePos="0" relativeHeight="251659264" behindDoc="0" locked="0" layoutInCell="1" allowOverlap="1">
                <wp:simplePos x="0" y="0"/>
                <wp:positionH relativeFrom="column">
                  <wp:posOffset>-176270</wp:posOffset>
                </wp:positionH>
                <wp:positionV relativeFrom="paragraph">
                  <wp:posOffset>-187287</wp:posOffset>
                </wp:positionV>
                <wp:extent cx="6356733" cy="4329629"/>
                <wp:effectExtent l="0" t="0" r="25400" b="13970"/>
                <wp:wrapNone/>
                <wp:docPr id="1" name="Rectangle 1"/>
                <wp:cNvGraphicFramePr/>
                <a:graphic xmlns:a="http://schemas.openxmlformats.org/drawingml/2006/main">
                  <a:graphicData uri="http://schemas.microsoft.com/office/word/2010/wordprocessingShape">
                    <wps:wsp>
                      <wps:cNvSpPr/>
                      <wps:spPr>
                        <a:xfrm>
                          <a:off x="0" y="0"/>
                          <a:ext cx="6356733" cy="4329629"/>
                        </a:xfrm>
                        <a:prstGeom prst="rect">
                          <a:avLst/>
                        </a:prstGeom>
                        <a:noFill/>
                        <a:ln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2E548" id="Rectangle 1" o:spid="_x0000_s1026" style="position:absolute;margin-left:-13.9pt;margin-top:-14.75pt;width:500.55pt;height:34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UUoAIAAJYFAAAOAAAAZHJzL2Uyb0RvYy54bWysVN9PGzEMfp+0/yHK+7j+osCJK6pATJMQ&#10;IGDiOeSSXrQkzpK01+6vn5O7XiuG9jCtD2l8tj/bX2xfXm2NJhvhgwJb0fHJiBJhOdTKrir6/eX2&#10;yzklITJbMw1WVHQnAr1afP502bpSTKABXQtPEMSGsnUVbWJ0ZVEE3gjDwgk4YVEpwRsWUfSrovas&#10;RXSji8loNC9a8LXzwEUI+PWmU9JFxpdS8PggZRCR6IpibjGfPp9v6SwWl6xceeYaxfs02D9kYZiy&#10;GHSAumGRkbVXf0AZxT0EkPGEgylASsVFrgGrGY/eVfPcMCdyLUhOcANN4f/B8vvNoyeqxrejxDKD&#10;T/SEpDG70oKMEz2tCyVaPbtH30sBr6nWrfQm/WMVZJsp3Q2Uim0kHD/Op6fzs+mUEo662XRyMZ9c&#10;JNTi4O58iF8FGJIuFfUYPlPJNnchdqZ7kxTNwq3SGr+zUlvCjcPcI77ej5emf4MAWtXJKNnkThLX&#10;2pMNwx6I21wUhj+yQklbzCmV2hWXb3GnRRfmSUjkCMuZ5MzeYTLOhY3jTtWwWnShTkf462sdPHLl&#10;2iJgQpaY5IDdA6TOP+S7x+546O2Tq8jNPTiP/pZY5zx45Mhg4+BslAX/EYDGqvrInf2epI6axNIb&#10;1DvsIA/daAXHbxW+4x0L8ZF5nCWcOtwP8QEPqaGtKPQ3Shrwvz76nuyxxVFLSYuzWdHwc828oER/&#10;s9j8F+PZLA1zFmanZxMU/LHm7Vhj1+Ya8OmxwTG7fE32Ue+v0oN5xTWyTFFRxSzH2BXl0e+F69jt&#10;DFxEXCyX2QwH2LF4Z58dT+CJ1dSnL9tX5l3fzBHn4B72c8zKdz3d2SZPC8t1BKlywx947fnG4c+N&#10;0y+qtF2O5Wx1WKeL3wAAAP//AwBQSwMEFAAGAAgAAAAhANNNekbhAAAACwEAAA8AAABkcnMvZG93&#10;bnJldi54bWxMj0trwzAQhO+F/gexhV5CIsfGebiWQykUSi+laclZsba2qbUyluLHv+/m1Nx22GHm&#10;m/ww2VYM2PvGkYL1KgKBVDrTUKXg++t1uQPhgyajW0eoYEYPh+L+LteZcSN94nAMleAQ8plWUIfQ&#10;ZVL6skar/cp1SPz7cb3VgWVfSdPrkcNtK+Mo2kirG+KGWnf4UmP5e7xYBUPs3WJtkrf0fbH7MPZU&#10;neZ5VOrxYXp+AhFwCv9muOIzOhTMdHYXMl60CpbxltHD9dinINix3yYJiLOCTRonIItc3m4o/gAA&#10;AP//AwBQSwECLQAUAAYACAAAACEAtoM4kv4AAADhAQAAEwAAAAAAAAAAAAAAAAAAAAAAW0NvbnRl&#10;bnRfVHlwZXNdLnhtbFBLAQItABQABgAIAAAAIQA4/SH/1gAAAJQBAAALAAAAAAAAAAAAAAAAAC8B&#10;AABfcmVscy8ucmVsc1BLAQItABQABgAIAAAAIQAlhbUUoAIAAJYFAAAOAAAAAAAAAAAAAAAAAC4C&#10;AABkcnMvZTJvRG9jLnhtbFBLAQItABQABgAIAAAAIQDTTXpG4QAAAAsBAAAPAAAAAAAAAAAAAAAA&#10;APoEAABkcnMvZG93bnJldi54bWxQSwUGAAAAAAQABADzAAAACAYAAAAA&#10;" filled="f" strokecolor="black [3213]" strokeweight="2pt">
                <v:stroke linestyle="thickThin"/>
              </v:rect>
            </w:pict>
          </mc:Fallback>
        </mc:AlternateContent>
      </w:r>
      <w:r w:rsidR="00A62592" w:rsidRPr="00A62592">
        <w:rPr>
          <w:noProof/>
        </w:rPr>
        <w:drawing>
          <wp:inline distT="0" distB="0" distL="0" distR="0" wp14:anchorId="29BE0C46" wp14:editId="7AE9B523">
            <wp:extent cx="5949108" cy="2842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39720"/>
                    </a:xfrm>
                    <a:prstGeom prst="rect">
                      <a:avLst/>
                    </a:prstGeom>
                    <a:noFill/>
                    <a:ln>
                      <a:noFill/>
                    </a:ln>
                  </pic:spPr>
                </pic:pic>
              </a:graphicData>
            </a:graphic>
          </wp:inline>
        </w:drawing>
      </w:r>
    </w:p>
    <w:p w:rsidR="00A62592" w:rsidRPr="00942259" w:rsidRDefault="00A376EF" w:rsidP="00A376EF">
      <w:pPr>
        <w:rPr>
          <w:b/>
          <w:i/>
          <w:sz w:val="20"/>
          <w:szCs w:val="20"/>
        </w:rPr>
      </w:pPr>
      <w:r w:rsidRPr="00942259">
        <w:rPr>
          <w:b/>
          <w:i/>
          <w:sz w:val="20"/>
          <w:szCs w:val="20"/>
        </w:rPr>
        <w:t xml:space="preserve">These angler success calculations assume that angler effort is distributed among regions of the state in the same proportions as landed catch, and that angler success for ‘salmon’ accurately represents the probable differences among species. </w:t>
      </w:r>
    </w:p>
    <w:p w:rsidR="00A376EF" w:rsidRPr="00942259" w:rsidRDefault="00A62592" w:rsidP="00A376EF">
      <w:pPr>
        <w:rPr>
          <w:b/>
          <w:i/>
          <w:sz w:val="20"/>
          <w:szCs w:val="20"/>
        </w:rPr>
      </w:pPr>
      <w:r w:rsidRPr="00942259">
        <w:rPr>
          <w:b/>
          <w:i/>
          <w:sz w:val="20"/>
          <w:szCs w:val="20"/>
        </w:rPr>
        <w:t>It should be noted that the estimate does not account for fish caught and released as would occur in mark selective fisheries for salmon and steelhead.</w:t>
      </w:r>
    </w:p>
    <w:p w:rsidR="00D86CCA" w:rsidRDefault="00D86CCA"/>
    <w:p w:rsidR="004064AA" w:rsidRDefault="004064AA">
      <w:r>
        <w:t xml:space="preserve">The </w:t>
      </w:r>
      <w:r w:rsidR="00004CBC">
        <w:t xml:space="preserve">2006 and 2011 estimates of </w:t>
      </w:r>
      <w:r>
        <w:t xml:space="preserve">trips/fish caught </w:t>
      </w:r>
      <w:r w:rsidR="00004CBC">
        <w:t xml:space="preserve">in the table </w:t>
      </w:r>
      <w:r>
        <w:t xml:space="preserve">were multiplied </w:t>
      </w:r>
      <w:r w:rsidR="00004CBC">
        <w:t xml:space="preserve">by </w:t>
      </w:r>
      <w:r>
        <w:t xml:space="preserve">the </w:t>
      </w:r>
      <w:r w:rsidR="00004CBC">
        <w:t xml:space="preserve">reported number of </w:t>
      </w:r>
      <w:r>
        <w:t xml:space="preserve">Puget Sound freshwater salmon and steelhead </w:t>
      </w:r>
      <w:r w:rsidR="00004CBC">
        <w:t xml:space="preserve">caught </w:t>
      </w:r>
      <w:r>
        <w:t xml:space="preserve">each year </w:t>
      </w:r>
      <w:r w:rsidR="00004CBC">
        <w:t>over</w:t>
      </w:r>
      <w:r>
        <w:t xml:space="preserve"> the base period 2000-2011 (i.e., 2006 for even years and 2011 for odd years) to provide an estimate of freshwater trips for salmon and for steelhead </w:t>
      </w:r>
      <w:r w:rsidR="00004CBC">
        <w:t xml:space="preserve">in </w:t>
      </w:r>
      <w:r w:rsidR="00ED2C6B">
        <w:t xml:space="preserve">each </w:t>
      </w:r>
      <w:r w:rsidR="00004CBC">
        <w:t xml:space="preserve">even-numbered and odd-numbered year over </w:t>
      </w:r>
      <w:r>
        <w:t>the base period.</w:t>
      </w:r>
      <w:r w:rsidR="004D4FF7">
        <w:t xml:space="preserve">  The </w:t>
      </w:r>
      <w:r w:rsidR="00004CBC">
        <w:t xml:space="preserve">estimated </w:t>
      </w:r>
      <w:r w:rsidR="004D4FF7">
        <w:t xml:space="preserve">number of freshwater </w:t>
      </w:r>
      <w:r w:rsidR="00004CBC">
        <w:t xml:space="preserve">trips during each even- and odd-numbered year was added to the reported number of </w:t>
      </w:r>
      <w:r w:rsidR="004D4FF7">
        <w:t xml:space="preserve">marine trips in Puget Sound </w:t>
      </w:r>
      <w:r w:rsidR="00004CBC">
        <w:t xml:space="preserve">during each </w:t>
      </w:r>
      <w:r w:rsidR="00D63F75">
        <w:t xml:space="preserve">of the </w:t>
      </w:r>
      <w:r w:rsidR="00004CBC">
        <w:t>even- and odd-numbered year</w:t>
      </w:r>
      <w:r w:rsidR="00004CBC" w:rsidDel="00004CBC">
        <w:t xml:space="preserve"> </w:t>
      </w:r>
      <w:r w:rsidR="004D4FF7">
        <w:t xml:space="preserve"> an</w:t>
      </w:r>
      <w:r w:rsidR="00235D62">
        <w:t xml:space="preserve">d </w:t>
      </w:r>
      <w:r w:rsidR="00004CBC">
        <w:t xml:space="preserve">then </w:t>
      </w:r>
      <w:r w:rsidR="00235D62">
        <w:t>averaged over the base period.  Th</w:t>
      </w:r>
      <w:r w:rsidR="00004CBC">
        <w:t xml:space="preserve">e </w:t>
      </w:r>
      <w:r w:rsidR="00235D62">
        <w:t>estimate</w:t>
      </w:r>
      <w:r w:rsidR="00004CBC">
        <w:t>s</w:t>
      </w:r>
      <w:r w:rsidR="00235D62">
        <w:t xml:space="preserve"> of total average Puget Sound fishing trips </w:t>
      </w:r>
      <w:r w:rsidR="00004CBC">
        <w:t>during even- and odd-numbered year</w:t>
      </w:r>
      <w:r w:rsidR="00004CBC" w:rsidDel="00004CBC">
        <w:t xml:space="preserve"> </w:t>
      </w:r>
      <w:r w:rsidR="00235D62">
        <w:t xml:space="preserve">was </w:t>
      </w:r>
      <w:r w:rsidR="00004CBC">
        <w:t>converted to angler days using trips</w:t>
      </w:r>
      <w:r w:rsidR="00337C9D">
        <w:t>-</w:t>
      </w:r>
      <w:r w:rsidR="00004CBC">
        <w:t xml:space="preserve">to-angler day ratios </w:t>
      </w:r>
      <w:r w:rsidR="00337C9D">
        <w:t xml:space="preserve">derived from the 2006 and 2011 USFWS data </w:t>
      </w:r>
      <w:r w:rsidR="00D63F75">
        <w:t xml:space="preserve">(see table above) </w:t>
      </w:r>
      <w:r w:rsidR="00337C9D">
        <w:t>for purposes of estimating</w:t>
      </w:r>
      <w:r w:rsidR="00235D62">
        <w:t xml:space="preserve"> the </w:t>
      </w:r>
      <w:r w:rsidR="00337C9D">
        <w:t xml:space="preserve">average annual </w:t>
      </w:r>
      <w:r w:rsidR="00235D62">
        <w:t>net economic value of the Puget Sound salmon and steelhead sport fishery.</w:t>
      </w:r>
    </w:p>
    <w:sectPr w:rsidR="004064A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4D45" w:rsidRDefault="00084D45" w:rsidP="00CF4920">
      <w:pPr>
        <w:spacing w:after="0" w:line="240" w:lineRule="auto"/>
      </w:pPr>
      <w:r>
        <w:separator/>
      </w:r>
    </w:p>
  </w:endnote>
  <w:endnote w:type="continuationSeparator" w:id="0">
    <w:p w:rsidR="00084D45" w:rsidRDefault="00084D45" w:rsidP="00CF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3980279"/>
      <w:docPartObj>
        <w:docPartGallery w:val="Page Numbers (Bottom of Page)"/>
        <w:docPartUnique/>
      </w:docPartObj>
    </w:sdtPr>
    <w:sdtEndPr/>
    <w:sdtContent>
      <w:sdt>
        <w:sdtPr>
          <w:id w:val="860082579"/>
          <w:docPartObj>
            <w:docPartGallery w:val="Page Numbers (Top of Page)"/>
            <w:docPartUnique/>
          </w:docPartObj>
        </w:sdtPr>
        <w:sdtEndPr/>
        <w:sdtContent>
          <w:p w:rsidR="00CF4920" w:rsidRDefault="00CF492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44BF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4BFF">
              <w:rPr>
                <w:b/>
                <w:bCs/>
                <w:noProof/>
              </w:rPr>
              <w:t>2</w:t>
            </w:r>
            <w:r>
              <w:rPr>
                <w:b/>
                <w:bCs/>
                <w:sz w:val="24"/>
                <w:szCs w:val="24"/>
              </w:rPr>
              <w:fldChar w:fldCharType="end"/>
            </w:r>
          </w:p>
        </w:sdtContent>
      </w:sdt>
    </w:sdtContent>
  </w:sdt>
  <w:p w:rsidR="00CF4920" w:rsidRDefault="00D51FDC">
    <w:pPr>
      <w:pStyle w:val="Footer"/>
    </w:pPr>
    <w:r>
      <w:t>8/27/2013 3:59 PM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4D45" w:rsidRDefault="00084D45" w:rsidP="00CF4920">
      <w:pPr>
        <w:spacing w:after="0" w:line="240" w:lineRule="auto"/>
      </w:pPr>
      <w:r>
        <w:separator/>
      </w:r>
    </w:p>
  </w:footnote>
  <w:footnote w:type="continuationSeparator" w:id="0">
    <w:p w:rsidR="00084D45" w:rsidRDefault="00084D45" w:rsidP="00CF49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920" w:rsidRDefault="00084D45">
    <w:pPr>
      <w:pStyle w:val="Header"/>
    </w:pPr>
    <w:sdt>
      <w:sdtPr>
        <w:id w:val="-688994073"/>
        <w:docPartObj>
          <w:docPartGallery w:val="Watermarks"/>
          <w:docPartUnique/>
        </w:docPartObj>
      </w:sdtPr>
      <w:sdtEndPr/>
      <w:sdtContent>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51FDC">
      <w:t>DRAFT – DO NOT CITE OR DISTRIBUTE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CCA"/>
    <w:rsid w:val="00004CBC"/>
    <w:rsid w:val="00027C1E"/>
    <w:rsid w:val="00044BFF"/>
    <w:rsid w:val="00084D45"/>
    <w:rsid w:val="000F031B"/>
    <w:rsid w:val="00223E99"/>
    <w:rsid w:val="00235D62"/>
    <w:rsid w:val="00306D69"/>
    <w:rsid w:val="00337C9D"/>
    <w:rsid w:val="004064AA"/>
    <w:rsid w:val="004D4FF7"/>
    <w:rsid w:val="004F291A"/>
    <w:rsid w:val="00532CF3"/>
    <w:rsid w:val="005C0779"/>
    <w:rsid w:val="005D6342"/>
    <w:rsid w:val="00604DE6"/>
    <w:rsid w:val="006C584D"/>
    <w:rsid w:val="007A1FC7"/>
    <w:rsid w:val="007B338C"/>
    <w:rsid w:val="00881742"/>
    <w:rsid w:val="00890C3F"/>
    <w:rsid w:val="008C18AE"/>
    <w:rsid w:val="008E70DE"/>
    <w:rsid w:val="00942259"/>
    <w:rsid w:val="00A065C3"/>
    <w:rsid w:val="00A376EF"/>
    <w:rsid w:val="00A62592"/>
    <w:rsid w:val="00B13182"/>
    <w:rsid w:val="00C50037"/>
    <w:rsid w:val="00CF4920"/>
    <w:rsid w:val="00D070B1"/>
    <w:rsid w:val="00D3740C"/>
    <w:rsid w:val="00D51FDC"/>
    <w:rsid w:val="00D63F75"/>
    <w:rsid w:val="00D86CCA"/>
    <w:rsid w:val="00ED2C6B"/>
    <w:rsid w:val="00ED7FED"/>
    <w:rsid w:val="00FB6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FF280975-A63A-4A02-9933-6A585477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7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6EF"/>
    <w:rPr>
      <w:rFonts w:ascii="Tahoma" w:hAnsi="Tahoma" w:cs="Tahoma"/>
      <w:sz w:val="16"/>
      <w:szCs w:val="16"/>
    </w:rPr>
  </w:style>
  <w:style w:type="character" w:styleId="CommentReference">
    <w:name w:val="annotation reference"/>
    <w:basedOn w:val="DefaultParagraphFont"/>
    <w:uiPriority w:val="99"/>
    <w:semiHidden/>
    <w:unhideWhenUsed/>
    <w:rsid w:val="00306D69"/>
    <w:rPr>
      <w:sz w:val="16"/>
      <w:szCs w:val="16"/>
    </w:rPr>
  </w:style>
  <w:style w:type="paragraph" w:styleId="CommentText">
    <w:name w:val="annotation text"/>
    <w:basedOn w:val="Normal"/>
    <w:link w:val="CommentTextChar"/>
    <w:uiPriority w:val="99"/>
    <w:semiHidden/>
    <w:unhideWhenUsed/>
    <w:rsid w:val="00306D69"/>
    <w:pPr>
      <w:spacing w:line="240" w:lineRule="auto"/>
    </w:pPr>
    <w:rPr>
      <w:sz w:val="20"/>
      <w:szCs w:val="20"/>
    </w:rPr>
  </w:style>
  <w:style w:type="character" w:customStyle="1" w:styleId="CommentTextChar">
    <w:name w:val="Comment Text Char"/>
    <w:basedOn w:val="DefaultParagraphFont"/>
    <w:link w:val="CommentText"/>
    <w:uiPriority w:val="99"/>
    <w:semiHidden/>
    <w:rsid w:val="00306D69"/>
    <w:rPr>
      <w:sz w:val="20"/>
      <w:szCs w:val="20"/>
    </w:rPr>
  </w:style>
  <w:style w:type="paragraph" w:styleId="CommentSubject">
    <w:name w:val="annotation subject"/>
    <w:basedOn w:val="CommentText"/>
    <w:next w:val="CommentText"/>
    <w:link w:val="CommentSubjectChar"/>
    <w:uiPriority w:val="99"/>
    <w:semiHidden/>
    <w:unhideWhenUsed/>
    <w:rsid w:val="00306D69"/>
    <w:rPr>
      <w:b/>
      <w:bCs/>
    </w:rPr>
  </w:style>
  <w:style w:type="character" w:customStyle="1" w:styleId="CommentSubjectChar">
    <w:name w:val="Comment Subject Char"/>
    <w:basedOn w:val="CommentTextChar"/>
    <w:link w:val="CommentSubject"/>
    <w:uiPriority w:val="99"/>
    <w:semiHidden/>
    <w:rsid w:val="00306D69"/>
    <w:rPr>
      <w:b/>
      <w:bCs/>
      <w:sz w:val="20"/>
      <w:szCs w:val="20"/>
    </w:rPr>
  </w:style>
  <w:style w:type="paragraph" w:styleId="Header">
    <w:name w:val="header"/>
    <w:basedOn w:val="Normal"/>
    <w:link w:val="HeaderChar"/>
    <w:uiPriority w:val="99"/>
    <w:unhideWhenUsed/>
    <w:rsid w:val="00CF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920"/>
  </w:style>
  <w:style w:type="paragraph" w:styleId="Footer">
    <w:name w:val="footer"/>
    <w:basedOn w:val="Normal"/>
    <w:link w:val="FooterChar"/>
    <w:uiPriority w:val="99"/>
    <w:unhideWhenUsed/>
    <w:rsid w:val="00CF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Susan.Bishop</dc:creator>
  <cp:lastModifiedBy>Jon Carey</cp:lastModifiedBy>
  <cp:revision>2</cp:revision>
  <cp:lastPrinted>2013-09-20T21:33:00Z</cp:lastPrinted>
  <dcterms:created xsi:type="dcterms:W3CDTF">2018-12-01T00:18:00Z</dcterms:created>
  <dcterms:modified xsi:type="dcterms:W3CDTF">2018-12-01T00:18:00Z</dcterms:modified>
</cp:coreProperties>
</file>