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92925" w14:textId="77777777" w:rsidR="006B7BAC" w:rsidRDefault="00424898">
      <w:pPr>
        <w:pStyle w:val="Title"/>
      </w:pPr>
      <w:r>
        <w:t>Examination of Selected Factors Affecting Survival and Productivity of Tucannon River Spring Chinook Salmon and Implications for the Future</w:t>
      </w:r>
    </w:p>
    <w:p w14:paraId="55F92926" w14:textId="77777777" w:rsidR="006B7BAC" w:rsidRDefault="00424898">
      <w:pPr>
        <w:pStyle w:val="Author"/>
      </w:pPr>
      <w:r>
        <w:t>Michael Gallinat</w:t>
      </w:r>
    </w:p>
    <w:p w14:paraId="55F92927" w14:textId="77777777" w:rsidR="006B7BAC" w:rsidRDefault="00424898">
      <w:pPr>
        <w:pStyle w:val="Author"/>
      </w:pPr>
      <w:r>
        <w:t>Kevin See</w:t>
      </w:r>
    </w:p>
    <w:p w14:paraId="55F92928" w14:textId="77777777" w:rsidR="006B7BAC" w:rsidRDefault="00424898">
      <w:pPr>
        <w:pStyle w:val="Date"/>
      </w:pPr>
      <w:r>
        <w:t>2026-07-02</w:t>
      </w:r>
    </w:p>
    <w:p w14:paraId="55F92929" w14:textId="77777777" w:rsidR="006B7BAC" w:rsidRDefault="00424898">
      <w:pPr>
        <w:pStyle w:val="Heading1"/>
      </w:pPr>
      <w:bookmarkStart w:id="0" w:name="introduction"/>
      <w:r>
        <w:t>Introduction</w:t>
      </w:r>
    </w:p>
    <w:p w14:paraId="55F9292A" w14:textId="77777777" w:rsidR="006B7BAC" w:rsidRDefault="00424898">
      <w:pPr>
        <w:pStyle w:val="FirstParagraph"/>
      </w:pPr>
      <w:r>
        <w:t>The goals of this work are to:</w:t>
      </w:r>
    </w:p>
    <w:p w14:paraId="55F9292B" w14:textId="77777777" w:rsidR="006B7BAC" w:rsidRDefault="00424898">
      <w:pPr>
        <w:pStyle w:val="Compact"/>
        <w:numPr>
          <w:ilvl w:val="0"/>
          <w:numId w:val="2"/>
        </w:numPr>
      </w:pPr>
      <w:r>
        <w:t>Examine several covariates to determine if they help explain fluctuations in Tucannon Spring Chinook productivity as measured in smolts/spawner. These possible covariates include:</w:t>
      </w:r>
    </w:p>
    <w:p w14:paraId="55F9292C" w14:textId="77777777" w:rsidR="006B7BAC" w:rsidRDefault="00424898">
      <w:pPr>
        <w:pStyle w:val="Compact"/>
        <w:numPr>
          <w:ilvl w:val="0"/>
          <w:numId w:val="3"/>
        </w:numPr>
      </w:pPr>
      <w:r>
        <w:t>the total number of spawners each brood year,</w:t>
      </w:r>
    </w:p>
    <w:p w14:paraId="55F9292D" w14:textId="77777777" w:rsidR="006B7BAC" w:rsidRDefault="00424898">
      <w:pPr>
        <w:pStyle w:val="Compact"/>
        <w:numPr>
          <w:ilvl w:val="0"/>
          <w:numId w:val="3"/>
        </w:numPr>
      </w:pPr>
      <w:r>
        <w:t>pHOS,</w:t>
      </w:r>
    </w:p>
    <w:p w14:paraId="55F9292E" w14:textId="77777777" w:rsidR="006B7BAC" w:rsidRDefault="00424898">
      <w:pPr>
        <w:pStyle w:val="Compact"/>
        <w:numPr>
          <w:ilvl w:val="0"/>
          <w:numId w:val="3"/>
        </w:numPr>
      </w:pPr>
      <w:r>
        <w:t>proportion of strays,</w:t>
      </w:r>
    </w:p>
    <w:p w14:paraId="55F9292F" w14:textId="77777777" w:rsidR="006B7BAC" w:rsidRDefault="00424898">
      <w:pPr>
        <w:pStyle w:val="Compact"/>
        <w:numPr>
          <w:ilvl w:val="0"/>
          <w:numId w:val="3"/>
        </w:numPr>
      </w:pPr>
      <w:r>
        <w:t>the mean river kilometer of the redd distribution that year,</w:t>
      </w:r>
    </w:p>
    <w:p w14:paraId="55F92930" w14:textId="77777777" w:rsidR="006B7BAC" w:rsidRDefault="00424898">
      <w:pPr>
        <w:pStyle w:val="Compact"/>
        <w:numPr>
          <w:ilvl w:val="0"/>
          <w:numId w:val="3"/>
        </w:numPr>
      </w:pPr>
      <w:r>
        <w:t>the standard deviation of the redd river kilometer and</w:t>
      </w:r>
    </w:p>
    <w:p w14:paraId="55F92931" w14:textId="77777777" w:rsidR="006B7BAC" w:rsidRDefault="00424898">
      <w:pPr>
        <w:pStyle w:val="Compact"/>
        <w:numPr>
          <w:ilvl w:val="0"/>
          <w:numId w:val="3"/>
        </w:numPr>
      </w:pPr>
      <w:r>
        <w:t>the year of smolt emigration.</w:t>
      </w:r>
    </w:p>
    <w:p w14:paraId="55F92932" w14:textId="77777777" w:rsidR="006B7BAC" w:rsidRDefault="00424898">
      <w:pPr>
        <w:pStyle w:val="Compact"/>
        <w:numPr>
          <w:ilvl w:val="0"/>
          <w:numId w:val="4"/>
        </w:numPr>
      </w:pPr>
      <w:r>
        <w:t>Determine if smolt size (e.g. mean fork length) or pHOS has an impact on various recruitment metrics such as:</w:t>
      </w:r>
    </w:p>
    <w:p w14:paraId="55F92933" w14:textId="77777777" w:rsidR="006B7BAC" w:rsidRDefault="00424898">
      <w:pPr>
        <w:pStyle w:val="Compact"/>
        <w:numPr>
          <w:ilvl w:val="0"/>
          <w:numId w:val="5"/>
        </w:numPr>
      </w:pPr>
      <w:r>
        <w:t>total (ages 3-5) SAR,</w:t>
      </w:r>
    </w:p>
    <w:p w14:paraId="55F92934" w14:textId="77777777" w:rsidR="006B7BAC" w:rsidRDefault="00424898">
      <w:pPr>
        <w:pStyle w:val="Compact"/>
        <w:numPr>
          <w:ilvl w:val="0"/>
          <w:numId w:val="5"/>
        </w:numPr>
      </w:pPr>
      <w:r>
        <w:t>returns per spawner,</w:t>
      </w:r>
    </w:p>
    <w:p w14:paraId="55F92935" w14:textId="77777777" w:rsidR="006B7BAC" w:rsidRDefault="00424898">
      <w:pPr>
        <w:pStyle w:val="FirstParagraph"/>
      </w:pPr>
      <w:r>
        <w:t>while accounting for possible effects of brood year.</w:t>
      </w:r>
    </w:p>
    <w:tbl>
      <w:tblPr>
        <w:tblStyle w:val="Table"/>
        <w:tblW w:w="5000" w:type="pct"/>
        <w:tblLayout w:type="fixed"/>
        <w:tblLook w:val="0000" w:firstRow="0" w:lastRow="0" w:firstColumn="0" w:lastColumn="0" w:noHBand="0" w:noVBand="0"/>
      </w:tblPr>
      <w:tblGrid>
        <w:gridCol w:w="9360"/>
      </w:tblGrid>
      <w:tr w:rsidR="006B7BAC" w14:paraId="55F92938" w14:textId="77777777">
        <w:tc>
          <w:tcPr>
            <w:tcW w:w="7920" w:type="dxa"/>
          </w:tcPr>
          <w:p w14:paraId="55F92936" w14:textId="77777777" w:rsidR="006B7BAC" w:rsidRDefault="00424898">
            <w:pPr>
              <w:pStyle w:val="Compact"/>
              <w:jc w:val="center"/>
            </w:pPr>
            <w:bookmarkStart w:id="1" w:name="fig-prelim-ts"/>
            <w:r>
              <w:rPr>
                <w:noProof/>
              </w:rPr>
              <w:lastRenderedPageBreak/>
              <w:drawing>
                <wp:inline distT="0" distB="0" distL="0" distR="0" wp14:anchorId="55F92A35" wp14:editId="55F92A36">
                  <wp:extent cx="5334000" cy="71120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Methods_Results_files/figure-docx/fig-prelim-ts-1.png"/>
                          <pic:cNvPicPr>
                            <a:picLocks noChangeAspect="1" noChangeArrowheads="1"/>
                          </pic:cNvPicPr>
                        </pic:nvPicPr>
                        <pic:blipFill>
                          <a:blip r:embed="rId5"/>
                          <a:stretch>
                            <a:fillRect/>
                          </a:stretch>
                        </pic:blipFill>
                        <pic:spPr bwMode="auto">
                          <a:xfrm>
                            <a:off x="0" y="0"/>
                            <a:ext cx="5334000" cy="7112000"/>
                          </a:xfrm>
                          <a:prstGeom prst="rect">
                            <a:avLst/>
                          </a:prstGeom>
                          <a:noFill/>
                          <a:ln w="9525">
                            <a:noFill/>
                            <a:headEnd/>
                            <a:tailEnd/>
                          </a:ln>
                        </pic:spPr>
                      </pic:pic>
                    </a:graphicData>
                  </a:graphic>
                </wp:inline>
              </w:drawing>
            </w:r>
          </w:p>
          <w:p w14:paraId="55F92937" w14:textId="77777777" w:rsidR="006B7BAC" w:rsidRDefault="00424898">
            <w:pPr>
              <w:pStyle w:val="ImageCaption"/>
              <w:spacing w:before="200"/>
            </w:pPr>
            <w:r>
              <w:t>Figure 1: Time series plots of Tucannon River Spring Chinook Salmon data showing spawners (A), smolts (B), smolts/spawner (C), pHOS (D), and the proportion of out-of-basin strays (E) in the Tucannon watershed through time</w:t>
            </w:r>
          </w:p>
        </w:tc>
        <w:bookmarkEnd w:id="1"/>
      </w:tr>
    </w:tbl>
    <w:p w14:paraId="55F92939" w14:textId="77777777" w:rsidR="006B7BAC" w:rsidRDefault="00424898">
      <w:pPr>
        <w:pStyle w:val="Heading1"/>
      </w:pPr>
      <w:bookmarkStart w:id="2" w:name="methods---data-analysis"/>
      <w:bookmarkEnd w:id="0"/>
      <w:r>
        <w:lastRenderedPageBreak/>
        <w:t>Methods - Data Analysis</w:t>
      </w:r>
    </w:p>
    <w:p w14:paraId="55F9293A" w14:textId="77777777" w:rsidR="006B7BAC" w:rsidRDefault="00424898">
      <w:pPr>
        <w:pStyle w:val="Heading2"/>
      </w:pPr>
      <w:bookmarkStart w:id="3" w:name="covariates"/>
      <w:r>
        <w:t>Covariates</w:t>
      </w:r>
    </w:p>
    <w:p w14:paraId="55F9293B" w14:textId="77777777" w:rsidR="006B7BAC" w:rsidRDefault="00424898">
      <w:pPr>
        <w:pStyle w:val="FirstParagraph"/>
      </w:pPr>
      <w:r>
        <w:t>We investigated the influence of hatchery-origin spawners on smolts per spawner by using the proportion of hatchery origin spawners (pHOS) as a covariate. In addition, we examined the potential effect of out-of-basin hatchery strays to explore the possibility that out-of-basin hatchery fish could have a different impact on smolts per spawner than the integrated hatchery fish of the Tucannon program. Because pHOS and the proportion of out-of-basin hatchery strays are correlated (</w:t>
      </w:r>
      <m:oMath>
        <m:r>
          <w:rPr>
            <w:rFonts w:ascii="Cambria Math" w:hAnsi="Cambria Math"/>
          </w:rPr>
          <m:t>r</m:t>
        </m:r>
      </m:oMath>
      <w:r>
        <w:t xml:space="preserve"> = 0.63, </w:t>
      </w:r>
      <w:hyperlink w:anchor="tbl-correlations">
        <w:r w:rsidR="006B7BAC">
          <w:rPr>
            <w:rStyle w:val="Hyperlink"/>
          </w:rPr>
          <w:t>Table 1</w:t>
        </w:r>
      </w:hyperlink>
      <w:r>
        <w:t>), instead of using both covariates independently, we included pHOS as a covariate, and the interaction between pHOS and the proportion of strays. This interaction represents the difference between Tucannon hatchery origin spawners and out-of-basin hatchery origin spawners.</w:t>
      </w:r>
    </w:p>
    <w:p w14:paraId="55F9293C" w14:textId="77777777" w:rsidR="006B7BAC" w:rsidRDefault="00424898">
      <w:pPr>
        <w:pStyle w:val="BodyText"/>
      </w:pPr>
      <w:r>
        <w:t>Differences in local rearing habitat within the Tucannon may also contribute to differences in smolts per spawner because of how redds can be distributed across the watershed. The hatchery weir on the Tucannon is located at rkm 59, and may impact adult passage through delays, etc. (Wilson and Buehrens 2024). The habitat in the upper watershed is more pristine while the habitat in the lower watershed is more heavily impacted. Because many summary statistics describing these phenomenon (e.g., proportion of re</w:t>
      </w:r>
      <w:r>
        <w:t xml:space="preserve">dds above/below the weir, proportion in the upper watershed, proportion in the lower watershed, etc.) are highly correlated, we chose to examine the mean rkm of the redds each year as a singular covariate that describes many of these general patterns. We hypothesize that the greater the mean redd rkm (i.e., due to more redds higher in the watershed, towards better habitat and above the weir), the greater smolts per spawner will be observed. We also included as a covariate the standard deviation of the redd </w:t>
      </w:r>
      <w:r>
        <w:t>rkms, as a measure of how concentrated (small value) or dispersed (high value) the redds were within the watershed in a given year.</w:t>
      </w:r>
    </w:p>
    <w:tbl>
      <w:tblPr>
        <w:tblStyle w:val="Table"/>
        <w:tblW w:w="5000" w:type="pct"/>
        <w:tblLayout w:type="fixed"/>
        <w:tblLook w:val="0000" w:firstRow="0" w:lastRow="0" w:firstColumn="0" w:lastColumn="0" w:noHBand="0" w:noVBand="0"/>
      </w:tblPr>
      <w:tblGrid>
        <w:gridCol w:w="9360"/>
      </w:tblGrid>
      <w:tr w:rsidR="006B7BAC" w14:paraId="55F9296A" w14:textId="77777777">
        <w:tc>
          <w:tcPr>
            <w:tcW w:w="7920" w:type="dxa"/>
          </w:tcPr>
          <w:p w14:paraId="55F9293D" w14:textId="77777777" w:rsidR="006B7BAC" w:rsidRDefault="00424898">
            <w:pPr>
              <w:pStyle w:val="ImageCaption"/>
              <w:spacing w:before="200"/>
            </w:pPr>
            <w:bookmarkStart w:id="4" w:name="tbl-correlations"/>
            <w:r>
              <w:t>Table 1: Pearson correlation coefficient between all pairs of covariates.</w:t>
            </w:r>
          </w:p>
          <w:tbl>
            <w:tblPr>
              <w:tblStyle w:val="Table"/>
              <w:tblW w:w="0" w:type="auto"/>
              <w:jc w:val="center"/>
              <w:tblLayout w:type="fixed"/>
              <w:tblLook w:val="0420" w:firstRow="1" w:lastRow="0" w:firstColumn="0" w:lastColumn="0" w:noHBand="0" w:noVBand="1"/>
            </w:tblPr>
            <w:tblGrid>
              <w:gridCol w:w="1356"/>
              <w:gridCol w:w="1356"/>
              <w:gridCol w:w="978"/>
            </w:tblGrid>
            <w:tr w:rsidR="006B7BAC" w14:paraId="55F92941" w14:textId="77777777" w:rsidTr="006B7BAC">
              <w:trPr>
                <w:cnfStyle w:val="100000000000" w:firstRow="1" w:lastRow="0" w:firstColumn="0" w:lastColumn="0" w:oddVBand="0" w:evenVBand="0" w:oddHBand="0" w:evenHBand="0" w:firstRowFirstColumn="0" w:firstRowLastColumn="0" w:lastRowFirstColumn="0" w:lastRowLastColumn="0"/>
                <w:tblHeader/>
                <w:jc w:val="center"/>
              </w:trPr>
              <w:tc>
                <w:tcPr>
                  <w:tcW w:w="1356" w:type="dxa"/>
                  <w:tcBorders>
                    <w:top w:val="single" w:sz="8" w:space="0" w:color="666666"/>
                    <w:left w:val="none" w:sz="0" w:space="0" w:color="FFFFFF"/>
                    <w:bottom w:val="single" w:sz="8" w:space="0" w:color="666666"/>
                    <w:right w:val="none" w:sz="0" w:space="0" w:color="FFFFFF"/>
                  </w:tcBorders>
                  <w:shd w:val="clear" w:color="auto" w:fill="FFFFFF"/>
                  <w:tcMar>
                    <w:top w:w="0" w:type="dxa"/>
                    <w:left w:w="0" w:type="dxa"/>
                    <w:bottom w:w="0" w:type="dxa"/>
                    <w:right w:w="0" w:type="dxa"/>
                  </w:tcMar>
                  <w:vAlign w:val="center"/>
                </w:tcPr>
                <w:p w14:paraId="55F9293E" w14:textId="77777777" w:rsidR="006B7BAC" w:rsidRDefault="00424898">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x</w:t>
                  </w:r>
                </w:p>
              </w:tc>
              <w:tc>
                <w:tcPr>
                  <w:tcW w:w="1356" w:type="dxa"/>
                  <w:tcBorders>
                    <w:top w:val="single" w:sz="8" w:space="0" w:color="666666"/>
                    <w:left w:val="none" w:sz="0" w:space="0" w:color="FFFFFF"/>
                    <w:bottom w:val="single" w:sz="8" w:space="0" w:color="666666"/>
                    <w:right w:val="none" w:sz="0" w:space="0" w:color="FFFFFF"/>
                  </w:tcBorders>
                  <w:shd w:val="clear" w:color="auto" w:fill="FFFFFF"/>
                  <w:tcMar>
                    <w:top w:w="0" w:type="dxa"/>
                    <w:left w:w="0" w:type="dxa"/>
                    <w:bottom w:w="0" w:type="dxa"/>
                    <w:right w:w="0" w:type="dxa"/>
                  </w:tcMar>
                  <w:vAlign w:val="center"/>
                </w:tcPr>
                <w:p w14:paraId="55F9293F" w14:textId="77777777" w:rsidR="006B7BAC" w:rsidRDefault="00424898">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y</w:t>
                  </w:r>
                </w:p>
              </w:tc>
              <w:tc>
                <w:tcPr>
                  <w:tcW w:w="978" w:type="dxa"/>
                  <w:tcBorders>
                    <w:top w:val="single" w:sz="8" w:space="0" w:color="666666"/>
                    <w:left w:val="none" w:sz="0" w:space="0" w:color="FFFFFF"/>
                    <w:bottom w:val="single" w:sz="8" w:space="0" w:color="666666"/>
                    <w:right w:val="none" w:sz="0" w:space="0" w:color="FFFFFF"/>
                  </w:tcBorders>
                  <w:shd w:val="clear" w:color="auto" w:fill="FFFFFF"/>
                  <w:tcMar>
                    <w:top w:w="0" w:type="dxa"/>
                    <w:left w:w="0" w:type="dxa"/>
                    <w:bottom w:w="0" w:type="dxa"/>
                    <w:right w:w="0" w:type="dxa"/>
                  </w:tcMar>
                  <w:vAlign w:val="center"/>
                </w:tcPr>
                <w:p w14:paraId="55F92940" w14:textId="77777777" w:rsidR="006B7BAC" w:rsidRDefault="00424898">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r</w:t>
                  </w:r>
                </w:p>
              </w:tc>
            </w:tr>
            <w:tr w:rsidR="006B7BAC" w14:paraId="55F92945" w14:textId="77777777" w:rsidTr="006B7BAC">
              <w:trPr>
                <w:jc w:val="center"/>
              </w:trPr>
              <w:tc>
                <w:tcPr>
                  <w:tcW w:w="1356" w:type="dxa"/>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42"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phos</w:t>
                  </w:r>
                </w:p>
              </w:tc>
              <w:tc>
                <w:tcPr>
                  <w:tcW w:w="1356" w:type="dxa"/>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43"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stray_prop</w:t>
                  </w:r>
                </w:p>
              </w:tc>
              <w:tc>
                <w:tcPr>
                  <w:tcW w:w="978" w:type="dxa"/>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44"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0.632</w:t>
                  </w:r>
                </w:p>
              </w:tc>
            </w:tr>
            <w:tr w:rsidR="006B7BAC" w14:paraId="55F92949" w14:textId="77777777" w:rsidTr="006B7BAC">
              <w:trPr>
                <w:jc w:val="center"/>
              </w:trPr>
              <w:tc>
                <w:tcPr>
                  <w:tcW w:w="135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46"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spawners</w:t>
                  </w:r>
                </w:p>
              </w:tc>
              <w:tc>
                <w:tcPr>
                  <w:tcW w:w="135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47"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mean_rkm</w:t>
                  </w:r>
                </w:p>
              </w:tc>
              <w:tc>
                <w:tcPr>
                  <w:tcW w:w="978"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48"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0.500</w:t>
                  </w:r>
                </w:p>
              </w:tc>
            </w:tr>
            <w:tr w:rsidR="006B7BAC" w14:paraId="55F9294D" w14:textId="77777777" w:rsidTr="006B7BAC">
              <w:trPr>
                <w:jc w:val="center"/>
              </w:trPr>
              <w:tc>
                <w:tcPr>
                  <w:tcW w:w="135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4A"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stray_prop</w:t>
                  </w:r>
                </w:p>
              </w:tc>
              <w:tc>
                <w:tcPr>
                  <w:tcW w:w="135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4B"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sd_rkm</w:t>
                  </w:r>
                </w:p>
              </w:tc>
              <w:tc>
                <w:tcPr>
                  <w:tcW w:w="978"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4C"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0.322</w:t>
                  </w:r>
                </w:p>
              </w:tc>
            </w:tr>
            <w:tr w:rsidR="006B7BAC" w14:paraId="55F92951" w14:textId="77777777" w:rsidTr="006B7BAC">
              <w:trPr>
                <w:jc w:val="center"/>
              </w:trPr>
              <w:tc>
                <w:tcPr>
                  <w:tcW w:w="135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4E"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spawners</w:t>
                  </w:r>
                </w:p>
              </w:tc>
              <w:tc>
                <w:tcPr>
                  <w:tcW w:w="135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4F"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stray_prop</w:t>
                  </w:r>
                </w:p>
              </w:tc>
              <w:tc>
                <w:tcPr>
                  <w:tcW w:w="978"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50"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-0.281</w:t>
                  </w:r>
                </w:p>
              </w:tc>
            </w:tr>
            <w:tr w:rsidR="006B7BAC" w14:paraId="55F92955" w14:textId="77777777" w:rsidTr="006B7BAC">
              <w:trPr>
                <w:jc w:val="center"/>
              </w:trPr>
              <w:tc>
                <w:tcPr>
                  <w:tcW w:w="135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52"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stray_prop</w:t>
                  </w:r>
                </w:p>
              </w:tc>
              <w:tc>
                <w:tcPr>
                  <w:tcW w:w="135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53"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mean_rkm</w:t>
                  </w:r>
                </w:p>
              </w:tc>
              <w:tc>
                <w:tcPr>
                  <w:tcW w:w="978"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54"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-0.251</w:t>
                  </w:r>
                </w:p>
              </w:tc>
            </w:tr>
            <w:tr w:rsidR="006B7BAC" w14:paraId="55F92959" w14:textId="77777777" w:rsidTr="006B7BAC">
              <w:trPr>
                <w:jc w:val="center"/>
              </w:trPr>
              <w:tc>
                <w:tcPr>
                  <w:tcW w:w="135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56"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phos</w:t>
                  </w:r>
                </w:p>
              </w:tc>
              <w:tc>
                <w:tcPr>
                  <w:tcW w:w="135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57"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mean_rkm</w:t>
                  </w:r>
                </w:p>
              </w:tc>
              <w:tc>
                <w:tcPr>
                  <w:tcW w:w="978"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58"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-0.108</w:t>
                  </w:r>
                </w:p>
              </w:tc>
            </w:tr>
            <w:tr w:rsidR="006B7BAC" w14:paraId="55F9295D" w14:textId="77777777" w:rsidTr="006B7BAC">
              <w:trPr>
                <w:jc w:val="center"/>
              </w:trPr>
              <w:tc>
                <w:tcPr>
                  <w:tcW w:w="135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5A"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phos</w:t>
                  </w:r>
                </w:p>
              </w:tc>
              <w:tc>
                <w:tcPr>
                  <w:tcW w:w="135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5B"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sd_rkm</w:t>
                  </w:r>
                </w:p>
              </w:tc>
              <w:tc>
                <w:tcPr>
                  <w:tcW w:w="978"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5C"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0.086</w:t>
                  </w:r>
                </w:p>
              </w:tc>
            </w:tr>
            <w:tr w:rsidR="006B7BAC" w14:paraId="55F92961" w14:textId="77777777" w:rsidTr="006B7BAC">
              <w:trPr>
                <w:jc w:val="center"/>
              </w:trPr>
              <w:tc>
                <w:tcPr>
                  <w:tcW w:w="135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5E"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spawners</w:t>
                  </w:r>
                </w:p>
              </w:tc>
              <w:tc>
                <w:tcPr>
                  <w:tcW w:w="135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5F"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phos</w:t>
                  </w:r>
                </w:p>
              </w:tc>
              <w:tc>
                <w:tcPr>
                  <w:tcW w:w="978"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60"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-0.063</w:t>
                  </w:r>
                </w:p>
              </w:tc>
            </w:tr>
            <w:tr w:rsidR="006B7BAC" w14:paraId="55F92965" w14:textId="77777777" w:rsidTr="006B7BAC">
              <w:trPr>
                <w:jc w:val="center"/>
              </w:trPr>
              <w:tc>
                <w:tcPr>
                  <w:tcW w:w="135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62"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spawners</w:t>
                  </w:r>
                </w:p>
              </w:tc>
              <w:tc>
                <w:tcPr>
                  <w:tcW w:w="135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63"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sd_rkm</w:t>
                  </w:r>
                </w:p>
              </w:tc>
              <w:tc>
                <w:tcPr>
                  <w:tcW w:w="978"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64"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0.041</w:t>
                  </w:r>
                </w:p>
              </w:tc>
            </w:tr>
            <w:tr w:rsidR="006B7BAC" w14:paraId="55F92969" w14:textId="77777777" w:rsidTr="006B7BAC">
              <w:trPr>
                <w:jc w:val="center"/>
              </w:trPr>
              <w:tc>
                <w:tcPr>
                  <w:tcW w:w="135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66"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mean_rkm</w:t>
                  </w:r>
                </w:p>
              </w:tc>
              <w:tc>
                <w:tcPr>
                  <w:tcW w:w="135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67"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sd_rkm</w:t>
                  </w:r>
                </w:p>
              </w:tc>
              <w:tc>
                <w:tcPr>
                  <w:tcW w:w="978"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68"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-0.037</w:t>
                  </w:r>
                </w:p>
              </w:tc>
            </w:tr>
            <w:bookmarkEnd w:id="4"/>
          </w:tbl>
          <w:p w14:paraId="55F92A35" w14:textId="77777777" w:rsidR="00DA5FB1" w:rsidRDefault="00DA5FB1">
            <w:pPr>
              <w:spacing w:after="0"/>
            </w:pPr>
          </w:p>
        </w:tc>
      </w:tr>
    </w:tbl>
    <w:p w14:paraId="55F9296B" w14:textId="77777777" w:rsidR="006B7BAC" w:rsidRDefault="00424898">
      <w:pPr>
        <w:pStyle w:val="Heading2"/>
      </w:pPr>
      <w:bookmarkStart w:id="5" w:name="statistical-models"/>
      <w:bookmarkEnd w:id="3"/>
      <w:r>
        <w:lastRenderedPageBreak/>
        <w:t>Statistical Models</w:t>
      </w:r>
    </w:p>
    <w:p w14:paraId="55F9296C" w14:textId="77777777" w:rsidR="006B7BAC" w:rsidRDefault="00424898">
      <w:pPr>
        <w:pStyle w:val="FirstParagraph"/>
      </w:pPr>
      <w:r>
        <w:t>To examine the effects of these covariates on smolts per spawner, we fit a generalized additive model (GAM), using the log of smolts per spawner as the dependent variable, and spline terms for mean rkm of redds, standard deviation of rkm per redds, pHOS, and emigration year. The inclusion of emigration year helps to control for long-term trends and effects that are not accounted for by the other covariates. We used a GAM to allow for the possibility of non-linear relationships between the independent variab</w:t>
      </w:r>
      <w:r>
        <w:t>les and productivity. We also included two fixed terms: the number of spawners and an interaction between pHOS and the proportion of out-of-basin strays. The inclusion of spawners as a fixed term assumes a linear relationship between the log of smolts per spawner and the total number of spawners, which implies a Ricker-like carrying capacity. We made this choice because every ecological system is subject to some carrying capacity constraints (Chapman and Byron 2018), and the linearized Ricker model is a com</w:t>
      </w:r>
      <w:r>
        <w:t>mon and easily implemented method to incorporate that, while allowing us to allocate more degrees of freedom to the splines of the other covariates.</w:t>
      </w:r>
    </w:p>
    <w:p w14:paraId="55F9296D" w14:textId="77777777" w:rsidR="006B7BAC" w:rsidRDefault="00424898">
      <w:pPr>
        <w:pStyle w:val="BodyText"/>
      </w:pPr>
      <w:r>
        <w:t>We also examined the effects of mean smolt length and pHOS on productivity by fitting two more GAMs using total (Age 3+) SAR and R/S as the dependent variables. We included splines for the covariates of the mean smolt length of each brood year and pHOS, as well as brood year. The SAR model was fit using a quasibinomial GAM with a logit link function because the SARs are proportions, whereas for the R/S model, we used a linear GAM with a log link function and also included spawners as a linear parametric cov</w:t>
      </w:r>
      <w:r>
        <w:t>ariate, to make this model a linearized Ricker model.</w:t>
      </w:r>
    </w:p>
    <w:p w14:paraId="55F9296E" w14:textId="77777777" w:rsidR="006B7BAC" w:rsidRDefault="00424898">
      <w:pPr>
        <w:pStyle w:val="BodyText"/>
      </w:pPr>
      <w:r>
        <w:t>Our goal with these analyses is to examine general patterns of how a few covariates affect the population’s productivity, not necessarily test hypotheses or predict future productivity. The dataset has 35 data points; therefore, we limited the number of knots in all splines to a maximum of four for all covariates except emigration or brood year, which we allowed to be larger as that term was meant to capture any other processes and long-term trends. We fit a spline for year, rather than treating year as a r</w:t>
      </w:r>
      <w:r>
        <w:t>andom effect, because we expected the effects to be auto-correlated and to capture any long-term trend. The model was fit using R statistical software version 4.3.2 (R Core Team 2023) with the mgcv package, using restricted maximum likelihood methods. We checked the effective degrees of freedom in each model fit using the “k.check()” function to ensure against underfitting, while the use of penalized splines guarded against overfitting. Data and code to reproduce this analysis is available on a GitHub repos</w:t>
      </w:r>
      <w:r>
        <w:t>itory (https://zenodo.org/records/17957317).</w:t>
      </w:r>
    </w:p>
    <w:p w14:paraId="55F9296F" w14:textId="77777777" w:rsidR="006B7BAC" w:rsidRDefault="00424898">
      <w:pPr>
        <w:pStyle w:val="Heading1"/>
      </w:pPr>
      <w:bookmarkStart w:id="6" w:name="results"/>
      <w:bookmarkEnd w:id="2"/>
      <w:bookmarkEnd w:id="5"/>
      <w:r>
        <w:t>Results</w:t>
      </w:r>
    </w:p>
    <w:p w14:paraId="55F92970" w14:textId="77777777" w:rsidR="006B7BAC" w:rsidRDefault="00424898">
      <w:pPr>
        <w:pStyle w:val="FirstParagraph"/>
      </w:pPr>
      <w:r>
        <w:t>Diagnostic checks for all models were sufficient to ensure we did not underfit any models by overly restricting the number of knots in the various splines. The summary statistics for each model, including the pseudo-</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value and the percent of deviance explained by each model are provided in </w:t>
      </w:r>
      <w:hyperlink w:anchor="tbl-r2">
        <w:r w:rsidR="006B7BAC">
          <w:rPr>
            <w:rStyle w:val="Hyperlink"/>
          </w:rPr>
          <w:t>Table 2</w:t>
        </w:r>
      </w:hyperlink>
      <w:r>
        <w:t>. All models had fairly high pseudo-</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values (range of 0.61 – </w:t>
      </w:r>
      <w:r>
        <w:lastRenderedPageBreak/>
        <w:t>0.88) and explained a high proportion of the variance (74-92%). To examine the results of the GAMs, we plotted the marginal smoothing plots of each covariate to display how the model predictions change as each covariate shifts, holding the others at a constant value.</w:t>
      </w:r>
    </w:p>
    <w:tbl>
      <w:tblPr>
        <w:tblStyle w:val="Table"/>
        <w:tblW w:w="5000" w:type="pct"/>
        <w:tblLayout w:type="fixed"/>
        <w:tblLook w:val="0000" w:firstRow="0" w:lastRow="0" w:firstColumn="0" w:lastColumn="0" w:noHBand="0" w:noVBand="0"/>
      </w:tblPr>
      <w:tblGrid>
        <w:gridCol w:w="9360"/>
      </w:tblGrid>
      <w:tr w:rsidR="006B7BAC" w14:paraId="55F92982" w14:textId="77777777">
        <w:tc>
          <w:tcPr>
            <w:tcW w:w="7920" w:type="dxa"/>
          </w:tcPr>
          <w:p w14:paraId="55F92971" w14:textId="77777777" w:rsidR="006B7BAC" w:rsidRDefault="00424898">
            <w:pPr>
              <w:pStyle w:val="ImageCaption"/>
              <w:spacing w:before="200"/>
            </w:pPr>
            <w:bookmarkStart w:id="7" w:name="tbl-r2"/>
            <w:r>
              <w:t>Table 2: Table of summary statistics for each GAM.</w:t>
            </w:r>
          </w:p>
          <w:tbl>
            <w:tblPr>
              <w:tblStyle w:val="Table"/>
              <w:tblW w:w="0" w:type="auto"/>
              <w:jc w:val="center"/>
              <w:tblLayout w:type="fixed"/>
              <w:tblLook w:val="0420" w:firstRow="1" w:lastRow="0" w:firstColumn="0" w:lastColumn="0" w:noHBand="0" w:noVBand="1"/>
            </w:tblPr>
            <w:tblGrid>
              <w:gridCol w:w="2823"/>
              <w:gridCol w:w="911"/>
              <w:gridCol w:w="1833"/>
            </w:tblGrid>
            <w:tr w:rsidR="006B7BAC" w14:paraId="55F92975" w14:textId="77777777" w:rsidTr="006B7BAC">
              <w:trPr>
                <w:cnfStyle w:val="100000000000" w:firstRow="1" w:lastRow="0" w:firstColumn="0" w:lastColumn="0" w:oddVBand="0" w:evenVBand="0" w:oddHBand="0" w:evenHBand="0" w:firstRowFirstColumn="0" w:firstRowLastColumn="0" w:lastRowFirstColumn="0" w:lastRowLastColumn="0"/>
                <w:tblHeader/>
                <w:jc w:val="center"/>
              </w:trPr>
              <w:tc>
                <w:tcPr>
                  <w:tcW w:w="2823" w:type="dxa"/>
                  <w:tcBorders>
                    <w:top w:val="single" w:sz="8" w:space="0" w:color="666666"/>
                    <w:left w:val="none" w:sz="0" w:space="0" w:color="FFFFFF"/>
                    <w:bottom w:val="single" w:sz="8" w:space="0" w:color="666666"/>
                    <w:right w:val="none" w:sz="0" w:space="0" w:color="FFFFFF"/>
                  </w:tcBorders>
                  <w:shd w:val="clear" w:color="auto" w:fill="FFFFFF"/>
                  <w:tcMar>
                    <w:top w:w="0" w:type="dxa"/>
                    <w:left w:w="0" w:type="dxa"/>
                    <w:bottom w:w="0" w:type="dxa"/>
                    <w:right w:w="0" w:type="dxa"/>
                  </w:tcMar>
                  <w:vAlign w:val="center"/>
                </w:tcPr>
                <w:p w14:paraId="55F92972" w14:textId="77777777" w:rsidR="006B7BAC" w:rsidRDefault="00424898">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Model</w:t>
                  </w:r>
                </w:p>
              </w:tc>
              <w:tc>
                <w:tcPr>
                  <w:tcW w:w="911" w:type="dxa"/>
                  <w:tcBorders>
                    <w:top w:val="single" w:sz="8" w:space="0" w:color="666666"/>
                    <w:left w:val="none" w:sz="0" w:space="0" w:color="FFFFFF"/>
                    <w:bottom w:val="single" w:sz="8" w:space="0" w:color="666666"/>
                    <w:right w:val="none" w:sz="0" w:space="0" w:color="FFFFFF"/>
                  </w:tcBorders>
                  <w:shd w:val="clear" w:color="auto" w:fill="FFFFFF"/>
                  <w:tcMar>
                    <w:top w:w="0" w:type="dxa"/>
                    <w:left w:w="0" w:type="dxa"/>
                    <w:bottom w:w="0" w:type="dxa"/>
                    <w:right w:w="0" w:type="dxa"/>
                  </w:tcMar>
                  <w:vAlign w:val="center"/>
                </w:tcPr>
                <w:p w14:paraId="55F92973" w14:textId="77777777" w:rsidR="006B7BAC" w:rsidRDefault="00424898">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R.sq</w:t>
                  </w:r>
                </w:p>
              </w:tc>
              <w:tc>
                <w:tcPr>
                  <w:tcW w:w="1833" w:type="dxa"/>
                  <w:tcBorders>
                    <w:top w:val="single" w:sz="8" w:space="0" w:color="666666"/>
                    <w:left w:val="none" w:sz="0" w:space="0" w:color="FFFFFF"/>
                    <w:bottom w:val="single" w:sz="8" w:space="0" w:color="666666"/>
                    <w:right w:val="none" w:sz="0" w:space="0" w:color="FFFFFF"/>
                  </w:tcBorders>
                  <w:shd w:val="clear" w:color="auto" w:fill="FFFFFF"/>
                  <w:tcMar>
                    <w:top w:w="0" w:type="dxa"/>
                    <w:left w:w="0" w:type="dxa"/>
                    <w:bottom w:w="0" w:type="dxa"/>
                    <w:right w:w="0" w:type="dxa"/>
                  </w:tcMar>
                  <w:vAlign w:val="center"/>
                </w:tcPr>
                <w:p w14:paraId="55F92974" w14:textId="77777777" w:rsidR="006B7BAC" w:rsidRDefault="00424898">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Dev. Explained</w:t>
                  </w:r>
                </w:p>
              </w:tc>
            </w:tr>
            <w:tr w:rsidR="006B7BAC" w14:paraId="55F92979" w14:textId="77777777" w:rsidTr="006B7BAC">
              <w:trPr>
                <w:jc w:val="center"/>
              </w:trPr>
              <w:tc>
                <w:tcPr>
                  <w:tcW w:w="2823" w:type="dxa"/>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76"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Smolts Per Spawner</w:t>
                  </w:r>
                </w:p>
              </w:tc>
              <w:tc>
                <w:tcPr>
                  <w:tcW w:w="911" w:type="dxa"/>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77"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0.609</w:t>
                  </w:r>
                </w:p>
              </w:tc>
              <w:tc>
                <w:tcPr>
                  <w:tcW w:w="1833" w:type="dxa"/>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78"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0.744</w:t>
                  </w:r>
                </w:p>
              </w:tc>
            </w:tr>
            <w:tr w:rsidR="006B7BAC" w14:paraId="55F9297D" w14:textId="77777777" w:rsidTr="006B7BAC">
              <w:trPr>
                <w:jc w:val="center"/>
              </w:trPr>
              <w:tc>
                <w:tcPr>
                  <w:tcW w:w="2823"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7A"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Total SAR</w:t>
                  </w:r>
                </w:p>
              </w:tc>
              <w:tc>
                <w:tcPr>
                  <w:tcW w:w="911"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7B"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0.876</w:t>
                  </w:r>
                </w:p>
              </w:tc>
              <w:tc>
                <w:tcPr>
                  <w:tcW w:w="1833"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7C"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0.922</w:t>
                  </w:r>
                </w:p>
              </w:tc>
            </w:tr>
            <w:tr w:rsidR="006B7BAC" w14:paraId="55F92981" w14:textId="77777777" w:rsidTr="006B7BAC">
              <w:trPr>
                <w:jc w:val="center"/>
              </w:trPr>
              <w:tc>
                <w:tcPr>
                  <w:tcW w:w="2823"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7E"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Total Returns Per Spawner</w:t>
                  </w:r>
                </w:p>
              </w:tc>
              <w:tc>
                <w:tcPr>
                  <w:tcW w:w="911"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7F"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0.795</w:t>
                  </w:r>
                </w:p>
              </w:tc>
              <w:tc>
                <w:tcPr>
                  <w:tcW w:w="1833"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80"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0.895</w:t>
                  </w:r>
                </w:p>
              </w:tc>
            </w:tr>
            <w:bookmarkEnd w:id="7"/>
          </w:tbl>
          <w:p w14:paraId="55F92A36" w14:textId="77777777" w:rsidR="00DA5FB1" w:rsidRDefault="00DA5FB1">
            <w:pPr>
              <w:spacing w:after="0"/>
            </w:pPr>
          </w:p>
        </w:tc>
      </w:tr>
    </w:tbl>
    <w:p w14:paraId="55F92983" w14:textId="77777777" w:rsidR="006B7BAC" w:rsidRDefault="00424898">
      <w:pPr>
        <w:pStyle w:val="Heading2"/>
      </w:pPr>
      <w:bookmarkStart w:id="8" w:name="smolts-per-spawner"/>
      <w:r>
        <w:t>Smolts Per Spawner</w:t>
      </w:r>
    </w:p>
    <w:p w14:paraId="55F92984" w14:textId="77777777" w:rsidR="006B7BAC" w:rsidRDefault="006B7BAC">
      <w:pPr>
        <w:pStyle w:val="FirstParagraph"/>
      </w:pPr>
      <w:hyperlink w:anchor="tbl-sr-coef">
        <w:r>
          <w:rPr>
            <w:rStyle w:val="Hyperlink"/>
          </w:rPr>
          <w:t>Table 3</w:t>
        </w:r>
      </w:hyperlink>
      <w:r w:rsidR="00424898">
        <w:t xml:space="preserve"> shows the estimates of parametric coefficients (intercept, slope of linearized Ricker model and the interaction between pHOS and the proportion of out-of-basin strays), while </w:t>
      </w:r>
      <w:hyperlink w:anchor="tbl-sr-edf">
        <w:r>
          <w:rPr>
            <w:rStyle w:val="Hyperlink"/>
          </w:rPr>
          <w:t>Table 4</w:t>
        </w:r>
      </w:hyperlink>
      <w:r w:rsidR="00424898">
        <w:t xml:space="preserve"> shows the estimated effective degrees of freedom (edf) of each covariate, and the p-value associated with it. An edf of one is equivalent to a linear function, an edf of two is equivalent of a quadratic function, and higher edfs correspond to more complex functions. Redds had a negative effect on smolts / redd, indicating there is a density dependent effect within this system. The interaction between pHOS and out-of-basin stray proportion was estimated to be negative, but not statistically significant.</w:t>
      </w:r>
    </w:p>
    <w:tbl>
      <w:tblPr>
        <w:tblStyle w:val="Table"/>
        <w:tblW w:w="5000" w:type="pct"/>
        <w:tblLayout w:type="fixed"/>
        <w:tblLook w:val="0000" w:firstRow="0" w:lastRow="0" w:firstColumn="0" w:lastColumn="0" w:noHBand="0" w:noVBand="0"/>
      </w:tblPr>
      <w:tblGrid>
        <w:gridCol w:w="9360"/>
      </w:tblGrid>
      <w:tr w:rsidR="006B7BAC" w14:paraId="55F929A6" w14:textId="77777777">
        <w:tc>
          <w:tcPr>
            <w:tcW w:w="7920" w:type="dxa"/>
          </w:tcPr>
          <w:p w14:paraId="55F92985" w14:textId="77777777" w:rsidR="006B7BAC" w:rsidRDefault="00424898">
            <w:pPr>
              <w:pStyle w:val="ImageCaption"/>
              <w:spacing w:before="200"/>
            </w:pPr>
            <w:bookmarkStart w:id="9" w:name="tbl-sr-coef"/>
            <w:r>
              <w:t>Table 3: Parametric coefficient estimates for the smolts per spawner GAM from the Tucannon River spring Chinook Salmon analysis.</w:t>
            </w:r>
          </w:p>
          <w:tbl>
            <w:tblPr>
              <w:tblStyle w:val="Table"/>
              <w:tblW w:w="0" w:type="auto"/>
              <w:jc w:val="center"/>
              <w:tblLayout w:type="fixed"/>
              <w:tblLook w:val="0420" w:firstRow="1" w:lastRow="0" w:firstColumn="0" w:lastColumn="0" w:noHBand="0" w:noVBand="1"/>
            </w:tblPr>
            <w:tblGrid>
              <w:gridCol w:w="1845"/>
              <w:gridCol w:w="1244"/>
              <w:gridCol w:w="1277"/>
              <w:gridCol w:w="1189"/>
              <w:gridCol w:w="1133"/>
              <w:gridCol w:w="1322"/>
              <w:gridCol w:w="1366"/>
            </w:tblGrid>
            <w:tr w:rsidR="006B7BAC" w14:paraId="55F9298D" w14:textId="77777777" w:rsidTr="006B7BAC">
              <w:trPr>
                <w:cnfStyle w:val="100000000000" w:firstRow="1" w:lastRow="0" w:firstColumn="0" w:lastColumn="0" w:oddVBand="0" w:evenVBand="0" w:oddHBand="0" w:evenHBand="0" w:firstRowFirstColumn="0" w:firstRowLastColumn="0" w:lastRowFirstColumn="0" w:lastRowLastColumn="0"/>
                <w:tblHeader/>
                <w:jc w:val="center"/>
              </w:trPr>
              <w:tc>
                <w:tcPr>
                  <w:tcW w:w="1845" w:type="dxa"/>
                  <w:tcBorders>
                    <w:top w:val="single" w:sz="8" w:space="0" w:color="666666"/>
                    <w:left w:val="none" w:sz="0" w:space="0" w:color="FFFFFF"/>
                    <w:bottom w:val="single" w:sz="8" w:space="0" w:color="666666"/>
                    <w:right w:val="none" w:sz="0" w:space="0" w:color="FFFFFF"/>
                  </w:tcBorders>
                  <w:shd w:val="clear" w:color="auto" w:fill="FFFFFF"/>
                  <w:tcMar>
                    <w:top w:w="0" w:type="dxa"/>
                    <w:left w:w="0" w:type="dxa"/>
                    <w:bottom w:w="0" w:type="dxa"/>
                    <w:right w:w="0" w:type="dxa"/>
                  </w:tcMar>
                  <w:vAlign w:val="center"/>
                </w:tcPr>
                <w:p w14:paraId="55F92986" w14:textId="77777777" w:rsidR="006B7BAC" w:rsidRDefault="00424898">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Term</w:t>
                  </w:r>
                </w:p>
              </w:tc>
              <w:tc>
                <w:tcPr>
                  <w:tcW w:w="1244" w:type="dxa"/>
                  <w:tcBorders>
                    <w:top w:val="single" w:sz="8" w:space="0" w:color="666666"/>
                    <w:left w:val="none" w:sz="0" w:space="0" w:color="FFFFFF"/>
                    <w:bottom w:val="single" w:sz="8" w:space="0" w:color="666666"/>
                    <w:right w:val="none" w:sz="0" w:space="0" w:color="FFFFFF"/>
                  </w:tcBorders>
                  <w:shd w:val="clear" w:color="auto" w:fill="FFFFFF"/>
                  <w:tcMar>
                    <w:top w:w="0" w:type="dxa"/>
                    <w:left w:w="0" w:type="dxa"/>
                    <w:bottom w:w="0" w:type="dxa"/>
                    <w:right w:w="0" w:type="dxa"/>
                  </w:tcMar>
                  <w:vAlign w:val="center"/>
                </w:tcPr>
                <w:p w14:paraId="55F92987" w14:textId="77777777" w:rsidR="006B7BAC" w:rsidRDefault="00424898">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Estimate</w:t>
                  </w:r>
                </w:p>
              </w:tc>
              <w:tc>
                <w:tcPr>
                  <w:tcW w:w="1277" w:type="dxa"/>
                  <w:tcBorders>
                    <w:top w:val="single" w:sz="8" w:space="0" w:color="666666"/>
                    <w:left w:val="none" w:sz="0" w:space="0" w:color="FFFFFF"/>
                    <w:bottom w:val="single" w:sz="8" w:space="0" w:color="666666"/>
                    <w:right w:val="none" w:sz="0" w:space="0" w:color="FFFFFF"/>
                  </w:tcBorders>
                  <w:shd w:val="clear" w:color="auto" w:fill="FFFFFF"/>
                  <w:tcMar>
                    <w:top w:w="0" w:type="dxa"/>
                    <w:left w:w="0" w:type="dxa"/>
                    <w:bottom w:w="0" w:type="dxa"/>
                    <w:right w:w="0" w:type="dxa"/>
                  </w:tcMar>
                  <w:vAlign w:val="center"/>
                </w:tcPr>
                <w:p w14:paraId="55F92988" w14:textId="77777777" w:rsidR="006B7BAC" w:rsidRDefault="00424898">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Std Error</w:t>
                  </w:r>
                </w:p>
              </w:tc>
              <w:tc>
                <w:tcPr>
                  <w:tcW w:w="1189" w:type="dxa"/>
                  <w:tcBorders>
                    <w:top w:val="single" w:sz="8" w:space="0" w:color="666666"/>
                    <w:left w:val="none" w:sz="0" w:space="0" w:color="FFFFFF"/>
                    <w:bottom w:val="single" w:sz="8" w:space="0" w:color="666666"/>
                    <w:right w:val="none" w:sz="0" w:space="0" w:color="FFFFFF"/>
                  </w:tcBorders>
                  <w:shd w:val="clear" w:color="auto" w:fill="FFFFFF"/>
                  <w:tcMar>
                    <w:top w:w="0" w:type="dxa"/>
                    <w:left w:w="0" w:type="dxa"/>
                    <w:bottom w:w="0" w:type="dxa"/>
                    <w:right w:w="0" w:type="dxa"/>
                  </w:tcMar>
                  <w:vAlign w:val="center"/>
                </w:tcPr>
                <w:p w14:paraId="55F92989" w14:textId="77777777" w:rsidR="006B7BAC" w:rsidRDefault="00424898">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Statistic</w:t>
                  </w:r>
                </w:p>
              </w:tc>
              <w:tc>
                <w:tcPr>
                  <w:tcW w:w="1133" w:type="dxa"/>
                  <w:tcBorders>
                    <w:top w:val="single" w:sz="8" w:space="0" w:color="666666"/>
                    <w:left w:val="none" w:sz="0" w:space="0" w:color="FFFFFF"/>
                    <w:bottom w:val="single" w:sz="8" w:space="0" w:color="666666"/>
                    <w:right w:val="none" w:sz="0" w:space="0" w:color="FFFFFF"/>
                  </w:tcBorders>
                  <w:shd w:val="clear" w:color="auto" w:fill="FFFFFF"/>
                  <w:tcMar>
                    <w:top w:w="0" w:type="dxa"/>
                    <w:left w:w="0" w:type="dxa"/>
                    <w:bottom w:w="0" w:type="dxa"/>
                    <w:right w:w="0" w:type="dxa"/>
                  </w:tcMar>
                  <w:vAlign w:val="center"/>
                </w:tcPr>
                <w:p w14:paraId="55F9298A" w14:textId="77777777" w:rsidR="006B7BAC" w:rsidRDefault="00424898">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P Value</w:t>
                  </w:r>
                </w:p>
              </w:tc>
              <w:tc>
                <w:tcPr>
                  <w:tcW w:w="1322" w:type="dxa"/>
                  <w:tcBorders>
                    <w:top w:val="single" w:sz="8" w:space="0" w:color="666666"/>
                    <w:left w:val="none" w:sz="0" w:space="0" w:color="FFFFFF"/>
                    <w:bottom w:val="single" w:sz="8" w:space="0" w:color="666666"/>
                    <w:right w:val="none" w:sz="0" w:space="0" w:color="FFFFFF"/>
                  </w:tcBorders>
                  <w:shd w:val="clear" w:color="auto" w:fill="FFFFFF"/>
                  <w:tcMar>
                    <w:top w:w="0" w:type="dxa"/>
                    <w:left w:w="0" w:type="dxa"/>
                    <w:bottom w:w="0" w:type="dxa"/>
                    <w:right w:w="0" w:type="dxa"/>
                  </w:tcMar>
                  <w:vAlign w:val="center"/>
                </w:tcPr>
                <w:p w14:paraId="55F9298B" w14:textId="77777777" w:rsidR="006B7BAC" w:rsidRDefault="00424898">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Conf Low</w:t>
                  </w:r>
                </w:p>
              </w:tc>
              <w:tc>
                <w:tcPr>
                  <w:tcW w:w="1366" w:type="dxa"/>
                  <w:tcBorders>
                    <w:top w:val="single" w:sz="8" w:space="0" w:color="666666"/>
                    <w:left w:val="none" w:sz="0" w:space="0" w:color="FFFFFF"/>
                    <w:bottom w:val="single" w:sz="8" w:space="0" w:color="666666"/>
                    <w:right w:val="none" w:sz="0" w:space="0" w:color="FFFFFF"/>
                  </w:tcBorders>
                  <w:shd w:val="clear" w:color="auto" w:fill="FFFFFF"/>
                  <w:tcMar>
                    <w:top w:w="0" w:type="dxa"/>
                    <w:left w:w="0" w:type="dxa"/>
                    <w:bottom w:w="0" w:type="dxa"/>
                    <w:right w:w="0" w:type="dxa"/>
                  </w:tcMar>
                  <w:vAlign w:val="center"/>
                </w:tcPr>
                <w:p w14:paraId="55F9298C" w14:textId="77777777" w:rsidR="006B7BAC" w:rsidRDefault="00424898">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Conf High</w:t>
                  </w:r>
                </w:p>
              </w:tc>
            </w:tr>
            <w:tr w:rsidR="006B7BAC" w14:paraId="55F92995" w14:textId="77777777" w:rsidTr="006B7BAC">
              <w:trPr>
                <w:jc w:val="center"/>
              </w:trPr>
              <w:tc>
                <w:tcPr>
                  <w:tcW w:w="1845" w:type="dxa"/>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8E"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(Intercept)</w:t>
                  </w:r>
                </w:p>
              </w:tc>
              <w:tc>
                <w:tcPr>
                  <w:tcW w:w="1244" w:type="dxa"/>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8F"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4.593</w:t>
                  </w:r>
                </w:p>
              </w:tc>
              <w:tc>
                <w:tcPr>
                  <w:tcW w:w="1277" w:type="dxa"/>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90"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0.178</w:t>
                  </w:r>
                </w:p>
              </w:tc>
              <w:tc>
                <w:tcPr>
                  <w:tcW w:w="1189" w:type="dxa"/>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91"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25.835</w:t>
                  </w:r>
                </w:p>
              </w:tc>
              <w:tc>
                <w:tcPr>
                  <w:tcW w:w="1133" w:type="dxa"/>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92"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0.000</w:t>
                  </w:r>
                </w:p>
              </w:tc>
              <w:tc>
                <w:tcPr>
                  <w:tcW w:w="1322" w:type="dxa"/>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93"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4.245</w:t>
                  </w:r>
                </w:p>
              </w:tc>
              <w:tc>
                <w:tcPr>
                  <w:tcW w:w="1366" w:type="dxa"/>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94"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4.942</w:t>
                  </w:r>
                </w:p>
              </w:tc>
            </w:tr>
            <w:tr w:rsidR="006B7BAC" w14:paraId="55F9299D" w14:textId="77777777" w:rsidTr="006B7BAC">
              <w:trPr>
                <w:jc w:val="center"/>
              </w:trPr>
              <w:tc>
                <w:tcPr>
                  <w:tcW w:w="1845"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96"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spawners</w:t>
                  </w:r>
                </w:p>
              </w:tc>
              <w:tc>
                <w:tcPr>
                  <w:tcW w:w="1244"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97"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-0.001</w:t>
                  </w:r>
                </w:p>
              </w:tc>
              <w:tc>
                <w:tcPr>
                  <w:tcW w:w="1277"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98"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0.000</w:t>
                  </w:r>
                </w:p>
              </w:tc>
              <w:tc>
                <w:tcPr>
                  <w:tcW w:w="1189"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99"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-3.145</w:t>
                  </w:r>
                </w:p>
              </w:tc>
              <w:tc>
                <w:tcPr>
                  <w:tcW w:w="1133"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9A"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0.005</w:t>
                  </w:r>
                </w:p>
              </w:tc>
              <w:tc>
                <w:tcPr>
                  <w:tcW w:w="132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9B"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-0.002</w:t>
                  </w:r>
                </w:p>
              </w:tc>
              <w:tc>
                <w:tcPr>
                  <w:tcW w:w="136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9C"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-0.000</w:t>
                  </w:r>
                </w:p>
              </w:tc>
            </w:tr>
            <w:tr w:rsidR="006B7BAC" w14:paraId="55F929A5" w14:textId="77777777" w:rsidTr="006B7BAC">
              <w:trPr>
                <w:jc w:val="center"/>
              </w:trPr>
              <w:tc>
                <w:tcPr>
                  <w:tcW w:w="1845"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9E"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phos:stray_prop</w:t>
                  </w:r>
                </w:p>
              </w:tc>
              <w:tc>
                <w:tcPr>
                  <w:tcW w:w="1244"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9F"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-2.650</w:t>
                  </w:r>
                </w:p>
              </w:tc>
              <w:tc>
                <w:tcPr>
                  <w:tcW w:w="1277"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A0"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2.438</w:t>
                  </w:r>
                </w:p>
              </w:tc>
              <w:tc>
                <w:tcPr>
                  <w:tcW w:w="1189"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A1"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-1.087</w:t>
                  </w:r>
                </w:p>
              </w:tc>
              <w:tc>
                <w:tcPr>
                  <w:tcW w:w="1133"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A2"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0.289</w:t>
                  </w:r>
                </w:p>
              </w:tc>
              <w:tc>
                <w:tcPr>
                  <w:tcW w:w="132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A3"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-7.429</w:t>
                  </w:r>
                </w:p>
              </w:tc>
              <w:tc>
                <w:tcPr>
                  <w:tcW w:w="136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A4"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2.129</w:t>
                  </w:r>
                </w:p>
              </w:tc>
            </w:tr>
            <w:bookmarkEnd w:id="9"/>
          </w:tbl>
          <w:p w14:paraId="55F92A37" w14:textId="77777777" w:rsidR="00DA5FB1" w:rsidRDefault="00DA5FB1">
            <w:pPr>
              <w:spacing w:after="0"/>
            </w:pPr>
          </w:p>
        </w:tc>
      </w:tr>
      <w:tr w:rsidR="006B7BAC" w14:paraId="55F929C6" w14:textId="77777777">
        <w:tc>
          <w:tcPr>
            <w:tcW w:w="7920" w:type="dxa"/>
          </w:tcPr>
          <w:p w14:paraId="55F929A7" w14:textId="77777777" w:rsidR="006B7BAC" w:rsidRDefault="00424898">
            <w:pPr>
              <w:pStyle w:val="ImageCaption"/>
              <w:spacing w:before="200"/>
            </w:pPr>
            <w:bookmarkStart w:id="10" w:name="tbl-sr-edf"/>
            <w:r>
              <w:t>Table 4: Effective degrees of freedom (EDF) and statistical significance tests for smoother terms in the smolts per spawner GAM from the Tucannon River spring Chinook analysis.</w:t>
            </w:r>
          </w:p>
          <w:tbl>
            <w:tblPr>
              <w:tblStyle w:val="Table"/>
              <w:tblW w:w="0" w:type="auto"/>
              <w:jc w:val="center"/>
              <w:tblLayout w:type="fixed"/>
              <w:tblLook w:val="0420" w:firstRow="1" w:lastRow="0" w:firstColumn="0" w:lastColumn="0" w:noHBand="0" w:noVBand="1"/>
            </w:tblPr>
            <w:tblGrid>
              <w:gridCol w:w="1855"/>
              <w:gridCol w:w="911"/>
              <w:gridCol w:w="1000"/>
              <w:gridCol w:w="1189"/>
              <w:gridCol w:w="1133"/>
            </w:tblGrid>
            <w:tr w:rsidR="006B7BAC" w14:paraId="55F929AD" w14:textId="77777777" w:rsidTr="006B7BAC">
              <w:trPr>
                <w:cnfStyle w:val="100000000000" w:firstRow="1" w:lastRow="0" w:firstColumn="0" w:lastColumn="0" w:oddVBand="0" w:evenVBand="0" w:oddHBand="0" w:evenHBand="0" w:firstRowFirstColumn="0" w:firstRowLastColumn="0" w:lastRowFirstColumn="0" w:lastRowLastColumn="0"/>
                <w:tblHeader/>
                <w:jc w:val="center"/>
              </w:trPr>
              <w:tc>
                <w:tcPr>
                  <w:tcW w:w="1855" w:type="dxa"/>
                  <w:tcBorders>
                    <w:top w:val="single" w:sz="8" w:space="0" w:color="666666"/>
                    <w:left w:val="none" w:sz="0" w:space="0" w:color="FFFFFF"/>
                    <w:bottom w:val="single" w:sz="8" w:space="0" w:color="666666"/>
                    <w:right w:val="none" w:sz="0" w:space="0" w:color="FFFFFF"/>
                  </w:tcBorders>
                  <w:shd w:val="clear" w:color="auto" w:fill="FFFFFF"/>
                  <w:tcMar>
                    <w:top w:w="0" w:type="dxa"/>
                    <w:left w:w="0" w:type="dxa"/>
                    <w:bottom w:w="0" w:type="dxa"/>
                    <w:right w:w="0" w:type="dxa"/>
                  </w:tcMar>
                  <w:vAlign w:val="center"/>
                </w:tcPr>
                <w:p w14:paraId="55F929A8" w14:textId="77777777" w:rsidR="006B7BAC" w:rsidRDefault="00424898">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Term</w:t>
                  </w:r>
                </w:p>
              </w:tc>
              <w:tc>
                <w:tcPr>
                  <w:tcW w:w="911" w:type="dxa"/>
                  <w:tcBorders>
                    <w:top w:val="single" w:sz="8" w:space="0" w:color="666666"/>
                    <w:left w:val="none" w:sz="0" w:space="0" w:color="FFFFFF"/>
                    <w:bottom w:val="single" w:sz="8" w:space="0" w:color="666666"/>
                    <w:right w:val="none" w:sz="0" w:space="0" w:color="FFFFFF"/>
                  </w:tcBorders>
                  <w:shd w:val="clear" w:color="auto" w:fill="FFFFFF"/>
                  <w:tcMar>
                    <w:top w:w="0" w:type="dxa"/>
                    <w:left w:w="0" w:type="dxa"/>
                    <w:bottom w:w="0" w:type="dxa"/>
                    <w:right w:w="0" w:type="dxa"/>
                  </w:tcMar>
                  <w:vAlign w:val="center"/>
                </w:tcPr>
                <w:p w14:paraId="55F929A9" w14:textId="77777777" w:rsidR="006B7BAC" w:rsidRDefault="00424898">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Edf</w:t>
                  </w:r>
                </w:p>
              </w:tc>
              <w:tc>
                <w:tcPr>
                  <w:tcW w:w="1000" w:type="dxa"/>
                  <w:tcBorders>
                    <w:top w:val="single" w:sz="8" w:space="0" w:color="666666"/>
                    <w:left w:val="none" w:sz="0" w:space="0" w:color="FFFFFF"/>
                    <w:bottom w:val="single" w:sz="8" w:space="0" w:color="666666"/>
                    <w:right w:val="none" w:sz="0" w:space="0" w:color="FFFFFF"/>
                  </w:tcBorders>
                  <w:shd w:val="clear" w:color="auto" w:fill="FFFFFF"/>
                  <w:tcMar>
                    <w:top w:w="0" w:type="dxa"/>
                    <w:left w:w="0" w:type="dxa"/>
                    <w:bottom w:w="0" w:type="dxa"/>
                    <w:right w:w="0" w:type="dxa"/>
                  </w:tcMar>
                  <w:vAlign w:val="center"/>
                </w:tcPr>
                <w:p w14:paraId="55F929AA" w14:textId="77777777" w:rsidR="006B7BAC" w:rsidRDefault="00424898">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Ref Df</w:t>
                  </w:r>
                </w:p>
              </w:tc>
              <w:tc>
                <w:tcPr>
                  <w:tcW w:w="1189" w:type="dxa"/>
                  <w:tcBorders>
                    <w:top w:val="single" w:sz="8" w:space="0" w:color="666666"/>
                    <w:left w:val="none" w:sz="0" w:space="0" w:color="FFFFFF"/>
                    <w:bottom w:val="single" w:sz="8" w:space="0" w:color="666666"/>
                    <w:right w:val="none" w:sz="0" w:space="0" w:color="FFFFFF"/>
                  </w:tcBorders>
                  <w:shd w:val="clear" w:color="auto" w:fill="FFFFFF"/>
                  <w:tcMar>
                    <w:top w:w="0" w:type="dxa"/>
                    <w:left w:w="0" w:type="dxa"/>
                    <w:bottom w:w="0" w:type="dxa"/>
                    <w:right w:w="0" w:type="dxa"/>
                  </w:tcMar>
                  <w:vAlign w:val="center"/>
                </w:tcPr>
                <w:p w14:paraId="55F929AB" w14:textId="77777777" w:rsidR="006B7BAC" w:rsidRDefault="00424898">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Statistic</w:t>
                  </w:r>
                </w:p>
              </w:tc>
              <w:tc>
                <w:tcPr>
                  <w:tcW w:w="1133" w:type="dxa"/>
                  <w:tcBorders>
                    <w:top w:val="single" w:sz="8" w:space="0" w:color="666666"/>
                    <w:left w:val="none" w:sz="0" w:space="0" w:color="FFFFFF"/>
                    <w:bottom w:val="single" w:sz="8" w:space="0" w:color="666666"/>
                    <w:right w:val="none" w:sz="0" w:space="0" w:color="FFFFFF"/>
                  </w:tcBorders>
                  <w:shd w:val="clear" w:color="auto" w:fill="FFFFFF"/>
                  <w:tcMar>
                    <w:top w:w="0" w:type="dxa"/>
                    <w:left w:w="0" w:type="dxa"/>
                    <w:bottom w:w="0" w:type="dxa"/>
                    <w:right w:w="0" w:type="dxa"/>
                  </w:tcMar>
                  <w:vAlign w:val="center"/>
                </w:tcPr>
                <w:p w14:paraId="55F929AC" w14:textId="77777777" w:rsidR="006B7BAC" w:rsidRDefault="00424898">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P Value</w:t>
                  </w:r>
                </w:p>
              </w:tc>
            </w:tr>
            <w:tr w:rsidR="006B7BAC" w14:paraId="55F929B3" w14:textId="77777777" w:rsidTr="006B7BAC">
              <w:trPr>
                <w:jc w:val="center"/>
              </w:trPr>
              <w:tc>
                <w:tcPr>
                  <w:tcW w:w="1855" w:type="dxa"/>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AE"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s(mean_rkm)</w:t>
                  </w:r>
                </w:p>
              </w:tc>
              <w:tc>
                <w:tcPr>
                  <w:tcW w:w="911" w:type="dxa"/>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AF"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1.000</w:t>
                  </w:r>
                </w:p>
              </w:tc>
              <w:tc>
                <w:tcPr>
                  <w:tcW w:w="1000" w:type="dxa"/>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B0"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1.000</w:t>
                  </w:r>
                </w:p>
              </w:tc>
              <w:tc>
                <w:tcPr>
                  <w:tcW w:w="1189" w:type="dxa"/>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B1"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0.003</w:t>
                  </w:r>
                </w:p>
              </w:tc>
              <w:tc>
                <w:tcPr>
                  <w:tcW w:w="1133" w:type="dxa"/>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B2"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0.956</w:t>
                  </w:r>
                </w:p>
              </w:tc>
            </w:tr>
            <w:tr w:rsidR="006B7BAC" w14:paraId="55F929B9" w14:textId="77777777" w:rsidTr="006B7BAC">
              <w:trPr>
                <w:jc w:val="center"/>
              </w:trPr>
              <w:tc>
                <w:tcPr>
                  <w:tcW w:w="1855"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B4"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s(sd_rkm)</w:t>
                  </w:r>
                </w:p>
              </w:tc>
              <w:tc>
                <w:tcPr>
                  <w:tcW w:w="911"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B5"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2.601</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B6"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2.876</w:t>
                  </w:r>
                </w:p>
              </w:tc>
              <w:tc>
                <w:tcPr>
                  <w:tcW w:w="1189"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B7"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6.610</w:t>
                  </w:r>
                </w:p>
              </w:tc>
              <w:tc>
                <w:tcPr>
                  <w:tcW w:w="1133"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B8"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0.004</w:t>
                  </w:r>
                </w:p>
              </w:tc>
            </w:tr>
            <w:tr w:rsidR="006B7BAC" w14:paraId="55F929BF" w14:textId="77777777" w:rsidTr="006B7BAC">
              <w:trPr>
                <w:jc w:val="center"/>
              </w:trPr>
              <w:tc>
                <w:tcPr>
                  <w:tcW w:w="1855"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BA"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s(phos)</w:t>
                  </w:r>
                </w:p>
              </w:tc>
              <w:tc>
                <w:tcPr>
                  <w:tcW w:w="911"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BB"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1.000</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BC"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1.000</w:t>
                  </w:r>
                </w:p>
              </w:tc>
              <w:tc>
                <w:tcPr>
                  <w:tcW w:w="1189"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BD"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9.277</w:t>
                  </w:r>
                </w:p>
              </w:tc>
              <w:tc>
                <w:tcPr>
                  <w:tcW w:w="1133"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BE"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0.006</w:t>
                  </w:r>
                </w:p>
              </w:tc>
            </w:tr>
            <w:tr w:rsidR="006B7BAC" w14:paraId="55F929C5" w14:textId="77777777" w:rsidTr="006B7BAC">
              <w:trPr>
                <w:jc w:val="center"/>
              </w:trPr>
              <w:tc>
                <w:tcPr>
                  <w:tcW w:w="1855"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C0"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s(emigration_yr)</w:t>
                  </w:r>
                </w:p>
              </w:tc>
              <w:tc>
                <w:tcPr>
                  <w:tcW w:w="911"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C1"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5.153</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C2"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6.436</w:t>
                  </w:r>
                </w:p>
              </w:tc>
              <w:tc>
                <w:tcPr>
                  <w:tcW w:w="1189"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C3"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5.530</w:t>
                  </w:r>
                </w:p>
              </w:tc>
              <w:tc>
                <w:tcPr>
                  <w:tcW w:w="1133"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C4"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0.001</w:t>
                  </w:r>
                </w:p>
              </w:tc>
            </w:tr>
            <w:bookmarkEnd w:id="10"/>
          </w:tbl>
          <w:p w14:paraId="55F92A38" w14:textId="77777777" w:rsidR="00DA5FB1" w:rsidRDefault="00DA5FB1">
            <w:pPr>
              <w:spacing w:after="0"/>
            </w:pPr>
          </w:p>
        </w:tc>
      </w:tr>
    </w:tbl>
    <w:p w14:paraId="55F929C7" w14:textId="77777777" w:rsidR="006B7BAC" w:rsidRDefault="006B7BAC">
      <w:pPr>
        <w:pStyle w:val="BodyText"/>
      </w:pPr>
      <w:hyperlink w:anchor="fig-prod-marg">
        <w:r>
          <w:rPr>
            <w:rStyle w:val="Hyperlink"/>
          </w:rPr>
          <w:t>Figure 2</w:t>
        </w:r>
      </w:hyperlink>
      <w:r w:rsidR="00424898">
        <w:t xml:space="preserve"> shows the marginal effects of each covariate on predicted smolts per spawner, assuming the others are fixed at their mean values. Although the mean redd rkm showed little effect, the smoothed spline of the standard deviation of redd rkm suggest that higher standard deviations (i.e., more dispersed redds) leads to higher predicted values of smolts per spawner. The effect of pHOS suggests that higher levels of pHOS are associated with </w:t>
      </w:r>
      <w:r w:rsidR="00424898">
        <w:lastRenderedPageBreak/>
        <w:t>higher productivity, although when hatchery origin spawners are made up of</w:t>
      </w:r>
      <w:r w:rsidR="00424898">
        <w:t xml:space="preserve"> a higher proportion of out-of-basin strays, that effect is dampened. The estimated smolt capacity, based on the fitted Ricker curve (</w:t>
      </w:r>
      <w:hyperlink w:anchor="fig-prod-marg">
        <w:r>
          <w:rPr>
            <w:rStyle w:val="Hyperlink"/>
          </w:rPr>
          <w:t>Figure 2</w:t>
        </w:r>
      </w:hyperlink>
      <w:r w:rsidR="00424898">
        <w:t xml:space="preserve"> A) is 41,286 smolts, which occurs when there are 845 spawners in the system.</w:t>
      </w:r>
    </w:p>
    <w:tbl>
      <w:tblPr>
        <w:tblStyle w:val="Table"/>
        <w:tblW w:w="5000" w:type="pct"/>
        <w:tblLayout w:type="fixed"/>
        <w:tblLook w:val="0000" w:firstRow="0" w:lastRow="0" w:firstColumn="0" w:lastColumn="0" w:noHBand="0" w:noVBand="0"/>
      </w:tblPr>
      <w:tblGrid>
        <w:gridCol w:w="9360"/>
      </w:tblGrid>
      <w:tr w:rsidR="006B7BAC" w14:paraId="55F929CA" w14:textId="77777777">
        <w:tc>
          <w:tcPr>
            <w:tcW w:w="7920" w:type="dxa"/>
          </w:tcPr>
          <w:p w14:paraId="55F929C8" w14:textId="77777777" w:rsidR="006B7BAC" w:rsidRDefault="00424898">
            <w:pPr>
              <w:pStyle w:val="Compact"/>
              <w:jc w:val="center"/>
            </w:pPr>
            <w:bookmarkStart w:id="11" w:name="fig-prod-marg"/>
            <w:r>
              <w:rPr>
                <w:noProof/>
              </w:rPr>
              <w:drawing>
                <wp:inline distT="0" distB="0" distL="0" distR="0" wp14:anchorId="55F92A37" wp14:editId="30CB9C9C">
                  <wp:extent cx="5334000" cy="53340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3" name="Picture"/>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334000" cy="5334000"/>
                          </a:xfrm>
                          <a:prstGeom prst="rect">
                            <a:avLst/>
                          </a:prstGeom>
                          <a:noFill/>
                          <a:ln w="9525">
                            <a:noFill/>
                            <a:headEnd/>
                            <a:tailEnd/>
                          </a:ln>
                        </pic:spPr>
                      </pic:pic>
                    </a:graphicData>
                  </a:graphic>
                </wp:inline>
              </w:drawing>
            </w:r>
          </w:p>
          <w:p w14:paraId="55F929C9" w14:textId="784E1D60" w:rsidR="006B7BAC" w:rsidRDefault="00424898">
            <w:pPr>
              <w:pStyle w:val="ImageCaption"/>
              <w:spacing w:before="200"/>
            </w:pPr>
            <w:r>
              <w:t xml:space="preserve">Figure 2: </w:t>
            </w:r>
            <w:r w:rsidR="0028019A" w:rsidRPr="0028019A">
              <w:t xml:space="preserve">Predicted marginal effects of each covariate in the smolts/spawner GAM (other covariates are fixed at mean values). Plots B-F have log-transformed the y-axis to improve </w:t>
            </w:r>
            <w:proofErr w:type="spellStart"/>
            <w:r w:rsidR="0028019A" w:rsidRPr="0028019A">
              <w:t>visability</w:t>
            </w:r>
            <w:proofErr w:type="spellEnd"/>
            <w:r w:rsidR="0028019A" w:rsidRPr="0028019A">
              <w:t xml:space="preserve">. (A) shows the effect of spawners on smolts, (B) shows the effect of the mean redd river kilometer, (C) shows the effect of the standard deviation of redd river kilometer, (D) shows the trend associated with emigration year, and (E) shows the effect of </w:t>
            </w:r>
            <w:proofErr w:type="spellStart"/>
            <w:r w:rsidR="0028019A" w:rsidRPr="0028019A">
              <w:t>pHOS</w:t>
            </w:r>
            <w:proofErr w:type="spellEnd"/>
            <w:r w:rsidR="0028019A" w:rsidRPr="0028019A">
              <w:t xml:space="preserve"> and proportion of out-of-basin stray hatchery fish. Gray ribbons depict 95% confidence intervals, while points depict the partial residuals for that covariate. The vertical dashed line in A represents the estimated value of spawners (845) that lead to </w:t>
            </w:r>
            <w:r w:rsidR="0028019A" w:rsidRPr="0028019A">
              <w:lastRenderedPageBreak/>
              <w:t>the maximum number of smolts (41,286) which is depicted by the horizontal dashed line. The vertical dashed line in B represents the location of the weir.</w:t>
            </w:r>
          </w:p>
        </w:tc>
        <w:bookmarkEnd w:id="11"/>
      </w:tr>
    </w:tbl>
    <w:p w14:paraId="55F929CB" w14:textId="77777777" w:rsidR="006B7BAC" w:rsidRDefault="00424898">
      <w:pPr>
        <w:pStyle w:val="Heading2"/>
      </w:pPr>
      <w:bookmarkStart w:id="12" w:name="sar-and-returnsspawner"/>
      <w:bookmarkEnd w:id="8"/>
      <w:r>
        <w:lastRenderedPageBreak/>
        <w:t>SAR and Returns/Spawner</w:t>
      </w:r>
    </w:p>
    <w:p w14:paraId="55F929CC" w14:textId="77777777" w:rsidR="006B7BAC" w:rsidRDefault="00424898">
      <w:pPr>
        <w:pStyle w:val="FirstParagraph"/>
      </w:pPr>
      <w:r>
        <w:t xml:space="preserve">For the R/S models, </w:t>
      </w:r>
      <w:hyperlink w:anchor="tbl-rec-spwn-coeff">
        <w:r w:rsidR="006B7BAC">
          <w:rPr>
            <w:rStyle w:val="Hyperlink"/>
          </w:rPr>
          <w:t>Table 5</w:t>
        </w:r>
      </w:hyperlink>
      <w:r>
        <w:t xml:space="preserve"> shows the parameter estimates of the intercept and slope that are part of the linearized Ricker model. In the returns / spawner model, spawners had a statistically negative effect, indicating the presence of density dependence sometime between the egg and spawner lifestage. The estimated edf of each covariate for both SAR and R/S models, and the P-values associated with it are found in </w:t>
      </w:r>
      <w:hyperlink w:anchor="tbl-edf-coef">
        <w:r w:rsidR="006B7BAC">
          <w:rPr>
            <w:rStyle w:val="Hyperlink"/>
          </w:rPr>
          <w:t>Table 6</w:t>
        </w:r>
      </w:hyperlink>
      <w:r>
        <w:t>. The mean smolt length was statistically significant in the SAR model, but not the R/S model. We found that pHOS was not statistically significant in any model, while the brood year spline was significant in all models.</w:t>
      </w:r>
    </w:p>
    <w:tbl>
      <w:tblPr>
        <w:tblStyle w:val="Table"/>
        <w:tblW w:w="5000" w:type="pct"/>
        <w:tblLayout w:type="fixed"/>
        <w:tblLook w:val="0000" w:firstRow="0" w:lastRow="0" w:firstColumn="0" w:lastColumn="0" w:noHBand="0" w:noVBand="0"/>
      </w:tblPr>
      <w:tblGrid>
        <w:gridCol w:w="9360"/>
      </w:tblGrid>
      <w:tr w:rsidR="006B7BAC" w14:paraId="55F929E6" w14:textId="77777777">
        <w:tc>
          <w:tcPr>
            <w:tcW w:w="7920" w:type="dxa"/>
          </w:tcPr>
          <w:p w14:paraId="55F929CD" w14:textId="77777777" w:rsidR="006B7BAC" w:rsidRDefault="00424898">
            <w:pPr>
              <w:pStyle w:val="ImageCaption"/>
              <w:spacing w:before="200"/>
            </w:pPr>
            <w:bookmarkStart w:id="13" w:name="tbl-rec-spwn-coeff"/>
            <w:r>
              <w:t>Table 5: Coefficient estimates of fixed effects for total returns per spawner GAMs.</w:t>
            </w:r>
          </w:p>
          <w:tbl>
            <w:tblPr>
              <w:tblStyle w:val="Table"/>
              <w:tblW w:w="0" w:type="auto"/>
              <w:jc w:val="center"/>
              <w:tblLayout w:type="fixed"/>
              <w:tblLook w:val="0420" w:firstRow="1" w:lastRow="0" w:firstColumn="0" w:lastColumn="0" w:noHBand="0" w:noVBand="1"/>
            </w:tblPr>
            <w:tblGrid>
              <w:gridCol w:w="1322"/>
              <w:gridCol w:w="1244"/>
              <w:gridCol w:w="1277"/>
              <w:gridCol w:w="1189"/>
              <w:gridCol w:w="1133"/>
              <w:gridCol w:w="1322"/>
              <w:gridCol w:w="1366"/>
            </w:tblGrid>
            <w:tr w:rsidR="006B7BAC" w14:paraId="55F929D5" w14:textId="77777777" w:rsidTr="006B7BAC">
              <w:trPr>
                <w:cnfStyle w:val="100000000000" w:firstRow="1" w:lastRow="0" w:firstColumn="0" w:lastColumn="0" w:oddVBand="0" w:evenVBand="0" w:oddHBand="0" w:evenHBand="0" w:firstRowFirstColumn="0" w:firstRowLastColumn="0" w:lastRowFirstColumn="0" w:lastRowLastColumn="0"/>
                <w:tblHeader/>
                <w:jc w:val="center"/>
              </w:trPr>
              <w:tc>
                <w:tcPr>
                  <w:tcW w:w="1322" w:type="dxa"/>
                  <w:tcBorders>
                    <w:top w:val="single" w:sz="8" w:space="0" w:color="666666"/>
                    <w:left w:val="none" w:sz="0" w:space="0" w:color="FFFFFF"/>
                    <w:bottom w:val="single" w:sz="8" w:space="0" w:color="666666"/>
                    <w:right w:val="none" w:sz="0" w:space="0" w:color="FFFFFF"/>
                  </w:tcBorders>
                  <w:shd w:val="clear" w:color="auto" w:fill="FFFFFF"/>
                  <w:tcMar>
                    <w:top w:w="0" w:type="dxa"/>
                    <w:left w:w="0" w:type="dxa"/>
                    <w:bottom w:w="0" w:type="dxa"/>
                    <w:right w:w="0" w:type="dxa"/>
                  </w:tcMar>
                  <w:vAlign w:val="center"/>
                </w:tcPr>
                <w:p w14:paraId="55F929CE" w14:textId="77777777" w:rsidR="006B7BAC" w:rsidRDefault="00424898">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Term</w:t>
                  </w:r>
                </w:p>
              </w:tc>
              <w:tc>
                <w:tcPr>
                  <w:tcW w:w="1244" w:type="dxa"/>
                  <w:tcBorders>
                    <w:top w:val="single" w:sz="8" w:space="0" w:color="666666"/>
                    <w:left w:val="none" w:sz="0" w:space="0" w:color="FFFFFF"/>
                    <w:bottom w:val="single" w:sz="8" w:space="0" w:color="666666"/>
                    <w:right w:val="none" w:sz="0" w:space="0" w:color="FFFFFF"/>
                  </w:tcBorders>
                  <w:shd w:val="clear" w:color="auto" w:fill="FFFFFF"/>
                  <w:tcMar>
                    <w:top w:w="0" w:type="dxa"/>
                    <w:left w:w="0" w:type="dxa"/>
                    <w:bottom w:w="0" w:type="dxa"/>
                    <w:right w:w="0" w:type="dxa"/>
                  </w:tcMar>
                  <w:vAlign w:val="center"/>
                </w:tcPr>
                <w:p w14:paraId="55F929CF" w14:textId="77777777" w:rsidR="006B7BAC" w:rsidRDefault="00424898">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Estimate</w:t>
                  </w:r>
                </w:p>
              </w:tc>
              <w:tc>
                <w:tcPr>
                  <w:tcW w:w="1277" w:type="dxa"/>
                  <w:tcBorders>
                    <w:top w:val="single" w:sz="8" w:space="0" w:color="666666"/>
                    <w:left w:val="none" w:sz="0" w:space="0" w:color="FFFFFF"/>
                    <w:bottom w:val="single" w:sz="8" w:space="0" w:color="666666"/>
                    <w:right w:val="none" w:sz="0" w:space="0" w:color="FFFFFF"/>
                  </w:tcBorders>
                  <w:shd w:val="clear" w:color="auto" w:fill="FFFFFF"/>
                  <w:tcMar>
                    <w:top w:w="0" w:type="dxa"/>
                    <w:left w:w="0" w:type="dxa"/>
                    <w:bottom w:w="0" w:type="dxa"/>
                    <w:right w:w="0" w:type="dxa"/>
                  </w:tcMar>
                  <w:vAlign w:val="center"/>
                </w:tcPr>
                <w:p w14:paraId="55F929D0" w14:textId="77777777" w:rsidR="006B7BAC" w:rsidRDefault="00424898">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Std Error</w:t>
                  </w:r>
                </w:p>
              </w:tc>
              <w:tc>
                <w:tcPr>
                  <w:tcW w:w="1189" w:type="dxa"/>
                  <w:tcBorders>
                    <w:top w:val="single" w:sz="8" w:space="0" w:color="666666"/>
                    <w:left w:val="none" w:sz="0" w:space="0" w:color="FFFFFF"/>
                    <w:bottom w:val="single" w:sz="8" w:space="0" w:color="666666"/>
                    <w:right w:val="none" w:sz="0" w:space="0" w:color="FFFFFF"/>
                  </w:tcBorders>
                  <w:shd w:val="clear" w:color="auto" w:fill="FFFFFF"/>
                  <w:tcMar>
                    <w:top w:w="0" w:type="dxa"/>
                    <w:left w:w="0" w:type="dxa"/>
                    <w:bottom w:w="0" w:type="dxa"/>
                    <w:right w:w="0" w:type="dxa"/>
                  </w:tcMar>
                  <w:vAlign w:val="center"/>
                </w:tcPr>
                <w:p w14:paraId="55F929D1" w14:textId="77777777" w:rsidR="006B7BAC" w:rsidRDefault="00424898">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Statistic</w:t>
                  </w:r>
                </w:p>
              </w:tc>
              <w:tc>
                <w:tcPr>
                  <w:tcW w:w="1133" w:type="dxa"/>
                  <w:tcBorders>
                    <w:top w:val="single" w:sz="8" w:space="0" w:color="666666"/>
                    <w:left w:val="none" w:sz="0" w:space="0" w:color="FFFFFF"/>
                    <w:bottom w:val="single" w:sz="8" w:space="0" w:color="666666"/>
                    <w:right w:val="none" w:sz="0" w:space="0" w:color="FFFFFF"/>
                  </w:tcBorders>
                  <w:shd w:val="clear" w:color="auto" w:fill="FFFFFF"/>
                  <w:tcMar>
                    <w:top w:w="0" w:type="dxa"/>
                    <w:left w:w="0" w:type="dxa"/>
                    <w:bottom w:w="0" w:type="dxa"/>
                    <w:right w:w="0" w:type="dxa"/>
                  </w:tcMar>
                  <w:vAlign w:val="center"/>
                </w:tcPr>
                <w:p w14:paraId="55F929D2" w14:textId="77777777" w:rsidR="006B7BAC" w:rsidRDefault="00424898">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P Value</w:t>
                  </w:r>
                </w:p>
              </w:tc>
              <w:tc>
                <w:tcPr>
                  <w:tcW w:w="1322" w:type="dxa"/>
                  <w:tcBorders>
                    <w:top w:val="single" w:sz="8" w:space="0" w:color="666666"/>
                    <w:left w:val="none" w:sz="0" w:space="0" w:color="FFFFFF"/>
                    <w:bottom w:val="single" w:sz="8" w:space="0" w:color="666666"/>
                    <w:right w:val="none" w:sz="0" w:space="0" w:color="FFFFFF"/>
                  </w:tcBorders>
                  <w:shd w:val="clear" w:color="auto" w:fill="FFFFFF"/>
                  <w:tcMar>
                    <w:top w:w="0" w:type="dxa"/>
                    <w:left w:w="0" w:type="dxa"/>
                    <w:bottom w:w="0" w:type="dxa"/>
                    <w:right w:w="0" w:type="dxa"/>
                  </w:tcMar>
                  <w:vAlign w:val="center"/>
                </w:tcPr>
                <w:p w14:paraId="55F929D3" w14:textId="77777777" w:rsidR="006B7BAC" w:rsidRDefault="00424898">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Conf Low</w:t>
                  </w:r>
                </w:p>
              </w:tc>
              <w:tc>
                <w:tcPr>
                  <w:tcW w:w="1366" w:type="dxa"/>
                  <w:tcBorders>
                    <w:top w:val="single" w:sz="8" w:space="0" w:color="666666"/>
                    <w:left w:val="none" w:sz="0" w:space="0" w:color="FFFFFF"/>
                    <w:bottom w:val="single" w:sz="8" w:space="0" w:color="666666"/>
                    <w:right w:val="none" w:sz="0" w:space="0" w:color="FFFFFF"/>
                  </w:tcBorders>
                  <w:shd w:val="clear" w:color="auto" w:fill="FFFFFF"/>
                  <w:tcMar>
                    <w:top w:w="0" w:type="dxa"/>
                    <w:left w:w="0" w:type="dxa"/>
                    <w:bottom w:w="0" w:type="dxa"/>
                    <w:right w:w="0" w:type="dxa"/>
                  </w:tcMar>
                  <w:vAlign w:val="center"/>
                </w:tcPr>
                <w:p w14:paraId="55F929D4" w14:textId="77777777" w:rsidR="006B7BAC" w:rsidRDefault="00424898">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Conf High</w:t>
                  </w:r>
                </w:p>
              </w:tc>
            </w:tr>
            <w:tr w:rsidR="006B7BAC" w14:paraId="55F929DD" w14:textId="77777777" w:rsidTr="006B7BAC">
              <w:trPr>
                <w:jc w:val="center"/>
              </w:trPr>
              <w:tc>
                <w:tcPr>
                  <w:tcW w:w="1322" w:type="dxa"/>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D6"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(Intercept)</w:t>
                  </w:r>
                </w:p>
              </w:tc>
              <w:tc>
                <w:tcPr>
                  <w:tcW w:w="1244" w:type="dxa"/>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D7"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0.683</w:t>
                  </w:r>
                </w:p>
              </w:tc>
              <w:tc>
                <w:tcPr>
                  <w:tcW w:w="1277" w:type="dxa"/>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D8"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0.275</w:t>
                  </w:r>
                </w:p>
              </w:tc>
              <w:tc>
                <w:tcPr>
                  <w:tcW w:w="1189" w:type="dxa"/>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D9"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2.487</w:t>
                  </w:r>
                </w:p>
              </w:tc>
              <w:tc>
                <w:tcPr>
                  <w:tcW w:w="1133" w:type="dxa"/>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DA"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0.024</w:t>
                  </w:r>
                </w:p>
              </w:tc>
              <w:tc>
                <w:tcPr>
                  <w:tcW w:w="1322" w:type="dxa"/>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DB"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0.145</w:t>
                  </w:r>
                </w:p>
              </w:tc>
              <w:tc>
                <w:tcPr>
                  <w:tcW w:w="1366" w:type="dxa"/>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DC"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1.221</w:t>
                  </w:r>
                </w:p>
              </w:tc>
            </w:tr>
            <w:tr w:rsidR="006B7BAC" w14:paraId="55F929E5" w14:textId="77777777" w:rsidTr="006B7BAC">
              <w:trPr>
                <w:jc w:val="center"/>
              </w:trPr>
              <w:tc>
                <w:tcPr>
                  <w:tcW w:w="132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DE"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spawners</w:t>
                  </w:r>
                </w:p>
              </w:tc>
              <w:tc>
                <w:tcPr>
                  <w:tcW w:w="1244"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DF"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-0.003</w:t>
                  </w:r>
                </w:p>
              </w:tc>
              <w:tc>
                <w:tcPr>
                  <w:tcW w:w="1277"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E0"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0.001</w:t>
                  </w:r>
                </w:p>
              </w:tc>
              <w:tc>
                <w:tcPr>
                  <w:tcW w:w="1189"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E1"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-3.686</w:t>
                  </w:r>
                </w:p>
              </w:tc>
              <w:tc>
                <w:tcPr>
                  <w:tcW w:w="1133"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E2"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0.002</w:t>
                  </w:r>
                </w:p>
              </w:tc>
              <w:tc>
                <w:tcPr>
                  <w:tcW w:w="132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E3"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-0.004</w:t>
                  </w:r>
                </w:p>
              </w:tc>
              <w:tc>
                <w:tcPr>
                  <w:tcW w:w="136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E4"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-0.001</w:t>
                  </w:r>
                </w:p>
              </w:tc>
            </w:tr>
            <w:bookmarkEnd w:id="13"/>
          </w:tbl>
          <w:p w14:paraId="55F92A39" w14:textId="77777777" w:rsidR="00DA5FB1" w:rsidRDefault="00DA5FB1">
            <w:pPr>
              <w:spacing w:after="0"/>
            </w:pPr>
          </w:p>
        </w:tc>
      </w:tr>
      <w:tr w:rsidR="006B7BAC" w14:paraId="55F92A27" w14:textId="77777777">
        <w:tc>
          <w:tcPr>
            <w:tcW w:w="7920" w:type="dxa"/>
          </w:tcPr>
          <w:p w14:paraId="55F929E7" w14:textId="77777777" w:rsidR="006B7BAC" w:rsidRDefault="00424898">
            <w:pPr>
              <w:pStyle w:val="ImageCaption"/>
              <w:spacing w:before="200"/>
            </w:pPr>
            <w:bookmarkStart w:id="14" w:name="tbl-edf-coef"/>
            <w:r>
              <w:t>Table 6: Effective degrees of freedom and statistical significance tests for the total SAR and returns/spawner GAMs. (** denotes significant, *** denotes highly significant, and N.S. denotes not significant)</w:t>
            </w:r>
          </w:p>
          <w:tbl>
            <w:tblPr>
              <w:tblStyle w:val="Table"/>
              <w:tblW w:w="9542" w:type="dxa"/>
              <w:jc w:val="center"/>
              <w:tblLayout w:type="fixed"/>
              <w:tblLook w:val="0420" w:firstRow="1" w:lastRow="0" w:firstColumn="0" w:lastColumn="0" w:noHBand="0" w:noVBand="1"/>
            </w:tblPr>
            <w:tblGrid>
              <w:gridCol w:w="1070"/>
              <w:gridCol w:w="1094"/>
              <w:gridCol w:w="2290"/>
              <w:gridCol w:w="1022"/>
              <w:gridCol w:w="1022"/>
              <w:gridCol w:w="1189"/>
              <w:gridCol w:w="1133"/>
              <w:gridCol w:w="722"/>
            </w:tblGrid>
            <w:tr w:rsidR="006B7BAC" w14:paraId="55F929F0" w14:textId="77777777" w:rsidTr="00EB5640">
              <w:trPr>
                <w:cnfStyle w:val="100000000000" w:firstRow="1" w:lastRow="0" w:firstColumn="0" w:lastColumn="0" w:oddVBand="0" w:evenVBand="0" w:oddHBand="0" w:evenHBand="0" w:firstRowFirstColumn="0" w:firstRowLastColumn="0" w:lastRowFirstColumn="0" w:lastRowLastColumn="0"/>
                <w:tblHeader/>
                <w:jc w:val="center"/>
              </w:trPr>
              <w:tc>
                <w:tcPr>
                  <w:tcW w:w="1070" w:type="dxa"/>
                  <w:tcBorders>
                    <w:top w:val="single" w:sz="8" w:space="0" w:color="666666"/>
                    <w:left w:val="none" w:sz="0" w:space="0" w:color="FFFFFF"/>
                    <w:bottom w:val="single" w:sz="8" w:space="0" w:color="666666"/>
                    <w:right w:val="none" w:sz="0" w:space="0" w:color="FFFFFF"/>
                  </w:tcBorders>
                  <w:shd w:val="clear" w:color="auto" w:fill="FFFFFF"/>
                  <w:tcMar>
                    <w:top w:w="0" w:type="dxa"/>
                    <w:left w:w="0" w:type="dxa"/>
                    <w:bottom w:w="0" w:type="dxa"/>
                    <w:right w:w="0" w:type="dxa"/>
                  </w:tcMar>
                  <w:vAlign w:val="center"/>
                </w:tcPr>
                <w:p w14:paraId="55F929E8" w14:textId="77777777" w:rsidR="006B7BAC" w:rsidRDefault="00424898">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Model</w:t>
                  </w:r>
                </w:p>
              </w:tc>
              <w:tc>
                <w:tcPr>
                  <w:tcW w:w="1094" w:type="dxa"/>
                  <w:tcBorders>
                    <w:top w:val="single" w:sz="8" w:space="0" w:color="666666"/>
                    <w:left w:val="none" w:sz="0" w:space="0" w:color="FFFFFF"/>
                    <w:bottom w:val="single" w:sz="8" w:space="0" w:color="666666"/>
                    <w:right w:val="none" w:sz="0" w:space="0" w:color="FFFFFF"/>
                  </w:tcBorders>
                  <w:shd w:val="clear" w:color="auto" w:fill="FFFFFF"/>
                  <w:tcMar>
                    <w:top w:w="0" w:type="dxa"/>
                    <w:left w:w="0" w:type="dxa"/>
                    <w:bottom w:w="0" w:type="dxa"/>
                    <w:right w:w="0" w:type="dxa"/>
                  </w:tcMar>
                  <w:vAlign w:val="center"/>
                </w:tcPr>
                <w:p w14:paraId="55F929E9" w14:textId="77777777" w:rsidR="006B7BAC" w:rsidRDefault="00424898">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Returns</w:t>
                  </w:r>
                </w:p>
              </w:tc>
              <w:tc>
                <w:tcPr>
                  <w:tcW w:w="2290" w:type="dxa"/>
                  <w:tcBorders>
                    <w:top w:val="single" w:sz="8" w:space="0" w:color="666666"/>
                    <w:left w:val="none" w:sz="0" w:space="0" w:color="FFFFFF"/>
                    <w:bottom w:val="single" w:sz="8" w:space="0" w:color="666666"/>
                    <w:right w:val="none" w:sz="0" w:space="0" w:color="FFFFFF"/>
                  </w:tcBorders>
                  <w:shd w:val="clear" w:color="auto" w:fill="FFFFFF"/>
                  <w:tcMar>
                    <w:top w:w="0" w:type="dxa"/>
                    <w:left w:w="0" w:type="dxa"/>
                    <w:bottom w:w="0" w:type="dxa"/>
                    <w:right w:w="0" w:type="dxa"/>
                  </w:tcMar>
                  <w:vAlign w:val="center"/>
                </w:tcPr>
                <w:p w14:paraId="55F929EA" w14:textId="77777777" w:rsidR="006B7BAC" w:rsidRDefault="00424898">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Term</w:t>
                  </w:r>
                </w:p>
              </w:tc>
              <w:tc>
                <w:tcPr>
                  <w:tcW w:w="1022" w:type="dxa"/>
                  <w:tcBorders>
                    <w:top w:val="single" w:sz="8" w:space="0" w:color="666666"/>
                    <w:left w:val="none" w:sz="0" w:space="0" w:color="FFFFFF"/>
                    <w:bottom w:val="single" w:sz="8" w:space="0" w:color="666666"/>
                    <w:right w:val="none" w:sz="0" w:space="0" w:color="FFFFFF"/>
                  </w:tcBorders>
                  <w:shd w:val="clear" w:color="auto" w:fill="FFFFFF"/>
                  <w:tcMar>
                    <w:top w:w="0" w:type="dxa"/>
                    <w:left w:w="0" w:type="dxa"/>
                    <w:bottom w:w="0" w:type="dxa"/>
                    <w:right w:w="0" w:type="dxa"/>
                  </w:tcMar>
                  <w:vAlign w:val="center"/>
                </w:tcPr>
                <w:p w14:paraId="55F929EB" w14:textId="77777777" w:rsidR="006B7BAC" w:rsidRDefault="00424898">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Edf</w:t>
                  </w:r>
                </w:p>
              </w:tc>
              <w:tc>
                <w:tcPr>
                  <w:tcW w:w="1022" w:type="dxa"/>
                  <w:tcBorders>
                    <w:top w:val="single" w:sz="8" w:space="0" w:color="666666"/>
                    <w:left w:val="none" w:sz="0" w:space="0" w:color="FFFFFF"/>
                    <w:bottom w:val="single" w:sz="8" w:space="0" w:color="666666"/>
                    <w:right w:val="none" w:sz="0" w:space="0" w:color="FFFFFF"/>
                  </w:tcBorders>
                  <w:shd w:val="clear" w:color="auto" w:fill="FFFFFF"/>
                  <w:tcMar>
                    <w:top w:w="0" w:type="dxa"/>
                    <w:left w:w="0" w:type="dxa"/>
                    <w:bottom w:w="0" w:type="dxa"/>
                    <w:right w:w="0" w:type="dxa"/>
                  </w:tcMar>
                  <w:vAlign w:val="center"/>
                </w:tcPr>
                <w:p w14:paraId="55F929EC" w14:textId="77777777" w:rsidR="006B7BAC" w:rsidRDefault="00424898">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Ref Df</w:t>
                  </w:r>
                </w:p>
              </w:tc>
              <w:tc>
                <w:tcPr>
                  <w:tcW w:w="1189" w:type="dxa"/>
                  <w:tcBorders>
                    <w:top w:val="single" w:sz="8" w:space="0" w:color="666666"/>
                    <w:left w:val="none" w:sz="0" w:space="0" w:color="FFFFFF"/>
                    <w:bottom w:val="single" w:sz="8" w:space="0" w:color="666666"/>
                    <w:right w:val="none" w:sz="0" w:space="0" w:color="FFFFFF"/>
                  </w:tcBorders>
                  <w:shd w:val="clear" w:color="auto" w:fill="FFFFFF"/>
                  <w:tcMar>
                    <w:top w:w="0" w:type="dxa"/>
                    <w:left w:w="0" w:type="dxa"/>
                    <w:bottom w:w="0" w:type="dxa"/>
                    <w:right w:w="0" w:type="dxa"/>
                  </w:tcMar>
                  <w:vAlign w:val="center"/>
                </w:tcPr>
                <w:p w14:paraId="55F929ED" w14:textId="77777777" w:rsidR="006B7BAC" w:rsidRDefault="00424898">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Statistic</w:t>
                  </w:r>
                </w:p>
              </w:tc>
              <w:tc>
                <w:tcPr>
                  <w:tcW w:w="1133" w:type="dxa"/>
                  <w:tcBorders>
                    <w:top w:val="single" w:sz="8" w:space="0" w:color="666666"/>
                    <w:left w:val="none" w:sz="0" w:space="0" w:color="FFFFFF"/>
                    <w:bottom w:val="single" w:sz="8" w:space="0" w:color="666666"/>
                    <w:right w:val="none" w:sz="0" w:space="0" w:color="FFFFFF"/>
                  </w:tcBorders>
                  <w:shd w:val="clear" w:color="auto" w:fill="FFFFFF"/>
                  <w:tcMar>
                    <w:top w:w="0" w:type="dxa"/>
                    <w:left w:w="0" w:type="dxa"/>
                    <w:bottom w:w="0" w:type="dxa"/>
                    <w:right w:w="0" w:type="dxa"/>
                  </w:tcMar>
                  <w:vAlign w:val="center"/>
                </w:tcPr>
                <w:p w14:paraId="55F929EE" w14:textId="77777777" w:rsidR="006B7BAC" w:rsidRDefault="00424898">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P Value</w:t>
                  </w:r>
                </w:p>
              </w:tc>
              <w:tc>
                <w:tcPr>
                  <w:tcW w:w="722" w:type="dxa"/>
                  <w:tcBorders>
                    <w:top w:val="single" w:sz="8" w:space="0" w:color="666666"/>
                    <w:left w:val="none" w:sz="0" w:space="0" w:color="FFFFFF"/>
                    <w:bottom w:val="single" w:sz="8" w:space="0" w:color="666666"/>
                    <w:right w:val="none" w:sz="0" w:space="0" w:color="FFFFFF"/>
                  </w:tcBorders>
                  <w:shd w:val="clear" w:color="auto" w:fill="FFFFFF"/>
                  <w:tcMar>
                    <w:top w:w="0" w:type="dxa"/>
                    <w:left w:w="0" w:type="dxa"/>
                    <w:bottom w:w="0" w:type="dxa"/>
                    <w:right w:w="0" w:type="dxa"/>
                  </w:tcMar>
                  <w:vAlign w:val="center"/>
                </w:tcPr>
                <w:p w14:paraId="55F929EF" w14:textId="77777777" w:rsidR="006B7BAC" w:rsidRDefault="00424898">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Sig</w:t>
                  </w:r>
                </w:p>
              </w:tc>
            </w:tr>
            <w:tr w:rsidR="006B7BAC" w14:paraId="55F929F9" w14:textId="77777777" w:rsidTr="00EB5640">
              <w:trPr>
                <w:jc w:val="center"/>
              </w:trPr>
              <w:tc>
                <w:tcPr>
                  <w:tcW w:w="1070" w:type="dxa"/>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F1"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SAR</w:t>
                  </w:r>
                </w:p>
              </w:tc>
              <w:tc>
                <w:tcPr>
                  <w:tcW w:w="1094" w:type="dxa"/>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F2"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Total</w:t>
                  </w:r>
                </w:p>
              </w:tc>
              <w:tc>
                <w:tcPr>
                  <w:tcW w:w="2290" w:type="dxa"/>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F3"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s(mean_smolt_length)</w:t>
                  </w:r>
                </w:p>
              </w:tc>
              <w:tc>
                <w:tcPr>
                  <w:tcW w:w="1022" w:type="dxa"/>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F4"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1.322</w:t>
                  </w:r>
                </w:p>
              </w:tc>
              <w:tc>
                <w:tcPr>
                  <w:tcW w:w="1022" w:type="dxa"/>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F5"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1.530</w:t>
                  </w:r>
                </w:p>
              </w:tc>
              <w:tc>
                <w:tcPr>
                  <w:tcW w:w="1189" w:type="dxa"/>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F6"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4.185</w:t>
                  </w:r>
                </w:p>
              </w:tc>
              <w:tc>
                <w:tcPr>
                  <w:tcW w:w="1133" w:type="dxa"/>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F7"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0.024</w:t>
                  </w:r>
                </w:p>
              </w:tc>
              <w:tc>
                <w:tcPr>
                  <w:tcW w:w="722" w:type="dxa"/>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F8"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w:t>
                  </w:r>
                </w:p>
              </w:tc>
            </w:tr>
            <w:tr w:rsidR="006B7BAC" w14:paraId="55F92A02" w14:textId="77777777" w:rsidTr="00EB5640">
              <w:trPr>
                <w:jc w:val="center"/>
              </w:trPr>
              <w:tc>
                <w:tcPr>
                  <w:tcW w:w="107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FA"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SAR</w:t>
                  </w:r>
                </w:p>
              </w:tc>
              <w:tc>
                <w:tcPr>
                  <w:tcW w:w="1094"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FB"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Total</w:t>
                  </w:r>
                </w:p>
              </w:tc>
              <w:tc>
                <w:tcPr>
                  <w:tcW w:w="229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FC"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s(phos)</w:t>
                  </w:r>
                </w:p>
              </w:tc>
              <w:tc>
                <w:tcPr>
                  <w:tcW w:w="102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FD"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1.000</w:t>
                  </w:r>
                </w:p>
              </w:tc>
              <w:tc>
                <w:tcPr>
                  <w:tcW w:w="102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FE"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1.000</w:t>
                  </w:r>
                </w:p>
              </w:tc>
              <w:tc>
                <w:tcPr>
                  <w:tcW w:w="1189"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9FF"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2.951</w:t>
                  </w:r>
                </w:p>
              </w:tc>
              <w:tc>
                <w:tcPr>
                  <w:tcW w:w="1133"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A00"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0.102</w:t>
                  </w:r>
                </w:p>
              </w:tc>
              <w:tc>
                <w:tcPr>
                  <w:tcW w:w="72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A01"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w:t>
                  </w:r>
                </w:p>
              </w:tc>
            </w:tr>
            <w:tr w:rsidR="006B7BAC" w14:paraId="55F92A0B" w14:textId="77777777" w:rsidTr="00EB5640">
              <w:trPr>
                <w:jc w:val="center"/>
              </w:trPr>
              <w:tc>
                <w:tcPr>
                  <w:tcW w:w="107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A03"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SAR</w:t>
                  </w:r>
                </w:p>
              </w:tc>
              <w:tc>
                <w:tcPr>
                  <w:tcW w:w="1094"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A04"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Total</w:t>
                  </w:r>
                </w:p>
              </w:tc>
              <w:tc>
                <w:tcPr>
                  <w:tcW w:w="229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A05"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s(brood_yr)</w:t>
                  </w:r>
                </w:p>
              </w:tc>
              <w:tc>
                <w:tcPr>
                  <w:tcW w:w="102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A06"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11.525</w:t>
                  </w:r>
                </w:p>
              </w:tc>
              <w:tc>
                <w:tcPr>
                  <w:tcW w:w="102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A07"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13.757</w:t>
                  </w:r>
                </w:p>
              </w:tc>
              <w:tc>
                <w:tcPr>
                  <w:tcW w:w="1189"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A08"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7.048</w:t>
                  </w:r>
                </w:p>
              </w:tc>
              <w:tc>
                <w:tcPr>
                  <w:tcW w:w="1133"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A09"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0.000</w:t>
                  </w:r>
                </w:p>
              </w:tc>
              <w:tc>
                <w:tcPr>
                  <w:tcW w:w="72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A0A"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w:t>
                  </w:r>
                </w:p>
              </w:tc>
            </w:tr>
            <w:tr w:rsidR="006B7BAC" w14:paraId="55F92A14" w14:textId="77777777" w:rsidTr="00EB5640">
              <w:trPr>
                <w:jc w:val="center"/>
              </w:trPr>
              <w:tc>
                <w:tcPr>
                  <w:tcW w:w="107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A0C"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Returns/Spawner</w:t>
                  </w:r>
                </w:p>
              </w:tc>
              <w:tc>
                <w:tcPr>
                  <w:tcW w:w="1094"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A0D"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Total</w:t>
                  </w:r>
                </w:p>
              </w:tc>
              <w:tc>
                <w:tcPr>
                  <w:tcW w:w="229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A0E"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s(mean_smolt_length)</w:t>
                  </w:r>
                </w:p>
              </w:tc>
              <w:tc>
                <w:tcPr>
                  <w:tcW w:w="102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A0F"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1.000</w:t>
                  </w:r>
                </w:p>
              </w:tc>
              <w:tc>
                <w:tcPr>
                  <w:tcW w:w="102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A10"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1.000</w:t>
                  </w:r>
                </w:p>
              </w:tc>
              <w:tc>
                <w:tcPr>
                  <w:tcW w:w="1189"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A11"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1.015</w:t>
                  </w:r>
                </w:p>
              </w:tc>
              <w:tc>
                <w:tcPr>
                  <w:tcW w:w="1133"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A12"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0.328</w:t>
                  </w:r>
                </w:p>
              </w:tc>
              <w:tc>
                <w:tcPr>
                  <w:tcW w:w="72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A13"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w:t>
                  </w:r>
                </w:p>
              </w:tc>
            </w:tr>
            <w:tr w:rsidR="006B7BAC" w14:paraId="55F92A1D" w14:textId="77777777" w:rsidTr="00EB5640">
              <w:trPr>
                <w:jc w:val="center"/>
              </w:trPr>
              <w:tc>
                <w:tcPr>
                  <w:tcW w:w="107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A15"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Returns/Spawner</w:t>
                  </w:r>
                </w:p>
              </w:tc>
              <w:tc>
                <w:tcPr>
                  <w:tcW w:w="1094"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A16"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Total</w:t>
                  </w:r>
                </w:p>
              </w:tc>
              <w:tc>
                <w:tcPr>
                  <w:tcW w:w="229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A17"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s(phos)</w:t>
                  </w:r>
                </w:p>
              </w:tc>
              <w:tc>
                <w:tcPr>
                  <w:tcW w:w="102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A18"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2.370</w:t>
                  </w:r>
                </w:p>
              </w:tc>
              <w:tc>
                <w:tcPr>
                  <w:tcW w:w="102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A19"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2.675</w:t>
                  </w:r>
                </w:p>
              </w:tc>
              <w:tc>
                <w:tcPr>
                  <w:tcW w:w="1189"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A1A"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2.743</w:t>
                  </w:r>
                </w:p>
              </w:tc>
              <w:tc>
                <w:tcPr>
                  <w:tcW w:w="1133"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A1B"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0.059</w:t>
                  </w:r>
                </w:p>
              </w:tc>
              <w:tc>
                <w:tcPr>
                  <w:tcW w:w="72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A1C"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w:t>
                  </w:r>
                </w:p>
              </w:tc>
            </w:tr>
            <w:tr w:rsidR="006B7BAC" w14:paraId="55F92A26" w14:textId="77777777" w:rsidTr="00EB5640">
              <w:trPr>
                <w:jc w:val="center"/>
              </w:trPr>
              <w:tc>
                <w:tcPr>
                  <w:tcW w:w="107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A1E"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Returns/Spawner</w:t>
                  </w:r>
                </w:p>
              </w:tc>
              <w:tc>
                <w:tcPr>
                  <w:tcW w:w="1094"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A1F"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Total</w:t>
                  </w:r>
                </w:p>
              </w:tc>
              <w:tc>
                <w:tcPr>
                  <w:tcW w:w="229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A20"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s(brood_yr)</w:t>
                  </w:r>
                </w:p>
              </w:tc>
              <w:tc>
                <w:tcPr>
                  <w:tcW w:w="102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A21"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11.745</w:t>
                  </w:r>
                </w:p>
              </w:tc>
              <w:tc>
                <w:tcPr>
                  <w:tcW w:w="102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A22"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14.052</w:t>
                  </w:r>
                </w:p>
              </w:tc>
              <w:tc>
                <w:tcPr>
                  <w:tcW w:w="1189"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A23"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6.254</w:t>
                  </w:r>
                </w:p>
              </w:tc>
              <w:tc>
                <w:tcPr>
                  <w:tcW w:w="1133"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A24"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0.000</w:t>
                  </w:r>
                </w:p>
              </w:tc>
              <w:tc>
                <w:tcPr>
                  <w:tcW w:w="72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92A25" w14:textId="77777777" w:rsidR="006B7BAC" w:rsidRDefault="00424898">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20"/>
                      <w:szCs w:val="20"/>
                    </w:rPr>
                  </w:pPr>
                  <w:r>
                    <w:rPr>
                      <w:rFonts w:ascii="Arial" w:eastAsia="Arial" w:hAnsi="Arial" w:cs="Arial"/>
                      <w:color w:val="000000"/>
                      <w:sz w:val="20"/>
                      <w:szCs w:val="20"/>
                    </w:rPr>
                    <w:t>***</w:t>
                  </w:r>
                </w:p>
              </w:tc>
            </w:tr>
            <w:bookmarkEnd w:id="14"/>
          </w:tbl>
          <w:p w14:paraId="55F92A3A" w14:textId="77777777" w:rsidR="00DA5FB1" w:rsidRDefault="00DA5FB1">
            <w:pPr>
              <w:spacing w:after="0"/>
            </w:pPr>
          </w:p>
        </w:tc>
      </w:tr>
    </w:tbl>
    <w:p w14:paraId="55F92A28" w14:textId="77777777" w:rsidR="006B7BAC" w:rsidRDefault="00424898">
      <w:pPr>
        <w:pStyle w:val="BodyText"/>
      </w:pPr>
      <w:r>
        <w:t xml:space="preserve">The estimated Ricker curve of R/S, with the negative relationship of spawners on R/S is shown in </w:t>
      </w:r>
      <w:hyperlink w:anchor="fig-rec-marg-spwn">
        <w:r w:rsidR="006B7BAC">
          <w:rPr>
            <w:rStyle w:val="Hyperlink"/>
          </w:rPr>
          <w:t>Figure 3</w:t>
        </w:r>
      </w:hyperlink>
      <w:r>
        <w:t xml:space="preserve">, while </w:t>
      </w:r>
      <w:hyperlink w:anchor="fig-rec-marg-all">
        <w:r w:rsidR="006B7BAC">
          <w:rPr>
            <w:rStyle w:val="Hyperlink"/>
          </w:rPr>
          <w:t>Figure 4</w:t>
        </w:r>
      </w:hyperlink>
      <w:r>
        <w:t xml:space="preserve"> shows the marginal effect of smolt length, pHOS, and brood year on the various recruitment metrics. The estimated maximum returns (</w:t>
      </w:r>
      <w:hyperlink w:anchor="fig-rec-marg-spwn">
        <w:r w:rsidR="006B7BAC">
          <w:rPr>
            <w:rStyle w:val="Hyperlink"/>
          </w:rPr>
          <w:t>Figure 3</w:t>
        </w:r>
      </w:hyperlink>
      <w:r>
        <w:t xml:space="preserve"> A) are 389 total (Age 3+) returns, which occur when there are 397 spawners respectively in the Tucannon River. Mean smolt length appears to have a positive association with SAR, but a negligible one with R/S. On the other hand, pHOS shows a negative association with SAR, and a non-linear but not significant relationship with R/S. The smoothed spline for brood year shows a few periods with higher SAR and R/S compared with other periods in the time-series.</w:t>
      </w:r>
    </w:p>
    <w:tbl>
      <w:tblPr>
        <w:tblStyle w:val="Table"/>
        <w:tblW w:w="5000" w:type="pct"/>
        <w:tblLayout w:type="fixed"/>
        <w:tblLook w:val="0000" w:firstRow="0" w:lastRow="0" w:firstColumn="0" w:lastColumn="0" w:noHBand="0" w:noVBand="0"/>
      </w:tblPr>
      <w:tblGrid>
        <w:gridCol w:w="9360"/>
      </w:tblGrid>
      <w:tr w:rsidR="006B7BAC" w14:paraId="55F92A2B" w14:textId="77777777">
        <w:tc>
          <w:tcPr>
            <w:tcW w:w="7920" w:type="dxa"/>
          </w:tcPr>
          <w:p w14:paraId="55F92A29" w14:textId="77777777" w:rsidR="006B7BAC" w:rsidRDefault="00424898">
            <w:pPr>
              <w:pStyle w:val="Compact"/>
              <w:jc w:val="center"/>
            </w:pPr>
            <w:bookmarkStart w:id="15" w:name="fig-rec-marg-spwn"/>
            <w:r>
              <w:rPr>
                <w:noProof/>
              </w:rPr>
              <w:lastRenderedPageBreak/>
              <w:drawing>
                <wp:inline distT="0" distB="0" distL="0" distR="0" wp14:anchorId="55F92A39" wp14:editId="55F92A3A">
                  <wp:extent cx="5334000" cy="26670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Methods_Results_files/figure-docx/fig-rec-marg-spwn-1.png"/>
                          <pic:cNvPicPr>
                            <a:picLocks noChangeAspect="1" noChangeArrowheads="1"/>
                          </pic:cNvPicPr>
                        </pic:nvPicPr>
                        <pic:blipFill>
                          <a:blip r:embed="rId7"/>
                          <a:stretch>
                            <a:fillRect/>
                          </a:stretch>
                        </pic:blipFill>
                        <pic:spPr bwMode="auto">
                          <a:xfrm>
                            <a:off x="0" y="0"/>
                            <a:ext cx="5334000" cy="2667000"/>
                          </a:xfrm>
                          <a:prstGeom prst="rect">
                            <a:avLst/>
                          </a:prstGeom>
                          <a:noFill/>
                          <a:ln w="9525">
                            <a:noFill/>
                            <a:headEnd/>
                            <a:tailEnd/>
                          </a:ln>
                        </pic:spPr>
                      </pic:pic>
                    </a:graphicData>
                  </a:graphic>
                </wp:inline>
              </w:drawing>
            </w:r>
          </w:p>
          <w:p w14:paraId="55F92A2A" w14:textId="77777777" w:rsidR="006B7BAC" w:rsidRDefault="00424898">
            <w:pPr>
              <w:pStyle w:val="ImageCaption"/>
              <w:spacing w:before="200"/>
            </w:pPr>
            <w:r>
              <w:t>Figure 3: Ricker curves depicting the effect of spawner abundance on expected returns. (A) shows the predicted Ricker curve with vertical black dashed lines depicting the estimated number of spawners (397) that result in the maximum returns / spawner (0.979). (B) shows the linearized Ricker curve for the number of spawners vs the expected returns/spawner. Points represent partial residuals.</w:t>
            </w:r>
          </w:p>
        </w:tc>
        <w:bookmarkEnd w:id="15"/>
      </w:tr>
      <w:tr w:rsidR="006B7BAC" w14:paraId="55F92A2E" w14:textId="77777777">
        <w:tc>
          <w:tcPr>
            <w:tcW w:w="7920" w:type="dxa"/>
          </w:tcPr>
          <w:p w14:paraId="55F92A2C" w14:textId="77777777" w:rsidR="006B7BAC" w:rsidRDefault="00424898">
            <w:pPr>
              <w:pStyle w:val="Compact"/>
              <w:jc w:val="center"/>
            </w:pPr>
            <w:bookmarkStart w:id="16" w:name="fig-rec-marg-all"/>
            <w:r>
              <w:rPr>
                <w:noProof/>
              </w:rPr>
              <w:lastRenderedPageBreak/>
              <w:drawing>
                <wp:inline distT="0" distB="0" distL="0" distR="0" wp14:anchorId="55F92A3B" wp14:editId="55F92A3C">
                  <wp:extent cx="5334000" cy="62230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Methods_Results_files/figure-docx/fig-rec-marg-all-1.png"/>
                          <pic:cNvPicPr>
                            <a:picLocks noChangeAspect="1" noChangeArrowheads="1"/>
                          </pic:cNvPicPr>
                        </pic:nvPicPr>
                        <pic:blipFill>
                          <a:blip r:embed="rId8"/>
                          <a:stretch>
                            <a:fillRect/>
                          </a:stretch>
                        </pic:blipFill>
                        <pic:spPr bwMode="auto">
                          <a:xfrm>
                            <a:off x="0" y="0"/>
                            <a:ext cx="5334000" cy="6223000"/>
                          </a:xfrm>
                          <a:prstGeom prst="rect">
                            <a:avLst/>
                          </a:prstGeom>
                          <a:noFill/>
                          <a:ln w="9525">
                            <a:noFill/>
                            <a:headEnd/>
                            <a:tailEnd/>
                          </a:ln>
                        </pic:spPr>
                      </pic:pic>
                    </a:graphicData>
                  </a:graphic>
                </wp:inline>
              </w:drawing>
            </w:r>
          </w:p>
          <w:p w14:paraId="55F92A2D" w14:textId="77777777" w:rsidR="006B7BAC" w:rsidRDefault="00424898">
            <w:pPr>
              <w:pStyle w:val="ImageCaption"/>
              <w:spacing w:before="200"/>
            </w:pPr>
            <w:r>
              <w:t>Figure 4: Marginal effects of SAR (left column) and returns/spawner (right column) models. The different rows show the marginal effect of mean smolt length (top), pHOS (middle), and brood year (bottom). Points represent partial residuals.</w:t>
            </w:r>
          </w:p>
        </w:tc>
        <w:bookmarkEnd w:id="16"/>
      </w:tr>
      <w:tr w:rsidR="006B7BAC" w14:paraId="55F92A31" w14:textId="77777777">
        <w:tc>
          <w:tcPr>
            <w:tcW w:w="7920" w:type="dxa"/>
          </w:tcPr>
          <w:p w14:paraId="55F92A2F" w14:textId="77777777" w:rsidR="006B7BAC" w:rsidRDefault="00424898">
            <w:pPr>
              <w:pStyle w:val="Compact"/>
              <w:jc w:val="center"/>
            </w:pPr>
            <w:bookmarkStart w:id="17" w:name="fig-rec-marg-all2"/>
            <w:r>
              <w:rPr>
                <w:noProof/>
              </w:rPr>
              <w:lastRenderedPageBreak/>
              <w:drawing>
                <wp:inline distT="0" distB="0" distL="0" distR="0" wp14:anchorId="55F92A3D" wp14:editId="55F92A3E">
                  <wp:extent cx="5334000" cy="62230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Methods_Results_files/figure-docx/fig-rec-marg-all2-1.png"/>
                          <pic:cNvPicPr>
                            <a:picLocks noChangeAspect="1" noChangeArrowheads="1"/>
                          </pic:cNvPicPr>
                        </pic:nvPicPr>
                        <pic:blipFill>
                          <a:blip r:embed="rId9"/>
                          <a:stretch>
                            <a:fillRect/>
                          </a:stretch>
                        </pic:blipFill>
                        <pic:spPr bwMode="auto">
                          <a:xfrm>
                            <a:off x="0" y="0"/>
                            <a:ext cx="5334000" cy="6223000"/>
                          </a:xfrm>
                          <a:prstGeom prst="rect">
                            <a:avLst/>
                          </a:prstGeom>
                          <a:noFill/>
                          <a:ln w="9525">
                            <a:noFill/>
                            <a:headEnd/>
                            <a:tailEnd/>
                          </a:ln>
                        </pic:spPr>
                      </pic:pic>
                    </a:graphicData>
                  </a:graphic>
                </wp:inline>
              </w:drawing>
            </w:r>
          </w:p>
          <w:p w14:paraId="55F92A30" w14:textId="77777777" w:rsidR="006B7BAC" w:rsidRDefault="00424898">
            <w:pPr>
              <w:pStyle w:val="ImageCaption"/>
              <w:spacing w:before="200"/>
            </w:pPr>
            <w:r>
              <w:t>Figure 5: Marginal effects of SAR (left column) and returns/spawner (right column) models. The different rows show the marginal effect of mean smolt length (top), pHOS (middle), and brood year (bottom). Points represent partial residuals.</w:t>
            </w:r>
          </w:p>
        </w:tc>
        <w:bookmarkEnd w:id="17"/>
      </w:tr>
    </w:tbl>
    <w:p w14:paraId="55F92A32" w14:textId="77777777" w:rsidR="006B7BAC" w:rsidRDefault="00424898">
      <w:pPr>
        <w:pStyle w:val="Heading1"/>
      </w:pPr>
      <w:bookmarkStart w:id="18" w:name="references"/>
      <w:bookmarkEnd w:id="6"/>
      <w:bookmarkEnd w:id="12"/>
      <w:r>
        <w:t>References</w:t>
      </w:r>
    </w:p>
    <w:p w14:paraId="55F92A33" w14:textId="77777777" w:rsidR="006B7BAC" w:rsidRDefault="00424898">
      <w:pPr>
        <w:pStyle w:val="Bibliography"/>
      </w:pPr>
      <w:bookmarkStart w:id="19" w:name="ref-Chapman2018"/>
      <w:bookmarkStart w:id="20" w:name="refs"/>
      <w:r>
        <w:t xml:space="preserve">Chapman, E. J., and C. J. Byron. 2018. </w:t>
      </w:r>
      <w:hyperlink r:id="rId10">
        <w:r w:rsidR="006B7BAC">
          <w:rPr>
            <w:rStyle w:val="Hyperlink"/>
          </w:rPr>
          <w:t>The flexible application of carrying capacity in ecology</w:t>
        </w:r>
      </w:hyperlink>
      <w:r>
        <w:t>. Global Ecology and Conservation 13:e00365.</w:t>
      </w:r>
    </w:p>
    <w:p w14:paraId="55F92A34" w14:textId="77777777" w:rsidR="006B7BAC" w:rsidRDefault="00424898">
      <w:pPr>
        <w:pStyle w:val="Bibliography"/>
      </w:pPr>
      <w:bookmarkStart w:id="21" w:name="ref-Wilson2024"/>
      <w:bookmarkEnd w:id="19"/>
      <w:r>
        <w:lastRenderedPageBreak/>
        <w:t xml:space="preserve">Wilson, J. T., and T. W. Buehrens. 2024. </w:t>
      </w:r>
      <w:hyperlink r:id="rId11">
        <w:r w:rsidR="006B7BAC">
          <w:rPr>
            <w:rStyle w:val="Hyperlink"/>
          </w:rPr>
          <w:t>Weirs: An effective tool to reduce hatchery–wild interactions on the spawning grounds?</w:t>
        </w:r>
      </w:hyperlink>
      <w:r>
        <w:t xml:space="preserve"> North American Journal of Fisheries Management 44(1):21–38.</w:t>
      </w:r>
      <w:bookmarkEnd w:id="18"/>
      <w:bookmarkEnd w:id="20"/>
      <w:bookmarkEnd w:id="21"/>
    </w:p>
    <w:sectPr w:rsidR="006B7BA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55672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78088A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44CE1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EF5413F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16cid:durableId="316230514">
    <w:abstractNumId w:val="0"/>
  </w:num>
  <w:num w:numId="2" w16cid:durableId="10685793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33018053">
    <w:abstractNumId w:val="1"/>
  </w:num>
  <w:num w:numId="4" w16cid:durableId="150261994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1930848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BAC"/>
    <w:rsid w:val="0028019A"/>
    <w:rsid w:val="00424898"/>
    <w:rsid w:val="004470E2"/>
    <w:rsid w:val="006B7BAC"/>
    <w:rsid w:val="00A64A59"/>
    <w:rsid w:val="00C41D18"/>
    <w:rsid w:val="00CF7050"/>
    <w:rsid w:val="00DA5FB1"/>
    <w:rsid w:val="00EB5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92925"/>
  <w15:docId w15:val="{D9EAE27C-BFF1-48BB-BC6E-4B07088E9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002/nafm.10961" TargetMode="External"/><Relationship Id="rId5" Type="http://schemas.openxmlformats.org/officeDocument/2006/relationships/image" Target="media/image1.png"/><Relationship Id="rId10" Type="http://schemas.openxmlformats.org/officeDocument/2006/relationships/hyperlink" Target="https://doi.org/10.1016/j.gecco.2017.e00365"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5011977-b912-4387-97a4-f4c94a801377}" enabled="1" method="Standard" siteId="{11d0e217-264e-400a-8ba0-57dcc127d72d}"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11</Pages>
  <Words>2087</Words>
  <Characters>11902</Characters>
  <Application>Microsoft Office Word</Application>
  <DocSecurity>0</DocSecurity>
  <Lines>99</Lines>
  <Paragraphs>27</Paragraphs>
  <ScaleCrop>false</ScaleCrop>
  <Company/>
  <LinksUpToDate>false</LinksUpToDate>
  <CharactersWithSpaces>13962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Examination of Selected Factors Affecting Survival and Productivity of Tucannon River Spring Chinook Salmon and Implications for the Future</dc:title>
  <dc:creator>Michael Gallinat;Kevin See</dc:creator>
  <cp:keywords/>
  <cp:lastModifiedBy>See, Kevin (DFW)</cp:lastModifiedBy>
  <cp:revision>4</cp:revision>
  <dcterms:created xsi:type="dcterms:W3CDTF">2026-07-02T22:52:00Z</dcterms:created>
  <dcterms:modified xsi:type="dcterms:W3CDTF">2026-07-06T16:18:00Z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ollapse">
    <vt:lpwstr>True</vt:lpwstr>
  </property>
  <property fmtid="{D5CDD505-2E9C-101B-9397-08002B2CF9AE}" pid="9" name="comment">
    <vt:lpwstr>#&gt;</vt:lpwstr>
  </property>
  <property fmtid="{D5CDD505-2E9C-101B-9397-08002B2CF9AE}" pid="10" name="csl">
    <vt:lpwstr>../templates/american-fisheries-society.csl</vt:lpwstr>
  </property>
  <property fmtid="{D5CDD505-2E9C-101B-9397-08002B2CF9AE}" pid="11" name="date">
    <vt:lpwstr>2026-07-02</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message">
    <vt:lpwstr>False</vt:lpwstr>
  </property>
  <property fmtid="{D5CDD505-2E9C-101B-9397-08002B2CF9AE}" pid="17" name="toc-title">
    <vt:lpwstr>Table of contents</vt:lpwstr>
  </property>
</Properties>
</file>