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прохождению внешнего курса №2</w:t>
      </w:r>
    </w:p>
    <w:p>
      <w:pPr>
        <w:pStyle w:val="Subtitle"/>
      </w:pPr>
      <w:r>
        <w:t xml:space="preserve">Основы Кибербезопасности</w:t>
      </w:r>
    </w:p>
    <w:p>
      <w:pPr>
        <w:pStyle w:val="Author"/>
      </w:pPr>
      <w:r>
        <w:t xml:space="preserve">Авилов Иван Олегович"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Содержание"</w:t>
          </w:r>
          <w:r>
            <w:t xml:space="preserve"> 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p>
      <w:pPr>
        <w:pStyle w:val="FirstParagraph"/>
      </w:pPr>
    </w:p>
    <w:bookmarkStart w:id="65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drawing>
          <wp:inline>
            <wp:extent cx="5334000" cy="2999158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6541162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Да, зашифровать загрузочный сектор возможно</w:t>
      </w:r>
    </w:p>
    <w:p>
      <w:pPr>
        <w:pStyle w:val="BodyText"/>
      </w:pPr>
      <w:r>
        <w:drawing>
          <wp:inline>
            <wp:extent cx="5334000" cy="3000722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6543296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Правильный ответ - симметричное шифрование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65456005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Wireshark - программа для перехвата пакетов, Disk Utility - утилита для просмотра информации про диск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65600319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Стойкий пароль должен содержать буквы верхнего и нижнего регистра, цифры и спец символы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65706839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остальных вариантах пароль легко может быть украден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6572746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Капча помогает отличить человека от бота</w:t>
      </w:r>
    </w:p>
    <w:p>
      <w:pPr>
        <w:pStyle w:val="BodyText"/>
      </w:pPr>
      <w:r>
        <w:drawing>
          <wp:inline>
            <wp:extent cx="5334000" cy="3003854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6574617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 сервере хранятся хэши паролей</w:t>
      </w:r>
    </w:p>
    <w:p>
      <w:pPr>
        <w:pStyle w:val="BodyText"/>
      </w:pPr>
      <w:r>
        <w:drawing>
          <wp:inline>
            <wp:extent cx="5334000" cy="3002287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6580566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Соль не поможет, если получен доступ к самому серверу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45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6583818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Все эти меры по разному помогают защититься от утечки атакой перебором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6592299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Выбранные ссылки являются фишинговыми, то есть мимикрирующими под легитимные</w:t>
      </w:r>
    </w:p>
    <w:p>
      <w:pPr>
        <w:pStyle w:val="BodyText"/>
      </w:pPr>
      <w:r>
        <w:drawing>
          <wp:inline>
            <wp:extent cx="5334000" cy="3002287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6595972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Может, если почта была взломана или адрес подменён</w:t>
      </w:r>
    </w:p>
    <w:p>
      <w:pPr>
        <w:pStyle w:val="BodyText"/>
      </w:pPr>
      <w:r>
        <w:drawing>
          <wp:inline>
            <wp:extent cx="5334000" cy="3002287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7002245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Спуфинг - подмена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57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70038156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Троян несёт своё название от троянского коня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60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7010282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Ключ формируется для одной беседы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2\images\image-2025051717011954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Название идёт от того, что сообщения передаются в зашифрованном виде "насквозь"</w:t>
      </w:r>
    </w:p>
    <w:bookmarkEnd w:id="6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внешнего курса №2</dc:title>
  <dc:creator>Авилов Иван Олегович" </dc:creator>
  <dc:language>ru-RU</dc:language>
  <cp:keywords/>
  <dcterms:created xsi:type="dcterms:W3CDTF">2025-05-17T15:10:18Z</dcterms:created>
  <dcterms:modified xsi:type="dcterms:W3CDTF">2025-05-17T15:10:18Z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 # List of figures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 # List of tables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Основы Кибербезопасности</vt:lpwstr>
  </property>
  <property fmtid="{D5CDD505-2E9C-101B-9397-08002B2CF9AE}" pid="35" name="tableTitle">
    <vt:lpwstr>Таблица</vt:lpwstr>
  </property>
  <property fmtid="{D5CDD505-2E9C-101B-9397-08002B2CF9AE}" pid="36" name="toc">
    <vt:lpwstr>true # Table of contents</vt:lpwstr>
  </property>
  <property fmtid="{D5CDD505-2E9C-101B-9397-08002B2CF9AE}" pid="37" name="toc-depth">
    <vt:lpwstr>2</vt:lpwstr>
  </property>
  <property fmtid="{D5CDD505-2E9C-101B-9397-08002B2CF9AE}" pid="38" name="toc-title">
    <vt:lpwstr>Содержание" </vt:lpwstr>
  </property>
  <property fmtid="{D5CDD505-2E9C-101B-9397-08002B2CF9AE}" pid="39" name="typora-copy-images-to">
    <vt:lpwstr>./images</vt:lpwstr>
  </property>
</Properties>
</file>