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7A395A"/>
        </w:rPr>
        <w:t>架空の業務資料：保険金請求の確認</w:t>
      </w:r>
    </w:p>
    <w:p>
      <w:r>
        <w:t>事故受付：建物の水漏れの申告を受け付け、被害状況を記録する。受付は支払決定を意味しない。</w:t>
      </w:r>
    </w:p>
    <w:p>
      <w:r>
        <w:t>証憑照合：提出された領収書と請求明細を照合し、食い違いを担当者が確認する。</w:t>
      </w:r>
    </w:p>
    <w:p>
      <w:r>
        <w:t>追加確認：証拠が不足した請求は追加資料を依頼し、確認が終わるまで保留する。</w:t>
      </w:r>
    </w:p>
    <w:p>
      <w:r>
        <w:t>支払承認：担当者の確認後、別の承認者が支払を承認する。自動入金は描かない。</w:t>
      </w:r>
    </w:p>
    <w:p>
      <w:r>
        <w:t>文書指定色：主色 #7A395A、補助色 #EBDDE5、輪郭 #302537。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