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One Window In, One Window Out — on Ground That Won't Hold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3E4E59"/>
          <w:sz w:val="25"/>
          <w:szCs w:val="25"/>
        </w:rPr>
        <w:t xml:space="preserve">One ~100-day window carries the whole year's fuel in and the whole year's revenue out — and the Arctic is closing it.</w:t>
      </w:r>
    </w:p>
    <w:p>
      <w:pPr>
        <w:spacing w:after="200"/>
      </w:pPr>
      <w:r>
        <w:rPr>
          <w:rFonts w:ascii="JetBrains Mono" w:cs="JetBrains Mono" w:eastAsia="JetBrains Mono" w:hAnsi="JetBrains Mono"/>
          <w:color w:val="737373"/>
          <w:sz w:val="18"/>
          <w:szCs w:val="18"/>
        </w:rPr>
        <w:t xml:space="preserve">Red Dog Mine · Teck operates, NANA Regional Corp. owns the land · NW Arctic Alaska · Research-grounded (public sources + our methodology; not InfraSure MCP / model-gpr) · As of 2026-06-14, re-grounded 2026-06-15 · Internal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43600" cy="3133725"/>
                  <wp:effectExtent t="0" r="0" b="0" l="0"/>
                  <wp:docPr id="1" name="heropng" descr="**The coupled chokepoint** — one ice-free window gates diesel-in and concentrate-out, and it has already moved the P&amp;L (schematic). Sources: AIDEA; Teck FY2025 production + Q4-2025 results. As of 2026-06-15." title="he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The coupled chokepoint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 — one ice-free window gates diesel-in and concentrate-out, and it has already moved the P&amp;L (schematic). Sources: AIDEA; Teck FY2025 production + Q4-2025 results. As of 2026-06-15.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176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0A0A"/>
                <w:sz w:val="28"/>
                <w:szCs w:val="28"/>
              </w:rPr>
              <w:t xml:space="preserve">The claim</w:t>
            </w:r>
          </w:p>
          <w:p>
            <w:pPr>
              <w:spacing w:after="120" w:before="0" w:line="33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Red Dog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single-point-of-failure energy-and-logistics asset in the fastest-warming region on Earth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: one ~100-day ice-free window (≈ Jul–Oct) carries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both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the year's diesel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in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(~15.5M gal) and the entire concentrate export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out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, so a short, late, or stormy season threatens fuel security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and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revenue timing at once — already proven (Q4-2025 Red Dog gross profit ~$200M vs ~$303M a year earlier, on shipping delays). Layered on it: a permafrost water-balance crisis a US regulator has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formally conceded is unfixable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(ADEC's 10-year schedule to ~2036;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"no reasonably available remedy to the thawing of permafrost"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), pushing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~$279M adaptation capex onto a mine with ~6 years of ore left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, an escalating royalty, and an owner mid-merger into a copper major. The tail risk — a diesel-tank or tailings-dam failure on thawing ground —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realized Norilsk-2020 geometry (~$2B)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.</w:t>
            </w:r>
          </w:p>
          <w:p>
            <w:pPr>
              <w:pBdr>
                <w:top w:val="single" w:color="E5E5E5" w:sz="4" w:space="6"/>
              </w:pBd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37373"/>
                <w:sz w:val="18"/>
                <w:szCs w:val="18"/>
              </w:rPr>
              <w:t xml:space="preserve">Posture:</w:t>
            </w:r>
            <w:r>
              <w:rPr>
                <w:rFonts w:ascii="Arial" w:cs="Arial" w:eastAsia="Arial" w:hAnsi="Arial"/>
                <w:i w:val="false"/>
                <w:iCs w:val="false"/>
                <w:color w:val="737373"/>
                <w:sz w:val="18"/>
                <w:szCs w:val="18"/>
              </w:rPr>
              <w:t xml:space="preserve"> a research-grounded, directional read — the decision-relevant numbers are undisclosed, and that is itself the finding.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37373"/>
                <w:sz w:val="18"/>
                <w:szCs w:val="18"/>
              </w:rPr>
              <w:t xml:space="preserve">Driver:</w:t>
            </w:r>
            <w:r>
              <w:rPr>
                <w:rFonts w:ascii="Arial" w:cs="Arial" w:eastAsia="Arial" w:hAnsi="Arial"/>
                <w:i w:val="false"/>
                <w:iCs w:val="false"/>
                <w:color w:val="737373"/>
                <w:sz w:val="18"/>
                <w:szCs w:val="18"/>
              </w:rPr>
              <w:t xml:space="preserve"> the Arctic warms ~4× the global average and models under-state it (Rantanen 2022).</w:t>
            </w:r>
          </w:p>
        </w:tc>
      </w:tr>
    </w:tbl>
    <w:p>
      <w:pPr>
        <w:pBdr>
          <w:bottom w:val="single" w:color="E5E5E5" w:sz="4" w:space="6"/>
        </w:pBdr>
        <w:spacing w:after="150" w:before="34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 · The coupled chokepoint — the framing the risk deck missed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most decision-relevant climate linkage at Red Dog is not a single hazard, it is a coupling. One short open-water season carries the whole year in both directions, and the same Arctic trend is squeezing it from both ends: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176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6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ONE ~100-day ice-free window (≈ July–October) carries BOTH:</w:t>
            </w:r>
          </w:p>
          <w:p>
            <w:pPr>
              <w:spacing w:after="6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Energy-in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the year's diesel: ~15.5M gal/yr (mine) + ~1.4M (transport); ~40,000 gal/day; barged into 6 port tanks.</w:t>
            </w:r>
          </w:p>
          <w:p>
            <w:pPr>
              <w:spacing w:after="6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Revenue-out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the entire annual concentrate export; the mine produces year-round, stockpiles, and ships only in the window.</w:t>
            </w:r>
          </w:p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→ a short, late, or stormy open-water season threatens fuel security AND revenue timing simultaneously.</w:t>
            </w:r>
          </w:p>
        </w:tc>
      </w:tr>
    </w:tbl>
    <w:p>
      <w:pPr>
        <w:spacing w:after="150"/>
      </w:pPr>
    </w:p>
    <w:p>
      <w:pPr>
        <w:spacing w:after="160" w:before="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This is not hypothetical.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In late 2025,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"weather and sea conditions"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delayed shipments into early 2026, and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Q4-2025 Red Dog gross profit fell to ~$200M (from ~$303M a year earlier)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on the timing — climate variability already moving the P&amp;L through the logistics window.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(Teck Q4-2025 results, Feb 2026 — fact/high.)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10050" cy="3038475"/>
                  <wp:effectExtent t="0" r="0" b="0" l="0"/>
                  <wp:docPr id="1" name="c2_profitpng" descr="**Q4 Red Dog gross profit, 2024 vs 2025.** Source: Teck Q4-2025 results (Feb 2026). As of 2026-06-15. fact/high." title="c2_prof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Q4 Red Dog gross profit, 2024 vs 2025.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 Source: Teck Q4-2025 results (Feb 2026). As of 2026-06-15. fact/high.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Sea-ice retreat cuts both ways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it can lengthen the shipping window (operational upside)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but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removes the landfast-ice buffer that protected the coast — the same coastal cell is eroding fast at nearby Kivalina. The port relies on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offshore lightering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so it is exposed to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sea state and storms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not just ice.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(AIDEA; Ground Truth Alaska — fact/medium.)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The single-window dependency is undisclosed at the point that matters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: how many days of fuel the site can run if a resupply season is missed or cut short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not public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(see §5). An 8.8 MW solar array (Tugliq, ~2 MW summer-effective, tax-credit-timed to start mid-2026) dents diesel but does not change the resupply dependency.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(Alaska Beacon, Mar 2026 — fact/high; the "dents not displaces" read is ours.)</w:t>
      </w:r>
    </w:p>
    <w:p>
      <w:pPr>
        <w:pBdr>
          <w:bottom w:val="single" w:color="E5E5E5" w:sz="4" w:space="6"/>
        </w:pBdr>
        <w:spacing w:after="150" w:before="34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 · The ground won't hold — a water-balance crisis the regulator calls unfixable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second pillar is documented in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primary regulatory text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not press. A wetter Arctic on thawing permafrost has pushed the mine's water balance past what its infrastructure was built for, and the regulator has said so on the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43600" cy="2314575"/>
                  <wp:effectExtent t="0" r="0" b="0" l="0"/>
                  <wp:docPr id="1" name="hero2png" descr="**The ground won't hold** — rising contact water against the dam-freeboard margin, a storm past the design flood, and the regulator's concession (schematic). Source: Alaska DEC APDES AK0038652 Statement of Basis (2026-04-09). As of 2026-06-15. fact/high." title="hero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The ground won't hold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 — rising contact water against the dam-freeboard margin, a storm past the design flood, and the regulator's concession (schematic). Source: Alaska DEC APDES AK0038652 Statement of Basis (2026-04-09). As of 2026-06-15. fact/high.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Alaska DEC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reissuing the discharge permit (APDES AK0038652) with a 10-year compliance-schedule extension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(public-noticed; effective after May 19, 2026, to ~2036), stating in its own Statement of Basis (2026-04-09) that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"there is no reasonably available remedy to the thawing of permafrost and its impact on the receiving waters."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A US regulator formally conceding a Clean-Water-Act limit can't be met because of permafrost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decision-relevant and unusual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The runway now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outlives the ~2032 ore life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, shifting the binding constraint toward closure-phase water treatment.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(ADEC SOB — fact/high.)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ADEC states stored water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"threatens the safety of the tailings impoundment dams,"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with a tail risk of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"dam failure"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/ untreated-drainage release.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Aug-2012 storm (15.2 in rain) exceeded the tailings dam's design flood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the infrastructure has already operated outside its design envelope.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(ADEC SOB — fact/high; the single strongest data point that the asset is past-envelope.)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mitigation under evaluation is a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~$279M, ~50-mile pipeline to the Chukchi Sea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"more than half of Red Dog's annual gross profit"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one of four options,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not committed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~$19M was already spent on thaw-driven wastewater in 2020 alone.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(Northern Journal Dec 2025; Alaska Public Media 2020; ADEC SOB — fact/high; the pipeline is an estimate under evaluation — projection.)</w:t>
      </w:r>
    </w:p>
    <w:p>
      <w:pPr>
        <w:pStyle w:val="ListParagraph"/>
        <w:numPr>
          <w:ilvl w:val="0"/>
          <w:numId w:val="2"/>
        </w:numPr>
        <w:spacing w:after="12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regional driver is real and independent of the mine: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"river rusting"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thaw-exposed sulfide weathering turning 75+ (200+) Brooks Range streams orange — with on-site seeps measured at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pH 3.2 and TDS to 11,300 mg/L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(O'Donnell 2024 / NOAA Arctic Report Card 2025; ADEC SOB — fact/high.)</w:t>
      </w:r>
    </w:p>
    <w:p>
      <w:pPr>
        <w:pBdr>
          <w:bottom w:val="single" w:color="E5E5E5" w:sz="4" w:space="6"/>
        </w:pBdr>
        <w:spacing w:after="150" w:before="34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 · The decision frame — a fading asset asked to fund a costly adaptation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What makes this a genuine decision, not a hazard list, is the collision of climate capex with late-life economics: output is falling, the cost base is rising, ownership is changing hands, and the liability outlives the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6680"/>
      </w:tblGrid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A fading asset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FY2025 462,700 t contained zinc (↓~17% from 555,600 t in 2024, on falling grades); ore ~2032; guided DOWN 2026 375–415 kt → 2027 330–370 → 2028 230–270 kt; extension (Aktigiruq/Anarraaq) only pre-feasibility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A rising cost base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NANA royalty ratchets 40% (2022) → 45% (Oct 2027) → 50% max, as grades/tonnage fall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Ownership in flux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Anglo–Teck merger announced Sept 2025, shareholder-approved Dec 2025; Canada + S. Korea cleared, ONLY CHINA remains (as of Jun 2026), close ~Q3-2026–Q1-2027 → Red Dog a non-core zinc slice of a &gt;70%-COPPER major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A long-tail liability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state closure assurance ~$558M + PERPETUAL post-closure water treatment (outlives the revenue)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62625" cy="2533650"/>
                  <wp:effectExtent t="0" r="0" b="0" l="0"/>
                  <wp:docPr id="1" name="c1_zincpng" descr="**Contained-zinc output: actual (2024–25) then company guidance (2026–28).** Sources: Teck FY2025 production (Feb 2026); production guidance + MD&amp;A. As of 2026-06-15. Guidance is a disclosed range (projection)." title="c1_zi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Contained-zinc output: actual (2024–25) then company guidance (2026–28).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 Sources: Teck FY2025 production (Feb 2026); production guidance + MD&amp;A. As of 2026-06-15. Guidance is a disclosed range (projection).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19550" cy="3286125"/>
                  <wp:effectExtent t="0" r="0" b="0" l="0"/>
                  <wp:docPr id="1" name="c4_royaltypng" descr="**NANA net-proceeds royalty schedule.** Sources: Alaska DNR; North of 60 Mining News. As of 2026-06-15. fact/high (2031 step = 50% cap)." title="c4_royalt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NANA net-proceeds royalty schedule.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 Sources: Alaska DNR; North of 60 Mining News. As of 2026-06-15. fact/high (2031 step = 50% cap).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sharp frame, from the Arctic-infrastructure literature: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near-term permafrost risk is largely mitigation-insensitive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for an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existing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asset,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adaptation, not decarbonization, is the only lever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(Hjort et al. 2018, Nature Comms)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So the question Red Dog's owner actually faces is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how much adaptation capex to sink into a depleting, soon-to-change-hands asset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a ~$279M pipeline (and "hundreds of millions over a decade" for a permanent fix) against ~6 years of declining ore. That tension — not a generic risk rating — is the read a decision-maker needs.</w:t>
      </w:r>
    </w:p>
    <w:p>
      <w:pPr>
        <w:pBdr>
          <w:bottom w:val="single" w:color="E5E5E5" w:sz="4" w:space="6"/>
        </w:pBdr>
        <w:spacing w:after="150" w:before="34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 · The realized precedent — and the outlier class it opens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The hook is not a peer ranking (Red Dog is off-substrate, there is no fleet to rank); it is a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realized precedent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The exact failure geometry has already happened, and it priced out at billions: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A831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Norilsk, 2020.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A diesel storage tank on thaw-weakened permafrost piles collapsed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~21,000 t spill, ~$2B in damages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the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exact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Red Dog risk geometry, already realized. Norilsk already showed the bill. The one number that prices Red Dog's version —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fuel-farm foundation engineering</w:t>
            </w: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 — is the number that isn't public. </w:t>
            </w:r>
            <w:r>
              <w:rPr>
                <w:rFonts w:ascii="Arial" w:cs="Arial" w:eastAsia="Arial" w:hAnsi="Arial"/>
                <w:i/>
                <w:iCs/>
                <w:color w:val="0A0A0A"/>
                <w:sz w:val="22"/>
                <w:szCs w:val="22"/>
              </w:rPr>
              <w:t xml:space="preserve">(ERM / press — fact/high.)</w:t>
            </w:r>
          </w:p>
        </w:tc>
      </w:tr>
    </w:tbl>
    <w:p>
      <w:pPr>
        <w:spacing w:after="150"/>
      </w:pP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Red Dog instantiates a class InfraSure will meet again: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remote, off-grid, cold-region industrial asset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islanded on a diesel microgrid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+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dependent on a single climate-sensitive logistics window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+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built on degrading permafrost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The method transfers to the next one (another mine, a port, a remote data center).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mirror precedent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is the winter ice road (Tibbitt–Contwoyto, serving NWT diamond mines): the same narrowing-seasonal-window risk,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opposite sign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they need ice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present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; Red Dog needs it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absent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 That symmetry is what makes "the single climate-sensitive window" a portable concept. </w:t>
      </w:r>
      <w:r>
        <w:rPr>
          <w:rFonts w:ascii="Arial" w:cs="Arial" w:eastAsia="Arial" w:hAnsi="Arial"/>
          <w:i/>
          <w:iCs/>
          <w:color w:val="0A0A0A"/>
          <w:sz w:val="22"/>
          <w:szCs w:val="22"/>
        </w:rPr>
        <w:t xml:space="preserve">(Reuters — fact/high.)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Frameworks that anchor the class: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IPCC AR6 WG2 CCP6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("warming and wetting"; most Arctic infrastructure impacted by mid-century, high confidence);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Hjort 2018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(33–69% of pan-Arctic infrastructure on thawing permafrost by 2050);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AMAP/SWIPA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.</w:t>
      </w:r>
    </w:p>
    <w:p>
      <w:pPr>
        <w:pBdr>
          <w:bottom w:val="single" w:color="E5E5E5" w:sz="4" w:space="6"/>
        </w:pBdr>
        <w:spacing w:after="150" w:before="34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 · What we can't know — and why that's the finding</w:t>
      </w:r>
    </w:p>
    <w:p>
      <w:pPr>
        <w:spacing w:after="160" w:before="0" w:line="330" w:lineRule="auto"/>
      </w:pP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A disciplined read names its blind spots rather than guessing. For Red Dog, the </w:t>
      </w:r>
      <w:r>
        <w:rPr>
          <w:rFonts w:ascii="Arial" w:cs="Arial" w:eastAsia="Arial" w:hAnsi="Arial"/>
          <w:b/>
          <w:bCs/>
          <w:i w:val="false"/>
          <w:iCs w:val="false"/>
          <w:color w:val="0A0A0A"/>
          <w:sz w:val="22"/>
          <w:szCs w:val="22"/>
        </w:rPr>
        <w:t xml:space="preserve">most decision-relevant numbers are not public</w:t>
      </w:r>
      <w:r>
        <w:rPr>
          <w:rFonts w:ascii="Arial" w:cs="Arial" w:eastAsia="Arial" w:hAnsi="Arial"/>
          <w:i w:val="false"/>
          <w:iCs w:val="false"/>
          <w:color w:val="0A0A0A"/>
          <w:sz w:val="22"/>
          <w:szCs w:val="22"/>
        </w:rPr>
        <w:t xml:space="preserve"> — and naming them precisely is exactly what a pilot or data-exchange would resolve: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6680"/>
      </w:tblGrid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Days of fuel autonomy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if an open-water window is missed/short — undisclosed (the latent single-point-of-failure)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Tailings-dam factor-of-safety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current freeboard margin — undisclosed (ADEC says it's threatened; the margin isn't public)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Fuel-farm foundation engineering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piles to bedrock? thermosyphons? — undisclosed (this is exactly the Norilsk failure mode)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EFA831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Asset-level financials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Red Dog has no standalone public P&amp;L (reported inside Teck's zinc segment; ~CAD $846M of the segment's $1,143M FY2025 gross-profit-before-D&amp;A is the closest anchor) — so margin-at-risk can't be priced precisely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A831" w:sz="24" w:space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0A0A0A"/>
                <w:sz w:val="24"/>
                <w:szCs w:val="24"/>
              </w:rPr>
              <w:t xml:space="preserve">What's still resolving — and the forward door</w:t>
            </w:r>
          </w:p>
          <w:p>
            <w:pPr>
              <w:spacing w:after="120" w:before="0" w:line="33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The Arctic is warming ~4× the global average and faster than models assume, so the open-water window and the permafrost water balance keep moving; this is a directional read that firms as the Anglo–Teck merger, the production guidance, and the ADEC permit resolve. That uncertainty is the world's, not a gap in the work.</w:t>
            </w:r>
          </w:p>
          <w:p>
            <w:pPr>
              <w:spacing w:after="0" w:before="0" w:line="33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This is the rigor on public data. The per-asset quantified layer — fuel-autonomy modeling, tailings-dam factor-of-safety, the priced tail risk — is where InfraSure goes deeper; §5 names exactly the undisclosed numbers a pilot or data-exchange would close. Talk to the team to take it there.</w:t>
            </w:r>
          </w:p>
        </w:tc>
      </w:tr>
    </w:tbl>
    <w:p>
      <w:pPr>
        <w:pBdr>
          <w:bottom w:val="single" w:color="E5E5E5" w:sz="4" w:space="6"/>
        </w:pBdr>
        <w:spacing w:after="150" w:before="34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Sources &amp; provenance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6680"/>
      </w:tblGrid>
      <w:tr>
        <w:tc>
          <w:tcPr>
            <w:tcW w:type="dxa" w:w="2680"/>
            <w:tcBorders>
              <w:top w:val="single" w:color="E5E5E5" w:sz="4"/>
              <w:left w:val="single" w:color="3E4E59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Primary / regulatory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Alaska DEC APDES AK0038652 Statement of Basis (2026-04-09) · Alaska DNR Large Mines (Red Dog) · AIDEA (DMTS)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3E4E59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Company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Teck Q4/FY2025 results (Feb 2026) · Teck production guidance + MD&amp;A · Teck–Anglo merger releases (Sept/Dec 2025)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3E4E59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Peer-reviewed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Rantanen 2022 (Arctic ~4× warming) · Hjort 2018 (pan-Arctic infra exposure) · O'Donnell 2024 (river rusting) · IPCC AR6 WG2 CCP6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3E4E59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Reporting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Northern Journal / Alaska Beacon / Anchorage Daily News (permafrost, solar, fuel) · Fastmarkets · North of 60 Mining News · Ground Truth Alaska (critical-stakeholder)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3E4E59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Precedent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Norilsk 2020 diesel-tank collapse (ERM / press) · Tibbitt–Contwoyto winter ice road (Reuters)</w:t>
            </w:r>
          </w:p>
        </w:tc>
      </w:tr>
      <w:tr>
        <w:tc>
          <w:tcPr>
            <w:tcW w:type="dxa" w:w="2680"/>
            <w:tcBorders>
              <w:top w:val="single" w:color="E5E5E5" w:sz="4"/>
              <w:left w:val="single" w:color="3E4E59" w:sz="18"/>
              <w:bottom w:val="single" w:color="E5E5E5" w:sz="4"/>
              <w:right w:val="single" w:color="E5E5E5" w:sz="4"/>
            </w:tcBorders>
            <w:shd w:fill="F5F5F5" w:color="auto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b/>
                <w:bCs/>
                <w:color w:val="3E4E59"/>
                <w:sz w:val="22"/>
                <w:szCs w:val="22"/>
              </w:rPr>
              <w:t xml:space="preserve">Re-ground 2026-06-15</w:t>
            </w:r>
          </w:p>
        </w:tc>
        <w:tc>
          <w:tcPr>
            <w:tcW w:type="dxa" w:w="668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line="300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0A0A0A"/>
                <w:sz w:val="22"/>
                <w:szCs w:val="22"/>
              </w:rPr>
              <w:t xml:space="preserve">Teck 2025 Production &amp; Sales Update (teck.com, 2026-02) · merger: Canada + S. Korea cleared, China pending (MLex; mining.com, 2026) · ADEC AK0038652 reissuance public notice + SOB (2026-04-09)</w:t>
            </w:r>
          </w:p>
        </w:tc>
      </w:tr>
    </w:tbl>
    <w:p>
      <w:pPr>
        <w:spacing w:after="80"/>
      </w:pPr>
    </w:p>
    <w:p>
      <w:pPr>
        <w:spacing w:after="220" w:before="60"/>
      </w:pP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*This report renders the gated studio brief `studio/red_dog_mine/arctic_climate_risk.md`; full per-claim provenance is in the research record behind `docs/discussion/2026-06-14_outlier_method_red_dog.md`. </w:t>
      </w:r>
      <w:r>
        <w:rPr>
          <w:rFonts w:ascii="Arial" w:cs="Arial" w:eastAsia="Arial" w:hAnsi="Arial"/>
          <w:b/>
          <w:bCs/>
          <w:i w:val="false"/>
          <w:iCs w:val="false"/>
          <w:color w:val="737373"/>
          <w:sz w:val="18"/>
          <w:szCs w:val="18"/>
        </w:rPr>
        <w:t xml:space="preserve">Research-grounded; not InfraSure MCP / model-gpr data.</w:t>
      </w:r>
      <w:r>
        <w:rPr>
          <w:rFonts w:ascii="Arial" w:cs="Arial" w:eastAsia="Arial" w:hAnsi="Arial"/>
          <w:i w:val="false"/>
          <w:iCs w:val="false"/>
          <w:color w:val="737373"/>
          <w:sz w:val="18"/>
          <w:szCs w:val="18"/>
        </w:rPr>
        <w:t xml:space="preserve">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 w:space="6"/>
      </w:pBdr>
      <w:tabs>
        <w:tab w:val="right" w:pos="9360"/>
      </w:tabs>
      <w:spacing w:before="60"/>
    </w:pPr>
    <w:r>
      <w:rPr>
        <w:rFonts w:ascii="Arial" w:cs="Arial" w:eastAsia="Arial" w:hAnsi="Arial"/>
        <w:color w:val="737373"/>
        <w:sz w:val="18"/>
        <w:szCs w:val="18"/>
      </w:rPr>
      <w:t xml:space="preserve">InfraSure Insights · infrasure.ai</w:t>
    </w:r>
    <w:r>
      <w:rPr>
        <w:rFonts w:ascii="Arial" w:cs="Arial" w:eastAsia="Arial" w:hAnsi="Arial"/>
        <w:color w:val="737373"/>
        <w:sz w:val="18"/>
        <w:szCs w:val="18"/>
      </w:rPr>
      <w:t xml:space="preserve">	</w:t>
    </w:r>
    <w:r>
      <w:rPr>
        <w:rFonts w:ascii="Arial" w:cs="Arial" w:eastAsia="Arial" w:hAnsi="Arial"/>
        <w:color w:val="737373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4" w:space="6"/>
      </w:pBdr>
      <w:tabs>
        <w:tab w:val="right" w:pos="9360"/>
      </w:tabs>
      <w:spacing w:after="80"/>
    </w:pPr>
    <w:r>
      <w:drawing>
        <wp:inline distT="0" distB="0" distL="0" distR="0">
          <wp:extent cx="1257300" cy="314325"/>
          <wp:effectExtent t="0" r="0" b="0" l="0"/>
          <wp:docPr id="1" name="InfraSure" descr="InfraSure Insights" title="InfraS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0B176"/>
        <w:spacing w:val="14"/>
        <w:sz w:val="17"/>
        <w:szCs w:val="17"/>
      </w:rPr>
      <w:t xml:space="preserve">	ARCTIC CLIMATE RISK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0B17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8914f99a2758ffe994f9002ed844343d74bdae.png"/><Relationship Id="rId10" Type="http://schemas.openxmlformats.org/officeDocument/2006/relationships/image" Target="media/45f771d2d804cda391fac46d254d4e470e36271d.png"/><Relationship Id="rId11" Type="http://schemas.openxmlformats.org/officeDocument/2006/relationships/image" Target="media/9a4046f4af9384c3743a93309d93c9b9a7fef488.png"/><Relationship Id="rId12" Type="http://schemas.openxmlformats.org/officeDocument/2006/relationships/image" Target="media/c0f5b3cb58fd70b3182494f1bd7e368f299e6d84.png"/><Relationship Id="rId13" Type="http://schemas.openxmlformats.org/officeDocument/2006/relationships/image" Target="media/8069136fd844df48957b840aafb1fdcfaa6c62b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97cb03b453201203a212918e3ef21bea5a5235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2026-06-16T03:05:38.508Z</dcterms:created>
  <dcterms:modified xsi:type="dcterms:W3CDTF">2026-06-16T03:05:38.509Z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