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A0A0A"/>
          <w:sz w:val="46"/>
          <w:szCs w:val="46"/>
        </w:rPr>
        <w:t xml:space="preserve">Red Dog Mine — Bottom-Up Climate-Risk Read</w:t>
      </w:r>
    </w:p>
    <w:p>
      <w:pPr>
        <w:spacing w:after="90"/>
      </w:pPr>
      <w:r>
        <w:rPr>
          <w:rFonts w:ascii="Arial" w:cs="Arial" w:eastAsia="Arial" w:hAnsi="Arial"/>
          <w:i/>
          <w:iCs/>
          <w:color w:val="3E4E59"/>
          <w:sz w:val="25"/>
          <w:szCs w:val="25"/>
        </w:rPr>
        <w:t xml:space="preserve">One ~100-day window carries the whole year's fuel in and the whole year's revenue out — and the Arctic is closing it.</w:t>
      </w:r>
    </w:p>
    <w:p>
      <w:pPr>
        <w:spacing w:after="200"/>
      </w:pPr>
      <w:r>
        <w:rPr>
          <w:rFonts w:ascii="JetBrains Mono" w:cs="JetBrains Mono" w:eastAsia="JetBrains Mono" w:hAnsi="JetBrains Mono"/>
          <w:color w:val="737373"/>
          <w:sz w:val="18"/>
          <w:szCs w:val="18"/>
        </w:rPr>
        <w:t xml:space="preserve">For: InfraSure team (internal)   ·   As of 2026-06-14   ·   Re-grounded 2026-06-15   ·   Draft v1 (for review before any external use)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5E5" w:sz="6"/>
              <w:left w:val="single" w:color="E5E5E5" w:sz="6"/>
              <w:bottom w:val="single" w:color="E5E5E5" w:sz="6"/>
              <w:right w:val="single" w:color="E5E5E5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943600" cy="3133725"/>
                  <wp:effectExtent t="0" r="0" b="0" l="0"/>
                  <wp:docPr id="1" name="heropng" descr="**The coupled energy-and-logistics chokepoint** — the central thesis in one screen (schematic). Sources: AIDEA; Teck FY2025 production; Alaska DNR. As of 2026-06-15." title="her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133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</w:pPr>
      <w:r>
        <w:rPr>
          <w:rFonts w:ascii="Arial" w:cs="Arial" w:eastAsia="Arial" w:hAnsi="Arial"/>
          <w:b/>
          <w:bCs/>
          <w:i w:val="false"/>
          <w:iCs w:val="false"/>
          <w:color w:val="737373"/>
          <w:sz w:val="18"/>
          <w:szCs w:val="18"/>
        </w:rPr>
        <w:t xml:space="preserve">The coupled energy-and-logistics chokepoint</w:t>
      </w:r>
      <w:r>
        <w:rPr>
          <w:rFonts w:ascii="Arial" w:cs="Arial" w:eastAsia="Arial" w:hAnsi="Arial"/>
          <w:i w:val="false"/>
          <w:iCs w:val="false"/>
          <w:color w:val="737373"/>
          <w:sz w:val="18"/>
          <w:szCs w:val="18"/>
        </w:rPr>
        <w:t xml:space="preserve"> — the central thesis in one screen (schematic). Sources: AIDEA; Teck FY2025 production; Alaska DNR. As of 2026-06-15.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B176" w:sz="24" w:space="0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A0A0A"/>
                <w:sz w:val="28"/>
                <w:szCs w:val="28"/>
              </w:rPr>
              <w:t xml:space="preserve">TL;DR</w:t>
            </w:r>
          </w:p>
          <w:p>
            <w:pPr>
              <w:spacing w:after="120" w:before="0" w:line="33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Red Dog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single-point-of-failure energy-and-logistics asset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in the fastest-warming region on Earth. Everything the mine needs (a year of diesel) and everything it sells (its entire zinc/lead concentrate) moves through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one gravel road to one shallow Chukchi-Sea port that is ice-free only ~100 days a year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— so the same shrinking-and-stormier open-water window gates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both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energy-in and revenue-out. That coupling is the climate exposure the existing risk deck never framed, and it is squarely InfraSure's lane. Layered on top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permafrost-driven water-balance crisis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that a US regulator has formally conceded </w:t>
            </w:r>
            <w:r>
              <w:rPr>
                <w:rFonts w:ascii="Arial" w:cs="Arial" w:eastAsia="Arial" w:hAnsi="Arial"/>
                <w:i/>
                <w:iCs/>
                <w:color w:val="0A0A0A"/>
                <w:sz w:val="22"/>
                <w:szCs w:val="22"/>
              </w:rPr>
              <w:t xml:space="preserve">cannot be fixed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(a 10-year compliance runway to ~2036), pushing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~$279M adaptation capex onto a mine with only ~6 years of ore left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, an escalating royalty, and an owner mid-merger into a copper-focused major. The decision-relevant tail risk — a diesel-tank or tailings-dam failure on thawing ground — is exactly the geometry that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destroyed Norilsk in 2020 (~$2B)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, and the asset-level numbers that would price it (fuel autonomy, dam factor-of-safety, foundation engineering) are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not disclosed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— a finding in itself.</w:t>
            </w:r>
          </w:p>
          <w:p>
            <w:pPr>
              <w:pBdr>
                <w:top w:val="single" w:color="E5E5E5" w:sz="4" w:space="6"/>
              </w:pBdr>
              <w:spacing w:after="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37373"/>
                <w:sz w:val="18"/>
                <w:szCs w:val="18"/>
              </w:rPr>
              <w:t xml:space="preserve">Posture:</w:t>
            </w:r>
            <w:r>
              <w:rPr>
                <w:rFonts w:ascii="Arial" w:cs="Arial" w:eastAsia="Arial" w:hAnsi="Arial"/>
                <w:i w:val="false"/>
                <w:iCs w:val="false"/>
                <w:color w:val="737373"/>
                <w:sz w:val="18"/>
                <w:szCs w:val="18"/>
              </w:rPr>
              <w:t xml:space="preserve"> a research-grounded, directional read — the decision-relevant numbers are undisclosed, and that is itself the finding.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37373"/>
                <w:sz w:val="18"/>
                <w:szCs w:val="18"/>
              </w:rPr>
              <w:t xml:space="preserve">Driver:</w:t>
            </w:r>
            <w:r>
              <w:rPr>
                <w:rFonts w:ascii="Arial" w:cs="Arial" w:eastAsia="Arial" w:hAnsi="Arial"/>
                <w:i w:val="false"/>
                <w:iCs w:val="false"/>
                <w:color w:val="737373"/>
                <w:sz w:val="18"/>
                <w:szCs w:val="18"/>
              </w:rPr>
              <w:t xml:space="preserve"> the Arctic warms ~4× the global average and models under-state it (Rantanen 2022).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B176" w:sz="24" w:space="0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0" w:before="0" w:line="3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Re-ground (2026-06-15)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: the moving facts were re-verified against live public sources.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Updated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: the Anglo–Teck merger (Canada + South Korea now cleared;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only China remains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Confirmed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: the ADEC permit (reissuance public-noticed, ~2036 runway) and the forward production decline.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Base check (held the line)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: the company-total 2025 zinc figure is ~565 kt, but that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Teck-total (Red Dog + Antamina)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— Red Dog's own ~462,700 t below is the right base and is unchanged; the two must not be conflated.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Candidate to verify before external use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: Teck reportedly cites </w:t>
            </w:r>
            <w:r>
              <w:rPr>
                <w:rFonts w:ascii="Arial" w:cs="Arial" w:eastAsia="Arial" w:hAnsi="Arial"/>
                <w:i/>
                <w:iCs/>
                <w:color w:val="0A0A0A"/>
                <w:sz w:val="22"/>
                <w:szCs w:val="22"/>
              </w:rPr>
              <w:t xml:space="preserve">wetter weather limiting reserve access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among the decline drivers — a direct confirmation of §3 if matched to Teck's exact wording.</w:t>
            </w:r>
          </w:p>
        </w:tc>
      </w:tr>
    </w:tbl>
    <w:p>
      <w:pPr>
        <w:spacing w:after="9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B176" w:sz="24" w:space="0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0" w:before="0" w:line="3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What this is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: a worked, </w:t>
            </w:r>
            <w:r>
              <w:rPr>
                <w:rFonts w:ascii="Arial" w:cs="Arial" w:eastAsia="Arial" w:hAnsi="Arial"/>
                <w:i/>
                <w:iCs/>
                <w:color w:val="0A0A0A"/>
                <w:sz w:val="22"/>
                <w:szCs w:val="22"/>
              </w:rPr>
              <w:t xml:space="preserve">bottom-up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climate-risk read on a single off-substrate asset — Teck/NANA's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Red Dog Mine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, NW Arctic Alaska — produced by the reverse-engineering method (research + the model + our methodology),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not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the InfraSure platform. It is the proof case for handling outliers that fall outside our energy-infrastructure substrate.</w:t>
            </w:r>
          </w:p>
        </w:tc>
      </w:tr>
    </w:tbl>
    <w:p>
      <w:pPr>
        <w:spacing w:after="9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FA831" w:sz="24" w:space="0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0" w:before="0" w:line="3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Grounding honesty (read first)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: this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research-grounded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— public sources (primary regulatory filings, Teck disclosures, peer-reviewed science, reporting) disciplined by our claim/confidence/gate rules. It uses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no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InfraSure MCP data and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no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model-gpr output. The value here is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rigor + currency + the energy-infrastructure framing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, not proprietary data. It deliberately does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not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re-do the existing LT-Risk deck; it adds what the deck lacks.</w:t>
            </w:r>
          </w:p>
        </w:tc>
      </w:tr>
    </w:tbl>
    <w:p>
      <w:pPr>
        <w:pBdr>
          <w:bottom w:val="single" w:color="E5E5E5" w:sz="4" w:space="6"/>
        </w:pBdr>
        <w:spacing w:after="150" w:before="340"/>
      </w:pPr>
      <w:r>
        <w:rPr>
          <w:rFonts w:ascii="Arial" w:cs="Arial" w:eastAsia="Arial" w:hAnsi="Arial"/>
          <w:b/>
          <w:bCs/>
          <w:color w:val="0A0A0A"/>
          <w:sz w:val="28"/>
          <w:szCs w:val="28"/>
        </w:rPr>
        <w:t xml:space="preserve">1 · The asset in one screen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0"/>
        <w:gridCol w:w="6680"/>
      </w:tblGrid>
      <w:tr>
        <w:tc>
          <w:tcPr>
            <w:tcW w:type="dxa" w:w="2680"/>
            <w:tcBorders>
              <w:top w:val="single" w:color="E5E5E5" w:sz="4"/>
              <w:left w:val="single" w:color="00B176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Operator / owner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World's largest zinc mine · Teck Resources operates · NANA Regional Corp. (Iñupiat) owns the land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00B176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Location &amp; type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NW Arctic Alaska, ~68.1°N (170 km N of the Arctic Circle) · open-pit zinc/lead · runs 24/7/365 · air-only access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00B176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Power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OFF-GRID: ~25 MW typical demand on diesel gensets (installed capacity contested 24.5–40+ MW)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00B176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Logistics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~52-mi state-owned (AIDEA) gravel haul road → one shallow Chukchi port (no dock; barges lighter to ships offshore)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00B176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Production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FY2025: 462,700 t contained zinc (↓~17% from 555,600 t in 2024, on falling grades) · ore life ~2032</w:t>
            </w:r>
          </w:p>
        </w:tc>
      </w:tr>
    </w:tbl>
    <w:p>
      <w:pPr>
        <w:spacing w:after="60"/>
      </w:pPr>
    </w:p>
    <w:p>
      <w:pPr>
        <w:spacing w:after="220" w:before="60"/>
      </w:pPr>
      <w:r>
        <w:rPr>
          <w:rFonts w:ascii="Arial" w:cs="Arial" w:eastAsia="Arial" w:hAnsi="Arial"/>
          <w:i/>
          <w:iCs/>
          <w:color w:val="737373"/>
          <w:sz w:val="18"/>
          <w:szCs w:val="18"/>
        </w:rPr>
        <w:t xml:space="preserve">Sources: Alaska DNR; NS Energy; AIDEA; FindAPort; Teck FY2025 production (Feb 2026). Confidence: high (the contested item — generator nameplate — is flagged in §6).</w:t>
      </w:r>
    </w:p>
    <w:p>
      <w:pPr>
        <w:pBdr>
          <w:bottom w:val="single" w:color="E5E5E5" w:sz="4" w:space="6"/>
        </w:pBdr>
        <w:spacing w:after="150" w:before="340"/>
      </w:pPr>
      <w:r>
        <w:rPr>
          <w:rFonts w:ascii="Arial" w:cs="Arial" w:eastAsia="Arial" w:hAnsi="Arial"/>
          <w:b/>
          <w:bCs/>
          <w:color w:val="0A0A0A"/>
          <w:sz w:val="28"/>
          <w:szCs w:val="28"/>
        </w:rPr>
        <w:t xml:space="preserve">2 · The lead exposure — a coupled energy-and-logistics chokepoint</w:t>
      </w:r>
    </w:p>
    <w:p>
      <w:pPr>
        <w:spacing w:after="160" w:before="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This is the framing the LT-Risk deck missed, and it's the most decision-relevant climate linkage at the asset. The hero schematic above captures it; in plain terms: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B176" w:sz="24" w:space="0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60" w:before="0" w:line="3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ONE ~100-day ice-free window (≈ July–October) carries BOTH:</w:t>
            </w:r>
          </w:p>
          <w:p>
            <w:pPr>
              <w:spacing w:after="60" w:before="0" w:line="3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Energy-in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— the year's diesel: ~15.5M gal/yr (mine) + ~1.4M (transport); ~40,000 gal/day; barged into 6 port tanks.</w:t>
            </w:r>
          </w:p>
          <w:p>
            <w:pPr>
              <w:spacing w:after="60" w:before="0" w:line="3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Revenue-out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— the entire annual concentrate export; the mine produces year-round, stockpiles, and ships only in the window.</w:t>
            </w:r>
          </w:p>
          <w:p>
            <w:pPr>
              <w:spacing w:after="0" w:before="0" w:line="33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→ a short, late, or stormy open-water season threatens fuel security AND revenue timing simultaneously.</w:t>
            </w:r>
          </w:p>
        </w:tc>
      </w:tr>
    </w:tbl>
    <w:p>
      <w:pPr>
        <w:spacing w:after="150"/>
      </w:pPr>
    </w:p>
    <w:p>
      <w:pPr>
        <w:spacing w:after="160" w:before="0" w:line="330" w:lineRule="auto"/>
      </w:pP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This is not hypothetical.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In late 2025,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"weather and sea conditions"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delayed shipments into early 2026, and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Q4-2025 Red Dog gross profit fell to ~$200M (from ~$303M a year earlier)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on the timing — climate variability already moving the P&amp;L through the logistics window.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(Teck Q4-2025 results, Feb 2026 — fact/high.)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5E5" w:sz="6"/>
              <w:left w:val="single" w:color="E5E5E5" w:sz="6"/>
              <w:bottom w:val="single" w:color="E5E5E5" w:sz="6"/>
              <w:right w:val="single" w:color="E5E5E5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4210050" cy="3038475"/>
                  <wp:effectExtent t="0" r="0" b="0" l="0"/>
                  <wp:docPr id="1" name="c2_profitpng" descr="**Q4 Red Dog gross profit, 2024 vs 2025.** Source: Teck Q4-2025 results (Feb 2026). As of 2026-06-15. fact/high." title="c2_pro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3038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</w:pPr>
      <w:r>
        <w:rPr>
          <w:rFonts w:ascii="Arial" w:cs="Arial" w:eastAsia="Arial" w:hAnsi="Arial"/>
          <w:b/>
          <w:bCs/>
          <w:i w:val="false"/>
          <w:iCs w:val="false"/>
          <w:color w:val="737373"/>
          <w:sz w:val="18"/>
          <w:szCs w:val="18"/>
        </w:rPr>
        <w:t xml:space="preserve">Q4 Red Dog gross profit, 2024 vs 2025.</w:t>
      </w:r>
      <w:r>
        <w:rPr>
          <w:rFonts w:ascii="Arial" w:cs="Arial" w:eastAsia="Arial" w:hAnsi="Arial"/>
          <w:i w:val="false"/>
          <w:iCs w:val="false"/>
          <w:color w:val="737373"/>
          <w:sz w:val="18"/>
          <w:szCs w:val="18"/>
        </w:rPr>
        <w:t xml:space="preserve"> Source: Teck Q4-2025 results (Feb 2026). As of 2026-06-15. fact/high.</w:t>
      </w:r>
    </w:p>
    <w:p>
      <w:pPr>
        <w:spacing w:after="160" w:before="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Two structural amplifiers:</w:t>
      </w:r>
    </w:p>
    <w:p>
      <w:pPr>
        <w:pStyle w:val="ListParagraph"/>
        <w:numPr>
          <w:ilvl w:val="0"/>
          <w:numId w:val="2"/>
        </w:numPr>
        <w:spacing w:after="120" w:line="330" w:lineRule="auto"/>
      </w:pP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Sea-ice retreat cuts both ways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: it can lengthen the shipping window (operational upside)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but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removes the landfast-ice buffer that protected the coast — the same coastal cell is eroding fast at nearby Kivalina. The port relies on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offshore lightering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, so it is exposed to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sea state and storms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, not just ice.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(AIDEA; Ground Truth Alaska — fact/medium.)</w:t>
      </w:r>
    </w:p>
    <w:p>
      <w:pPr>
        <w:pStyle w:val="ListParagraph"/>
        <w:numPr>
          <w:ilvl w:val="0"/>
          <w:numId w:val="2"/>
        </w:numPr>
        <w:spacing w:after="120" w:line="330" w:lineRule="auto"/>
      </w:pP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The single-window dependency is undisclosed at the point that matters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: how many days of fuel the site can run if a resupply season is missed or cut short is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not public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(see §6). An 8.8 MW solar array (Tugliq, ~2 MW summer-effective, tax-credit-timed to start mid-2026) dents diesel but does not change the resupply dependency.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(Alaska Beacon, Mar 2026 — fact/high; the "dents not displaces" read is ours.)</w:t>
      </w:r>
    </w:p>
    <w:p>
      <w:pPr>
        <w:pBdr>
          <w:bottom w:val="single" w:color="E5E5E5" w:sz="4" w:space="6"/>
        </w:pBdr>
        <w:spacing w:after="150" w:before="340"/>
      </w:pPr>
      <w:r>
        <w:rPr>
          <w:rFonts w:ascii="Arial" w:cs="Arial" w:eastAsia="Arial" w:hAnsi="Arial"/>
          <w:b/>
          <w:bCs/>
          <w:color w:val="0A0A0A"/>
          <w:sz w:val="28"/>
          <w:szCs w:val="28"/>
        </w:rPr>
        <w:t xml:space="preserve">3 · Permafrost → a water-balance crisis the regulator calls unfixable</w:t>
      </w:r>
    </w:p>
    <w:p>
      <w:pPr>
        <w:spacing w:after="160" w:before="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The second pillar is documented in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primary regulatory text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, not just press: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B176" w:sz="24" w:space="0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60" w:before="0" w:line="33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permafrost thaw → naturally elevated TDS in receiving waters → lost mixing-zone capacity →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discharge blocked</w:t>
            </w:r>
          </w:p>
          <w:p>
            <w:pPr>
              <w:spacing w:after="0" w:before="0" w:line="33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+ a wetter Arctic → tailings/contact water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0A0A"/>
                <w:sz w:val="22"/>
                <w:szCs w:val="22"/>
              </w:rPr>
              <w:t xml:space="preserve">+60% (3.3B → 5.3B gallons, 2017–2021)</w:t>
            </w: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 → encroaches on dam freeboard</w:t>
            </w:r>
          </w:p>
        </w:tc>
      </w:tr>
    </w:tbl>
    <w:p>
      <w:pPr>
        <w:spacing w:after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5E5" w:sz="6"/>
              <w:left w:val="single" w:color="E5E5E5" w:sz="6"/>
              <w:bottom w:val="single" w:color="E5E5E5" w:sz="6"/>
              <w:right w:val="single" w:color="E5E5E5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943600" cy="2314575"/>
                  <wp:effectExtent t="0" r="0" b="0" l="0"/>
                  <wp:docPr id="1" name="hero2png" descr="**The ground won't hold** — rising contact water against the dam-freeboard margin, a storm past the design flood, and the regulator's concession (schematic). Source: Alaska DEC APDES AK0038652 Statement of Basis (2026-04-09). As of 2026-06-15. fact/high." title="hero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2314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</w:pPr>
      <w:r>
        <w:rPr>
          <w:rFonts w:ascii="Arial" w:cs="Arial" w:eastAsia="Arial" w:hAnsi="Arial"/>
          <w:b/>
          <w:bCs/>
          <w:i w:val="false"/>
          <w:iCs w:val="false"/>
          <w:color w:val="737373"/>
          <w:sz w:val="18"/>
          <w:szCs w:val="18"/>
        </w:rPr>
        <w:t xml:space="preserve">The ground won't hold</w:t>
      </w:r>
      <w:r>
        <w:rPr>
          <w:rFonts w:ascii="Arial" w:cs="Arial" w:eastAsia="Arial" w:hAnsi="Arial"/>
          <w:i w:val="false"/>
          <w:iCs w:val="false"/>
          <w:color w:val="737373"/>
          <w:sz w:val="18"/>
          <w:szCs w:val="18"/>
        </w:rPr>
        <w:t xml:space="preserve"> — rising contact water against the dam-freeboard margin, a storm past the design flood, and the regulator's concession (schematic). Source: Alaska DEC APDES AK0038652 Statement of Basis (2026-04-09). As of 2026-06-15. fact/high.</w:t>
      </w:r>
    </w:p>
    <w:p>
      <w:pPr>
        <w:pStyle w:val="ListParagraph"/>
        <w:numPr>
          <w:ilvl w:val="0"/>
          <w:numId w:val="2"/>
        </w:numPr>
        <w:spacing w:after="12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Alaska DEC is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reissuing the discharge permit (APDES AK0038652) with a 10-year compliance-schedule extension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(public-noticed; effective after May 19, 2026, to ~2036), stating in its own Statement of Basis (2026-04-09) that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"there is no reasonably available remedy to the thawing of permafrost and its impact on the receiving waters."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A US regulator formally conceding a Clean-Water-Act limit can't be met because of permafrost is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decision-relevant and unusual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.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(ADEC SOB — fact/high.)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Note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: this corrects the deck's "permit expiring 2026" — it was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extended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, and the runway now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outlives the ~2032 ore life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, shifting the binding constraint toward closure-phase water treatment.</w:t>
      </w:r>
    </w:p>
    <w:p>
      <w:pPr>
        <w:pStyle w:val="ListParagraph"/>
        <w:numPr>
          <w:ilvl w:val="0"/>
          <w:numId w:val="2"/>
        </w:numPr>
        <w:spacing w:after="12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ADEC states stored water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"threatens the safety of the tailings impoundment dams,"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with a tail risk of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"dam failure"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/ untreated-drainage release. The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Aug-2012 storm (15.2 in rain) exceeded the tailings dam's design flood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— the infrastructure has already operated outside its design envelope.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(ADEC SOB — fact/high; this is the single strongest data point that the asset is past-envelope.)</w:t>
      </w:r>
    </w:p>
    <w:p>
      <w:pPr>
        <w:pStyle w:val="ListParagraph"/>
        <w:numPr>
          <w:ilvl w:val="0"/>
          <w:numId w:val="2"/>
        </w:numPr>
        <w:spacing w:after="12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The mitigation under evaluation is a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~$279M, ~50-mile pipeline to the Chukchi Sea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—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"more than half of Red Dog's annual gross profit"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— one of four options,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not committed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. ~$19M was already spent on thaw-driven wastewater in 2020 alone.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(Northern Journal Dec 2025; Alaska Public Media 2020; ADEC SOB — fact/high; the pipeline is an estimate under evaluation — projection.)</w:t>
      </w:r>
    </w:p>
    <w:p>
      <w:pPr>
        <w:pStyle w:val="ListParagraph"/>
        <w:numPr>
          <w:ilvl w:val="0"/>
          <w:numId w:val="2"/>
        </w:numPr>
        <w:spacing w:after="12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The regional driver is real and independent of the mine: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"river rusting"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— thaw-exposed sulfide weathering turning 75+ (200+) Brooks Range streams orange — with on-site seeps measured at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pH 3.2 and TDS to 11,300 mg/L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.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(O'Donnell 2024 / NOAA Arctic Report Card 2025; ADEC SOB — fact/high.)</w:t>
      </w:r>
    </w:p>
    <w:p>
      <w:pPr>
        <w:spacing w:after="160" w:before="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Context for the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rate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: the Arctic has warmed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~4× the global average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since 1979, and climate models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under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-state it — so the signal arrives faster than scenario planning assumes, compressing adaptation lead-time.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(Rantanen 2022, Nature Comms — fact/high.)</w:t>
      </w:r>
    </w:p>
    <w:p>
      <w:pPr>
        <w:pBdr>
          <w:bottom w:val="single" w:color="E5E5E5" w:sz="4" w:space="6"/>
        </w:pBdr>
        <w:spacing w:after="150" w:before="340"/>
      </w:pPr>
      <w:r>
        <w:rPr>
          <w:rFonts w:ascii="Arial" w:cs="Arial" w:eastAsia="Arial" w:hAnsi="Arial"/>
          <w:b/>
          <w:bCs/>
          <w:color w:val="0A0A0A"/>
          <w:sz w:val="28"/>
          <w:szCs w:val="28"/>
        </w:rPr>
        <w:t xml:space="preserve">4 · The decision frame — a fading asset asked to fund a costly adaptation</w:t>
      </w:r>
    </w:p>
    <w:p>
      <w:pPr>
        <w:spacing w:after="160" w:before="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What makes this a genuine decision (not just a hazard list) is the collision of climate capex with late-life economics: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0"/>
        <w:gridCol w:w="6680"/>
      </w:tblGrid>
      <w:tr>
        <w:tc>
          <w:tcPr>
            <w:tcW w:type="dxa" w:w="2680"/>
            <w:tcBorders>
              <w:top w:val="single" w:color="E5E5E5" w:sz="4"/>
              <w:left w:val="single" w:color="EFA831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A fading asset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ore ~2032; Red Dog zinc guided DOWN 2026 375–415 kt → 2027 330–370 → 2028 230–270 kt; extension (Aktigiruq/Anarraaq) only pre-feasibility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EFA831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A rising cost base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NANA royalty ratchets 40% (2022) → 45% (Oct 2027) → 50% max, as grades/tonnage fall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EFA831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Ownership in flux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Anglo–Teck merger announced Sept 2025, shareholder-approved Dec 2025; Canada + S. Korea cleared, ONLY CHINA remains (as of Jun 2026), close ~Q3-2026–Q1-2027 → Red Dog a non-core zinc slice of a &gt;70%-COPPER major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EFA831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A long-tail liability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state closure assurance ~$558M + PERPETUAL post-closure water treatment (outlives the revenue)</w:t>
            </w:r>
          </w:p>
        </w:tc>
      </w:tr>
    </w:tbl>
    <w:p>
      <w:pPr>
        <w:spacing w:after="60"/>
      </w:pPr>
    </w:p>
    <w:p>
      <w:pPr>
        <w:spacing w:after="220" w:before="60"/>
      </w:pPr>
      <w:r>
        <w:rPr>
          <w:rFonts w:ascii="Arial" w:cs="Arial" w:eastAsia="Arial" w:hAnsi="Arial"/>
          <w:i/>
          <w:iCs/>
          <w:color w:val="737373"/>
          <w:sz w:val="18"/>
          <w:szCs w:val="18"/>
        </w:rPr>
        <w:t xml:space="preserve">Sources: Teck production guidance + MD&amp;A; North of 60 Mining News; Teck/Anglo merger releases; Alaska DNR. Confidence: high (figures), with mine-life ~2032 and the extension as projections.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5E5" w:sz="6"/>
              <w:left w:val="single" w:color="E5E5E5" w:sz="6"/>
              <w:bottom w:val="single" w:color="E5E5E5" w:sz="6"/>
              <w:right w:val="single" w:color="E5E5E5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762625" cy="2533650"/>
                  <wp:effectExtent t="0" r="0" b="0" l="0"/>
                  <wp:docPr id="1" name="c1_zincpng" descr="**Contained-zinc output: actual (2024–25) then company guidance (2026–28).** Sources: Teck FY2025 production (Feb 2026); production guidance + MD&amp;A. As of 2026-06-15. Guidance is a disclosed range (projection)." title="c1_zin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2533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</w:pPr>
      <w:r>
        <w:rPr>
          <w:rFonts w:ascii="Arial" w:cs="Arial" w:eastAsia="Arial" w:hAnsi="Arial"/>
          <w:b/>
          <w:bCs/>
          <w:i w:val="false"/>
          <w:iCs w:val="false"/>
          <w:color w:val="737373"/>
          <w:sz w:val="18"/>
          <w:szCs w:val="18"/>
        </w:rPr>
        <w:t xml:space="preserve">Contained-zinc output: actual (2024–25) then company guidance (2026–28).</w:t>
      </w:r>
      <w:r>
        <w:rPr>
          <w:rFonts w:ascii="Arial" w:cs="Arial" w:eastAsia="Arial" w:hAnsi="Arial"/>
          <w:i w:val="false"/>
          <w:iCs w:val="false"/>
          <w:color w:val="737373"/>
          <w:sz w:val="18"/>
          <w:szCs w:val="18"/>
        </w:rPr>
        <w:t xml:space="preserve"> Sources: Teck FY2025 production (Feb 2026); production guidance + MD&amp;A. As of 2026-06-15. Guidance is a disclosed range (projection).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5E5" w:sz="6"/>
              <w:left w:val="single" w:color="E5E5E5" w:sz="6"/>
              <w:bottom w:val="single" w:color="E5E5E5" w:sz="6"/>
              <w:right w:val="single" w:color="E5E5E5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4019550" cy="3286125"/>
                  <wp:effectExtent t="0" r="0" b="0" l="0"/>
                  <wp:docPr id="1" name="c4_royaltypng" descr="**NANA net-proceeds royalty schedule.** Sources: Alaska DNR; North of 60 Mining News. As of 2026-06-15. fact/high (2031 step = 50% cap)." title="c4_royal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9550" cy="3286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20" w:before="60"/>
      </w:pPr>
      <w:r>
        <w:rPr>
          <w:rFonts w:ascii="Arial" w:cs="Arial" w:eastAsia="Arial" w:hAnsi="Arial"/>
          <w:b/>
          <w:bCs/>
          <w:i w:val="false"/>
          <w:iCs w:val="false"/>
          <w:color w:val="737373"/>
          <w:sz w:val="18"/>
          <w:szCs w:val="18"/>
        </w:rPr>
        <w:t xml:space="preserve">NANA net-proceeds royalty schedule.</w:t>
      </w:r>
      <w:r>
        <w:rPr>
          <w:rFonts w:ascii="Arial" w:cs="Arial" w:eastAsia="Arial" w:hAnsi="Arial"/>
          <w:i w:val="false"/>
          <w:iCs w:val="false"/>
          <w:color w:val="737373"/>
          <w:sz w:val="18"/>
          <w:szCs w:val="18"/>
        </w:rPr>
        <w:t xml:space="preserve"> Sources: Alaska DNR; North of 60 Mining News. As of 2026-06-15. fact/high (2031 step = 50% cap).</w:t>
      </w:r>
    </w:p>
    <w:p>
      <w:pPr>
        <w:spacing w:after="160" w:before="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The sharp frame, from the Arctic-infrastructure literature: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near-term permafrost risk is largely mitigation-insensitive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— for an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existing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asset,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adaptation, not decarbonization, is the only lever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(Hjort et al. 2018, Nature Comms)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. So the question Red Dog's owner actually faces is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how much adaptation capex to sink into a depleting, soon-to-change-hands asset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— a ~$279M pipeline (and "hundreds of millions over a decade" for a permanent fix) against ~6 years of declining ore. That tension — not a generic risk rating — is the read a decision-maker needs.</w:t>
      </w:r>
    </w:p>
    <w:p>
      <w:pPr>
        <w:pBdr>
          <w:bottom w:val="single" w:color="E5E5E5" w:sz="4" w:space="6"/>
        </w:pBdr>
        <w:spacing w:after="150" w:before="340"/>
      </w:pPr>
      <w:r>
        <w:rPr>
          <w:rFonts w:ascii="Arial" w:cs="Arial" w:eastAsia="Arial" w:hAnsi="Arial"/>
          <w:b/>
          <w:bCs/>
          <w:color w:val="0A0A0A"/>
          <w:sz w:val="28"/>
          <w:szCs w:val="28"/>
        </w:rPr>
        <w:t xml:space="preserve">5 · Why this generalizes — the outlier class + a realized precedent</w:t>
      </w:r>
    </w:p>
    <w:p>
      <w:pPr>
        <w:spacing w:after="160" w:before="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Red Dog instantiates a class InfraSure will meet again: the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remote, off-grid, cold-region industrial asset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—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islanded on a diesel microgrid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+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dependent on a single climate-sensitive logistics window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+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built on degrading permafrost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. The method transfers to the next one (another mine, a port, a remote data center).</w:t>
      </w:r>
    </w:p>
    <w:p>
      <w:pPr>
        <w:pStyle w:val="ListParagraph"/>
        <w:numPr>
          <w:ilvl w:val="0"/>
          <w:numId w:val="2"/>
        </w:numPr>
        <w:spacing w:after="120" w:line="330" w:lineRule="auto"/>
      </w:pP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The realized precedent — Norilsk, 2020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: a diesel storage tank on thaw-weakened permafrost piles collapsed →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~21,000 t spill, ~$2B in damages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— the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exact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Red Dog risk geometry, realized.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(ERM / press — fact/high.)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This is why the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fuel-farm foundation engineering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(§6) is the most important number we don't have.</w:t>
      </w:r>
    </w:p>
    <w:p>
      <w:pPr>
        <w:pStyle w:val="ListParagraph"/>
        <w:numPr>
          <w:ilvl w:val="0"/>
          <w:numId w:val="2"/>
        </w:numPr>
        <w:spacing w:after="120" w:line="330" w:lineRule="auto"/>
      </w:pP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The mirror precedent — winter ice roads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(Tibbitt–Contwoyto, serving NWT diamond mines): the same narrowing-seasonal-window risk,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opposite sign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(they need ice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present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; Red Dog needs it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absent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) — showing the "single climate-sensitive window" is the portable risk concept.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(Reuters — fact/high.)</w:t>
      </w:r>
    </w:p>
    <w:p>
      <w:pPr>
        <w:spacing w:after="160" w:before="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Frameworks that anchor the class: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IPCC AR6 WG2 CCP6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("warming and wetting"; most Arctic infrastructure impacted by mid-century, high confidence);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Hjort 2018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(33–69% of pan-Arctic infrastructure on thawing permafrost by 2050);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AMAP/SWIPA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.</w:t>
      </w:r>
    </w:p>
    <w:p>
      <w:pPr>
        <w:pBdr>
          <w:bottom w:val="single" w:color="E5E5E5" w:sz="4" w:space="6"/>
        </w:pBdr>
        <w:spacing w:after="150" w:before="340"/>
      </w:pPr>
      <w:r>
        <w:rPr>
          <w:rFonts w:ascii="Arial" w:cs="Arial" w:eastAsia="Arial" w:hAnsi="Arial"/>
          <w:b/>
          <w:bCs/>
          <w:color w:val="0A0A0A"/>
          <w:sz w:val="28"/>
          <w:szCs w:val="28"/>
        </w:rPr>
        <w:t xml:space="preserve">6 · What we can't know — and why that's a finding</w:t>
      </w:r>
    </w:p>
    <w:p>
      <w:pPr>
        <w:spacing w:after="160" w:before="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A disciplined read names its blind spots rather than guessing. For Red Dog, the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most decision-relevant numbers are not public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0"/>
        <w:gridCol w:w="6680"/>
      </w:tblGrid>
      <w:tr>
        <w:tc>
          <w:tcPr>
            <w:tcW w:type="dxa" w:w="2680"/>
            <w:tcBorders>
              <w:top w:val="single" w:color="E5E5E5" w:sz="4"/>
              <w:left w:val="single" w:color="EFA831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Days of fuel autonomy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if an open-water window is missed/short — undisclosed (the latent single-point-of-failure)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EFA831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Tailings-dam factor-of-safety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current freeboard margin — undisclosed (ADEC says it's threatened; the margin isn't public)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EFA831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Fuel-farm foundation engineering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piles to bedrock? thermosyphons? — undisclosed (this is exactly the Norilsk failure mode)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EFA831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Asset-level financials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Red Dog has no standalone public P&amp;L (reported inside Teck's zinc segment; ~CAD $846M of the segment's $1,143M FY2025 gross-profit-before-D&amp;A is the closest anchor) — so margin-at-risk can't be priced precisely</w:t>
            </w:r>
          </w:p>
        </w:tc>
      </w:tr>
    </w:tbl>
    <w:p>
      <w:pPr>
        <w:spacing w:after="60"/>
      </w:pPr>
    </w:p>
    <w:p>
      <w:pPr>
        <w:spacing w:after="220" w:before="60"/>
      </w:pPr>
      <w:r>
        <w:rPr>
          <w:rFonts w:ascii="Arial" w:cs="Arial" w:eastAsia="Arial" w:hAnsi="Arial"/>
          <w:i/>
          <w:iCs/>
          <w:color w:val="737373"/>
          <w:sz w:val="18"/>
          <w:szCs w:val="18"/>
        </w:rPr>
        <w:t xml:space="preserve">These gaps are the honest boundary of a research-grounded read — and the precise questions a pilot/data-exchange would close.</w:t>
      </w:r>
    </w:p>
    <w:p>
      <w:pPr>
        <w:pBdr>
          <w:bottom w:val="single" w:color="E5E5E5" w:sz="4" w:space="6"/>
        </w:pBdr>
        <w:spacing w:after="150" w:before="340"/>
      </w:pPr>
      <w:r>
        <w:rPr>
          <w:rFonts w:ascii="Arial" w:cs="Arial" w:eastAsia="Arial" w:hAnsi="Arial"/>
          <w:b/>
          <w:bCs/>
          <w:color w:val="0A0A0A"/>
          <w:sz w:val="28"/>
          <w:szCs w:val="28"/>
        </w:rPr>
        <w:t xml:space="preserve">7 · What InfraSure would actually add here</w:t>
      </w:r>
    </w:p>
    <w:p>
      <w:pPr>
        <w:spacing w:after="160" w:before="0" w:line="330" w:lineRule="auto"/>
      </w:pP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Honest version, for the team: a generic consultant or a vanilla LLM can produce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a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Red Dog climate narrative. What this read demonstrates that they don't is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(1) the energy-infrastructure framing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(the coupled diesel-in/revenue-out chokepoint — our lane, the deck's blind spot),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(2) discipline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(every claim sourced, dated, and confidence-rated; the deck's stale points corrected; nothing over-quantified), and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(3) gap-honesty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(we name the undisclosed numbers a pilot would resolve). The platform/MCP and model-gpr do </w:t>
      </w:r>
      <w:r>
        <w:rPr>
          <w:rFonts w:ascii="Arial" w:cs="Arial" w:eastAsia="Arial" w:hAnsi="Arial"/>
          <w:b/>
          <w:bCs/>
          <w:i w:val="false"/>
          <w:iCs w:val="false"/>
          <w:color w:val="0A0A0A"/>
          <w:sz w:val="22"/>
          <w:szCs w:val="22"/>
        </w:rPr>
        <w:t xml:space="preserve">not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reach this asset — and we say so. That combination </w:t>
      </w:r>
      <w:r>
        <w:rPr>
          <w:rFonts w:ascii="Arial" w:cs="Arial" w:eastAsia="Arial" w:hAnsi="Arial"/>
          <w:i/>
          <w:iCs/>
          <w:color w:val="0A0A0A"/>
          <w:sz w:val="22"/>
          <w:szCs w:val="22"/>
        </w:rPr>
        <w:t xml:space="preserve">is</w:t>
      </w:r>
      <w:r>
        <w:rPr>
          <w:rFonts w:ascii="Arial" w:cs="Arial" w:eastAsia="Arial" w:hAnsi="Arial"/>
          <w:i w:val="false"/>
          <w:iCs w:val="false"/>
          <w:color w:val="0A0A0A"/>
          <w:sz w:val="22"/>
          <w:szCs w:val="22"/>
        </w:rPr>
        <w:t xml:space="preserve"> the capability worth showing Teck: not "we already have your data," but "here is how rigorously and quickly we reason about an asset we've never been given data for."</w:t>
      </w:r>
    </w:p>
    <w:p>
      <w:pPr>
        <w:spacing w:after="12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FA831" w:sz="24" w:space="0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A0A0A"/>
                <w:sz w:val="24"/>
                <w:szCs w:val="24"/>
              </w:rPr>
              <w:t xml:space="preserve">What's still resolving — and the forward door</w:t>
            </w:r>
          </w:p>
          <w:p>
            <w:pPr>
              <w:spacing w:after="120" w:before="0" w:line="33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The Arctic is warming ~4× the global average and faster than models assume, so the open-water window and the permafrost water balance keep moving; this is a directional read that firms as the Anglo–Teck merger, the production guidance, and the ADEC permit resolve. That uncertainty is the world's, not a gap in the work.</w:t>
            </w:r>
          </w:p>
          <w:p>
            <w:pPr>
              <w:spacing w:after="0" w:before="0" w:line="33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This is the rigor on public data. The per-asset quantified layer — fuel-autonomy modeling, tailings-dam factor-of-safety, the priced tail risk — is where InfraSure goes deeper; §6 names exactly the undisclosed numbers a pilot or data-exchange would close. Talk to the team to take it there.</w:t>
            </w:r>
          </w:p>
        </w:tc>
      </w:tr>
    </w:tbl>
    <w:p>
      <w:pPr>
        <w:pBdr>
          <w:bottom w:val="single" w:color="E5E5E5" w:sz="4" w:space="6"/>
        </w:pBdr>
        <w:spacing w:after="150" w:before="340"/>
      </w:pPr>
      <w:r>
        <w:rPr>
          <w:rFonts w:ascii="Arial" w:cs="Arial" w:eastAsia="Arial" w:hAnsi="Arial"/>
          <w:b/>
          <w:bCs/>
          <w:color w:val="0A0A0A"/>
          <w:sz w:val="28"/>
          <w:szCs w:val="28"/>
        </w:rPr>
        <w:t xml:space="preserve">Sources &amp; provenance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0"/>
        <w:gridCol w:w="6680"/>
      </w:tblGrid>
      <w:tr>
        <w:tc>
          <w:tcPr>
            <w:tcW w:type="dxa" w:w="2680"/>
            <w:tcBorders>
              <w:top w:val="single" w:color="E5E5E5" w:sz="4"/>
              <w:left w:val="single" w:color="3E4E59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Primary / regulatory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Alaska DEC APDES AK0038652 Statement of Basis (2026-04-09) · Alaska DNR Large Mines (Red Dog) · AIDEA (DMTS)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3E4E59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Company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Teck Q4/FY2025 results (Feb 2026) · Teck production guidance + MD&amp;A · Teck–Anglo merger releases (Sept/Dec 2025)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3E4E59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Peer-reviewed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Rantanen 2022 (Arctic ~4× warming) · Hjort 2018 (pan-Arctic infra exposure) · O'Donnell 2024 (river rusting) · IPCC AR6 WG2 CCP6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3E4E59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Reporting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Northern Journal / Alaska Beacon / Anchorage Daily News (permafrost, solar, fuel) · Fastmarkets · North of 60 Mining News · Ground Truth Alaska (critical-stakeholder)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3E4E59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Precedent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Norilsk 2020 diesel-tank collapse (ERM / press) · Tibbitt–Contwoyto winter ice road (Reuters)</w:t>
            </w:r>
          </w:p>
        </w:tc>
      </w:tr>
      <w:tr>
        <w:tc>
          <w:tcPr>
            <w:tcW w:type="dxa" w:w="2680"/>
            <w:tcBorders>
              <w:top w:val="single" w:color="E5E5E5" w:sz="4"/>
              <w:left w:val="single" w:color="3E4E59" w:sz="18"/>
              <w:bottom w:val="single" w:color="E5E5E5" w:sz="4"/>
              <w:right w:val="single" w:color="E5E5E5" w:sz="4"/>
            </w:tcBorders>
            <w:shd w:fill="F5F5F5" w:color="auto" w:val="clear"/>
            <w:tcMar>
              <w:top w:type="dxa" w:w="90"/>
              <w:left w:type="dxa" w:w="150"/>
              <w:bottom w:type="dxa" w:w="90"/>
              <w:right w:type="dxa" w:w="12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b/>
                <w:bCs/>
                <w:color w:val="3E4E59"/>
                <w:sz w:val="22"/>
                <w:szCs w:val="22"/>
              </w:rPr>
              <w:t xml:space="preserve">Re-ground 2026-06-15</w:t>
            </w:r>
          </w:p>
        </w:tc>
        <w:tc>
          <w:tcPr>
            <w:tcW w:type="dxa" w:w="6680"/>
            <w:tcBorders>
              <w:top w:val="single" w:color="E5E5E5" w:sz="4"/>
              <w:left w:val="single" w:color="E5E5E5" w:sz="4"/>
              <w:bottom w:val="single" w:color="E5E5E5" w:sz="4"/>
              <w:right w:val="single" w:color="E5E5E5" w:sz="4"/>
            </w:tcBorders>
            <w:tcMar>
              <w:top w:type="dxa" w:w="90"/>
              <w:left w:type="dxa" w:w="150"/>
              <w:bottom w:type="dxa" w:w="90"/>
              <w:right w:type="dxa" w:w="140"/>
            </w:tcMar>
          </w:tcPr>
          <w:p>
            <w:pPr>
              <w:spacing w:line="300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0A0A0A"/>
                <w:sz w:val="22"/>
                <w:szCs w:val="22"/>
              </w:rPr>
              <w:t xml:space="preserve">Teck 2025 Production &amp; Sales Update (teck.com, 2026-02) · merger: Canada + S. Korea cleared, China pending (MLex; mining.com, 2026) · ADEC AK0038652 reissuance public notice + SOB (2026-04-09)</w:t>
            </w:r>
          </w:p>
        </w:tc>
      </w:tr>
    </w:tbl>
    <w:p>
      <w:pPr>
        <w:spacing w:after="80"/>
      </w:pPr>
    </w:p>
    <w:p>
      <w:pPr>
        <w:spacing w:after="220" w:before="60"/>
      </w:pPr>
      <w:r>
        <w:rPr>
          <w:rFonts w:ascii="Arial" w:cs="Arial" w:eastAsia="Arial" w:hAnsi="Arial"/>
          <w:i w:val="false"/>
          <w:iCs w:val="false"/>
          <w:color w:val="737373"/>
          <w:sz w:val="18"/>
          <w:szCs w:val="18"/>
        </w:rPr>
        <w:t xml:space="preserve">*Full per-claim provenance (named source · URL · date · confidence · fact-vs-projection) is in the research record behind `docs/discussion/2026-06-14_outlier_method_red_dog.md`. </w:t>
      </w:r>
      <w:r>
        <w:rPr>
          <w:rFonts w:ascii="Arial" w:cs="Arial" w:eastAsia="Arial" w:hAnsi="Arial"/>
          <w:b/>
          <w:bCs/>
          <w:i w:val="false"/>
          <w:iCs w:val="false"/>
          <w:color w:val="737373"/>
          <w:sz w:val="18"/>
          <w:szCs w:val="18"/>
        </w:rPr>
        <w:t xml:space="preserve">Research-grounded; not InfraSure MCP / model-gpr data.</w:t>
      </w:r>
      <w:r>
        <w:rPr>
          <w:rFonts w:ascii="Arial" w:cs="Arial" w:eastAsia="Arial" w:hAnsi="Arial"/>
          <w:i w:val="false"/>
          <w:iCs w:val="false"/>
          <w:color w:val="737373"/>
          <w:sz w:val="18"/>
          <w:szCs w:val="18"/>
        </w:rPr>
        <w:t xml:space="preserve">*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5E5" w:sz="4" w:space="6"/>
      </w:pBdr>
      <w:tabs>
        <w:tab w:val="right" w:pos="9360"/>
      </w:tabs>
      <w:spacing w:before="60"/>
    </w:pPr>
    <w:r>
      <w:rPr>
        <w:rFonts w:ascii="Arial" w:cs="Arial" w:eastAsia="Arial" w:hAnsi="Arial"/>
        <w:color w:val="737373"/>
        <w:sz w:val="18"/>
        <w:szCs w:val="18"/>
      </w:rPr>
      <w:t xml:space="preserve">InfraSure Insights · infrasure.ai</w:t>
    </w:r>
    <w:r>
      <w:rPr>
        <w:rFonts w:ascii="Arial" w:cs="Arial" w:eastAsia="Arial" w:hAnsi="Arial"/>
        <w:color w:val="737373"/>
        <w:sz w:val="18"/>
        <w:szCs w:val="18"/>
      </w:rPr>
      <w:t xml:space="preserve">	</w:t>
    </w:r>
    <w:r>
      <w:rPr>
        <w:rFonts w:ascii="Arial" w:cs="Arial" w:eastAsia="Arial" w:hAnsi="Arial"/>
        <w:color w:val="737373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5E5" w:sz="4" w:space="6"/>
      </w:pBdr>
      <w:tabs>
        <w:tab w:val="right" w:pos="9360"/>
      </w:tabs>
      <w:spacing w:after="80"/>
    </w:pPr>
    <w:r>
      <w:drawing>
        <wp:inline distT="0" distB="0" distL="0" distR="0">
          <wp:extent cx="1257300" cy="314325"/>
          <wp:effectExtent t="0" r="0" b="0" l="0"/>
          <wp:docPr id="1" name="InfraSure" descr="InfraSure Insights" title="InfraS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7300" cy="314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00B176"/>
        <w:spacing w:val="14"/>
        <w:sz w:val="17"/>
        <w:szCs w:val="17"/>
      </w:rPr>
      <w:t xml:space="preserve">	CLIMATE RISK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00B17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0A0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78914f99a2758ffe994f9002ed844343d74bdae.png"/><Relationship Id="rId10" Type="http://schemas.openxmlformats.org/officeDocument/2006/relationships/image" Target="media/45f771d2d804cda391fac46d254d4e470e36271d.png"/><Relationship Id="rId11" Type="http://schemas.openxmlformats.org/officeDocument/2006/relationships/image" Target="media/9a4046f4af9384c3743a93309d93c9b9a7fef488.png"/><Relationship Id="rId12" Type="http://schemas.openxmlformats.org/officeDocument/2006/relationships/image" Target="media/c0f5b3cb58fd70b3182494f1bd7e368f299e6d84.png"/><Relationship Id="rId13" Type="http://schemas.openxmlformats.org/officeDocument/2006/relationships/image" Target="media/8069136fd844df48957b840aafb1fdcfaa6c62b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97cb03b453201203a212918e3ef21bea5a5235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2026-06-16T02:47:01.451Z</dcterms:created>
  <dcterms:modified xsi:type="dcterms:W3CDTF">2026-06-16T02:47:01.453Z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