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20"/>
      </w:pPr>
      <w:r>
        <w:rPr>
          <w:rFonts w:ascii="Calibri" w:cs="Calibri" w:eastAsia="Calibri" w:hAnsi="Calibri"/>
          <w:b/>
          <w:bCs/>
          <w:color w:val="00A862"/>
          <w:spacing w:val="30"/>
          <w:sz w:val="16"/>
          <w:szCs w:val="16"/>
        </w:rPr>
        <w:t xml:space="preserve">ENSO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B3138"/>
          <w:sz w:val="38"/>
          <w:szCs w:val="38"/>
        </w:rPr>
        <w:t xml:space="preserve">El Niño is strengthening. Most of Standard Solar’s book won’t feel it.</w:t>
      </w:r>
    </w:p>
    <w:p>
      <w:pPr>
        <w:spacing w:after="90"/>
      </w:pPr>
      <w:r>
        <w:rPr>
          <w:rFonts w:ascii="Calibri" w:cs="Calibri" w:eastAsia="Calibri" w:hAnsi="Calibri"/>
          <w:color w:val="8A9099"/>
          <w:sz w:val="23"/>
          <w:szCs w:val="23"/>
        </w:rPr>
        <w:t xml:space="preserve">A directional winter-generation read on the Brookfield / Standard Solar US solar fleet, on a likely-strong El Niño into winter 2026-27.</w:t>
      </w:r>
    </w:p>
    <w:p>
      <w:pPr>
        <w:pBdr>
          <w:bottom w:val="single" w:color="E5E5E5" w:sz="6" w:space="6"/>
        </w:pBdr>
        <w:spacing w:after="140"/>
      </w:pPr>
      <w:r>
        <w:rPr>
          <w:rFonts w:ascii="Consolas" w:cs="Consolas" w:eastAsia="Consolas" w:hAnsi="Consolas"/>
          <w:color w:val="8A9099"/>
          <w:sz w:val="17"/>
          <w:szCs w:val="17"/>
        </w:rPr>
        <w:t xml:space="preserve">15 June 2026  ·  3 min read  ·  Standard Solar US solar book (129 plants · 362.3 MW)  ·  data as of 2026-06-15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F7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9099"/>
                <w:spacing w:val="30"/>
                <w:sz w:val="16"/>
                <w:szCs w:val="16"/>
              </w:rPr>
              <w:t xml:space="preserve">THE TAKEAWAY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2"/>
            </w:pPr>
            <w:r>
              <w:rPr>
                <w:rFonts w:ascii="Calibri" w:cs="Calibri" w:eastAsia="Calibri" w:hAnsi="Calibri"/>
                <w:color w:val="434B52"/>
                <w:sz w:val="20"/>
                <w:szCs w:val="20"/>
              </w:rPr>
              <w:t xml:space="preserve">Only about a quarter of the book (the 83.8 MW Southwest belt) sits where El Niño has a real winter-irradiance signal. The other roughly three-quarters does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2"/>
            </w:pPr>
            <w:r>
              <w:rPr>
                <w:rFonts w:ascii="Calibri" w:cs="Calibri" w:eastAsia="Calibri" w:hAnsi="Calibri"/>
                <w:color w:val="434B52"/>
                <w:sz w:val="20"/>
                <w:szCs w:val="20"/>
              </w:rPr>
              <w:t xml:space="preserve">That exposed slice is itself spread across 25 small sites in four states, so even within it a single-winter shock averages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2"/>
            </w:pPr>
            <w:r>
              <w:rPr>
                <w:rFonts w:ascii="Calibri" w:cs="Calibri" w:eastAsia="Calibri" w:hAnsi="Calibri"/>
                <w:color w:val="434B52"/>
                <w:sz w:val="20"/>
                <w:szCs w:val="20"/>
              </w:rPr>
              <w:t xml:space="preserve">The mechanism acts on the December-February floor, where these assets already run their lowest capacity factor. Direction down, magnitude unmodeled.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62"/>
            </w:pPr>
            <w:r>
              <w:rPr>
                <w:rFonts w:ascii="Calibri" w:cs="Calibri" w:eastAsia="Calibri" w:hAnsi="Calibri"/>
                <w:color w:val="434B52"/>
                <w:sz w:val="20"/>
                <w:szCs w:val="20"/>
              </w:rPr>
              <w:t xml:space="preserve">Practical step: weather-normalize the 2026-27 winter solar budget for the Southwest belt to the firmer-El-Niño end of the historical band. The rest needs no special adjustment.</w:t>
            </w:r>
          </w:p>
          <w:p>
            <w:r>
              <w:rPr>
                <w:rFonts w:ascii="Consolas" w:cs="Consolas" w:eastAsia="Consolas" w:hAnsi="Consolas"/>
                <w:color w:val="D98E0B"/>
                <w:spacing w:val="20"/>
                <w:sz w:val="16"/>
                <w:szCs w:val="16"/>
              </w:rPr>
              <w:t xml:space="preserve">  CONFIDENCE: LOW · DIRECTIONAL, NOT A FORECAST  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3E4E59"/>
          <w:sz w:val="26"/>
          <w:szCs w:val="26"/>
        </w:rPr>
        <w:t xml:space="preserve">The condition</w:t>
      </w:r>
    </w:p>
    <w:p>
      <w:pPr>
        <w:spacing w:after="70" w:line="272"/>
      </w:pPr>
      <w:r>
        <w:rPr>
          <w:rFonts w:ascii="Calibri" w:cs="Calibri" w:eastAsia="Calibri" w:hAnsi="Calibri"/>
          <w:color w:val="434B52"/>
          <w:sz w:val="21"/>
          <w:szCs w:val="21"/>
        </w:rPr>
        <w:t xml:space="preserve">NOAA’s Climate Prediction Center carries an </w:t>
      </w:r>
      <w:r>
        <w:rPr>
          <w:rFonts w:ascii="Calibri" w:cs="Calibri" w:eastAsia="Calibri" w:hAnsi="Calibri"/>
          <w:b/>
          <w:bCs/>
          <w:color w:val="2B3138"/>
          <w:sz w:val="21"/>
          <w:szCs w:val="21"/>
        </w:rPr>
        <w:t xml:space="preserve">El Niño Advisory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: El Niño conditions are present and expected to strengthen into Northern Hemisphere winter 2026-27, with roughly a 96% chance of El Niño across December to February and a meaningful chance the event ranks among the stronger ones since 1950. Strength matters here because the California and Southwest winter-precipitation teleconnection is one of ENSO’s more reliable fingerprints, and it firms up in stronger events. That holds this read at the firmer end of its low-confidence band without ever leaving it.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3E4E59"/>
          <w:sz w:val="26"/>
          <w:szCs w:val="26"/>
        </w:rPr>
        <w:t xml:space="preserve">Who is exposed</w:t>
      </w:r>
    </w:p>
    <w:p>
      <w:pPr>
        <w:spacing w:after="70" w:line="272"/>
      </w:pPr>
      <w:r>
        <w:rPr>
          <w:rFonts w:ascii="Calibri" w:cs="Calibri" w:eastAsia="Calibri" w:hAnsi="Calibri"/>
          <w:color w:val="434B52"/>
          <w:sz w:val="21"/>
          <w:szCs w:val="21"/>
        </w:rPr>
        <w:t xml:space="preserve">Standard Solar, a Brookfield Renewable distributed-generation and community-solar developer-owner, runs a US book of </w:t>
      </w:r>
      <w:r>
        <w:rPr>
          <w:rFonts w:ascii="Calibri" w:cs="Calibri" w:eastAsia="Calibri" w:hAnsi="Calibri"/>
          <w:b/>
          <w:bCs/>
          <w:color w:val="2B3138"/>
          <w:sz w:val="21"/>
          <w:szCs w:val="21"/>
        </w:rPr>
        <w:t xml:space="preserve">129 plants totalling 362.3 MW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averaging 2.81 MW per plant. That per-plant size is the signature of a DG and community-solar fleet, not utility-scale. It splits by ENSO region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none"/>
        </w:tblBorders>
      </w:tblPr>
      <w:tblGrid>
        <w:gridCol w:w="3340"/>
        <w:gridCol w:w="900"/>
        <w:gridCol w:w="900"/>
        <w:gridCol w:w="900"/>
        <w:gridCol w:w="3320"/>
      </w:tblGrid>
      <w:tr>
        <w:trPr>
          <w:tblHeader/>
        </w:trPr>
        <w:tc>
          <w:tcPr>
            <w:tcW w:type="dxa" w:w="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099"/>
                <w:spacing w:val="20"/>
                <w:sz w:val="15"/>
                <w:szCs w:val="15"/>
              </w:rPr>
              <w:t xml:space="preserve">REGION BUCKET</w:t>
            </w:r>
          </w:p>
        </w:tc>
        <w:tc>
          <w:tcPr>
            <w:tcW w:type="dxa" w:w="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099"/>
                <w:spacing w:val="20"/>
                <w:sz w:val="15"/>
                <w:szCs w:val="15"/>
              </w:rPr>
              <w:t xml:space="preserve">PLANTS</w:t>
            </w:r>
          </w:p>
        </w:tc>
        <w:tc>
          <w:tcPr>
            <w:tcW w:type="dxa" w:w="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099"/>
                <w:spacing w:val="20"/>
                <w:sz w:val="15"/>
                <w:szCs w:val="15"/>
              </w:rPr>
              <w:t xml:space="preserve">MW</w:t>
            </w:r>
          </w:p>
        </w:tc>
        <w:tc>
          <w:tcPr>
            <w:tcW w:type="dxa" w:w="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099"/>
                <w:spacing w:val="20"/>
                <w:sz w:val="15"/>
                <w:szCs w:val="15"/>
              </w:rPr>
              <w:t xml:space="preserve">SHARE</w:t>
            </w:r>
          </w:p>
        </w:tc>
        <w:tc>
          <w:tcPr>
            <w:tcW w:type="dxa" w:w="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9099"/>
                <w:spacing w:val="20"/>
                <w:sz w:val="15"/>
                <w:szCs w:val="15"/>
              </w:rPr>
              <w:t xml:space="preserve">ENSO WINTER SIGNAL</w:t>
            </w:r>
          </w:p>
        </w:tc>
      </w:tr>
      <w:tr>
        <w:tc>
          <w:tcPr>
            <w:tcW w:type="dxa" w:w="334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9870C"/>
                <w:sz w:val="19"/>
                <w:szCs w:val="19"/>
              </w:rPr>
              <w:t xml:space="preserve">Southwest belt</w:t>
            </w:r>
            <w:r>
              <w:rPr>
                <w:rFonts w:ascii="Calibri" w:cs="Calibri" w:eastAsia="Calibri" w:hAnsi="Calibri"/>
                <w:color w:val="434B52"/>
                <w:sz w:val="19"/>
                <w:szCs w:val="19"/>
              </w:rPr>
              <w:t xml:space="preserve"> (CA · NM · AZ · NV · CO · UT)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83.8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~23%</w:t>
            </w:r>
          </w:p>
        </w:tc>
        <w:tc>
          <w:tcPr>
            <w:tcW w:type="dxa" w:w="332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434B52"/>
                <w:sz w:val="18"/>
                <w:szCs w:val="18"/>
              </w:rPr>
              <w:t xml:space="preserve">moderate-high: the one slice with a real El Niño winter-irradiance signal</w:t>
            </w:r>
          </w:p>
        </w:tc>
      </w:tr>
      <w:tr>
        <w:tc>
          <w:tcPr>
            <w:tcW w:type="dxa" w:w="334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434B52"/>
                <w:sz w:val="19"/>
                <w:szCs w:val="19"/>
              </w:rPr>
              <w:t xml:space="preserve">PNW / Mountain West (ID · OR · WA)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23.5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~6%</w:t>
            </w:r>
          </w:p>
        </w:tc>
        <w:tc>
          <w:tcPr>
            <w:tcW w:type="dxa" w:w="332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434B52"/>
                <w:sz w:val="18"/>
                <w:szCs w:val="18"/>
              </w:rPr>
              <w:t xml:space="preserve">secondary; dominated by Mt. Home 1 (ID)</w:t>
            </w:r>
          </w:p>
        </w:tc>
      </w:tr>
      <w:tr>
        <w:tc>
          <w:tcPr>
            <w:tcW w:type="dxa" w:w="334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434B52"/>
                <w:sz w:val="19"/>
                <w:szCs w:val="19"/>
              </w:rPr>
              <w:t xml:space="preserve">Upper Midwest / Mid-Atlantic / Northeast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101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255.0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8A9099"/>
                <w:sz w:val="18"/>
                <w:szCs w:val="18"/>
              </w:rPr>
              <w:t xml:space="preserve">~70%</w:t>
            </w:r>
          </w:p>
        </w:tc>
        <w:tc>
          <w:tcPr>
            <w:tcW w:type="dxa" w:w="3320"/>
            <w:tcBorders>
              <w:top w:val="none"/>
              <w:left w:val="none"/>
              <w:bottom w:val="single" w:color="E5E5E5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434B52"/>
                <w:sz w:val="18"/>
                <w:szCs w:val="18"/>
              </w:rPr>
              <w:t xml:space="preserve">low / noisy: not a clean solar lever</w:t>
            </w:r>
          </w:p>
        </w:tc>
      </w:tr>
    </w:tbl>
    <w:p>
      <w:pPr>
        <w:spacing w:after="70" w:before="80" w:line="272"/>
      </w:pPr>
      <w:r>
        <w:rPr>
          <w:rFonts w:ascii="Calibri" w:cs="Calibri" w:eastAsia="Calibri" w:hAnsi="Calibri"/>
          <w:color w:val="434B52"/>
          <w:sz w:val="21"/>
          <w:szCs w:val="21"/>
        </w:rPr>
        <w:t xml:space="preserve">Largest single assets: </w:t>
      </w:r>
      <w:r>
        <w:rPr>
          <w:rFonts w:ascii="Calibri" w:cs="Calibri" w:eastAsia="Calibri" w:hAnsi="Calibri"/>
          <w:b/>
          <w:bCs/>
          <w:color w:val="C9870C"/>
          <w:sz w:val="21"/>
          <w:szCs w:val="21"/>
        </w:rPr>
        <w:t xml:space="preserve">Mt. Home Solar 1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 (EIA </w:t>
      </w:r>
      <w:r>
        <w:rPr>
          <w:rFonts w:ascii="Consolas" w:cs="Consolas" w:eastAsia="Consolas" w:hAnsi="Consolas"/>
          <w:color w:val="8A9099"/>
          <w:sz w:val="19"/>
          <w:szCs w:val="19"/>
        </w:rPr>
        <w:t xml:space="preserve">59695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20 MW, Elmore Co. ID), Kieffer Funk (</w:t>
      </w:r>
      <w:r>
        <w:rPr>
          <w:rFonts w:ascii="Consolas" w:cs="Consolas" w:eastAsia="Consolas" w:hAnsi="Consolas"/>
          <w:color w:val="8A9099"/>
          <w:sz w:val="19"/>
          <w:szCs w:val="19"/>
        </w:rPr>
        <w:t xml:space="preserve">69570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12 MW, MD), Wheeler Gulch Solar (</w:t>
      </w:r>
      <w:r>
        <w:rPr>
          <w:rFonts w:ascii="Consolas" w:cs="Consolas" w:eastAsia="Consolas" w:hAnsi="Consolas"/>
          <w:color w:val="8A9099"/>
          <w:sz w:val="19"/>
          <w:szCs w:val="19"/>
        </w:rPr>
        <w:t xml:space="preserve">69287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9.9 MW, CO), City of Gallup Solar (</w:t>
      </w:r>
      <w:r>
        <w:rPr>
          <w:rFonts w:ascii="Consolas" w:cs="Consolas" w:eastAsia="Consolas" w:hAnsi="Consolas"/>
          <w:color w:val="8A9099"/>
          <w:sz w:val="19"/>
          <w:szCs w:val="19"/>
        </w:rPr>
        <w:t xml:space="preserve">62406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8 MW, NM).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3E4E59"/>
          <w:sz w:val="26"/>
          <w:szCs w:val="26"/>
        </w:rPr>
        <w:t xml:space="preserve">The mechanism</w:t>
      </w:r>
    </w:p>
    <w:p>
      <w:pPr>
        <w:spacing w:after="70" w:line="272"/>
      </w:pPr>
      <w:r>
        <w:rPr>
          <w:rFonts w:ascii="Calibri" w:cs="Calibri" w:eastAsia="Calibri" w:hAnsi="Calibri"/>
          <w:color w:val="434B52"/>
          <w:sz w:val="21"/>
          <w:szCs w:val="21"/>
        </w:rPr>
        <w:t xml:space="preserve">El Niño strengthens the subtropical jet, which steers wetter, cloudier winters across California and the Southwest. Cloudier winters mean lower plane-of-array irradiance, which means a lower winter solar capacity factor. The catch is that it lands on a baseline that is already the seasonal trough. Mt. Home 1 runs a December capacity factor near 0.07 to 0.15 against a June peak near 0.35 to 0.46. The El Niño signal nudges that thin winter floor a little lower. It does not move the summer.</w:t>
      </w:r>
    </w:p>
    <w:tbl>
      <w:tblPr>
        <w:tblW w:type="dxa" w:w="9360"/>
        <w:tblBorders>
          <w:top w:val="single" w:color="E5E5E5" w:sz="6"/>
          <w:left w:val="single" w:color="E5E5E5" w:sz="6"/>
          <w:bottom w:val="single" w:color="E5E5E5" w:sz="6"/>
          <w:right w:val="single" w:color="E5E5E5" w:sz="6"/>
          <w:insideH w:val="single" w:color="E5E5E5" w:sz="6"/>
          <w:insideV w:val="none"/>
        </w:tblBorders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shd w:fill="F6F7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8A9099"/>
                <w:sz w:val="17"/>
                <w:szCs w:val="17"/>
              </w:rPr>
              <w:t xml:space="preserve">Exposure concentration, not a loss figure: where the book’s MW sit by ENSO region, beside the winter trough the signal perturbs.   </w:t>
            </w:r>
            <w:r>
              <w:rPr>
                <w:rFonts w:ascii="Consolas" w:cs="Consolas" w:eastAsia="Consolas" w:hAnsi="Consolas"/>
                <w:color w:val="8A9099"/>
                <w:sz w:val="15"/>
                <w:szCs w:val="15"/>
              </w:rPr>
              <w:t xml:space="preserve">source: InfraSure plants_by_owner + get_plant(59695) · as of 2026-06-15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3E4E59"/>
          <w:sz w:val="26"/>
          <w:szCs w:val="26"/>
        </w:rPr>
        <w:t xml:space="preserve">What it means for the book</w:t>
      </w:r>
    </w:p>
    <w:p>
      <w:pPr>
        <w:spacing w:after="70" w:line="272"/>
      </w:pPr>
      <w:r>
        <w:rPr>
          <w:rFonts w:ascii="Calibri" w:cs="Calibri" w:eastAsia="Calibri" w:hAnsi="Calibri"/>
          <w:color w:val="434B52"/>
          <w:sz w:val="21"/>
          <w:szCs w:val="21"/>
        </w:rPr>
        <w:t xml:space="preserve">About a quarter of the megawatts carry a directional, low-confidence downside to winter capacity factor under a strengthening El Niño, concentrated in December through February. The other roughly three-quarters sits in regions where ENSO’s winter signal is weak or noisy, so the aggregate weather-normalized solar budget is only modestly El Niño-sensitive. For an </w:t>
      </w:r>
      <w:r>
        <w:rPr>
          <w:rFonts w:ascii="Calibri" w:cs="Calibri" w:eastAsia="Calibri" w:hAnsi="Calibri"/>
          <w:b/>
          <w:bCs/>
          <w:color w:val="2B3138"/>
          <w:sz w:val="21"/>
          <w:szCs w:val="21"/>
        </w:rPr>
        <w:t xml:space="preserve">owner-operator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that means one action: shade the 2026-27 winter budget for the 83.8 MW Southwest belt toward the firmer-El-Niño end of the historical band, and leave the rest alone. For an </w:t>
      </w:r>
      <w:r>
        <w:rPr>
          <w:rFonts w:ascii="Calibri" w:cs="Calibri" w:eastAsia="Calibri" w:hAnsi="Calibri"/>
          <w:b/>
          <w:bCs/>
          <w:color w:val="2B3138"/>
          <w:sz w:val="21"/>
          <w:szCs w:val="21"/>
        </w:rPr>
        <w:t xml:space="preserve">investor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the concentration risk here is low by design. For a </w:t>
      </w:r>
      <w:r>
        <w:rPr>
          <w:rFonts w:ascii="Calibri" w:cs="Calibri" w:eastAsia="Calibri" w:hAnsi="Calibri"/>
          <w:b/>
          <w:bCs/>
          <w:color w:val="2B3138"/>
          <w:sz w:val="21"/>
          <w:szCs w:val="21"/>
        </w:rPr>
        <w:t xml:space="preserve">lender</w:t>
      </w:r>
      <w:r>
        <w:rPr>
          <w:rFonts w:ascii="Calibri" w:cs="Calibri" w:eastAsia="Calibri" w:hAnsi="Calibri"/>
          <w:color w:val="434B52"/>
          <w:sz w:val="21"/>
          <w:szCs w:val="21"/>
        </w:rPr>
        <w:t xml:space="preserve">, a book this diversified is a weaker weather-driven DSCR story than a concentrated California utility-scale book would be. The shape of the fleet is the reassurance, and it is a real count: 129 plants averaging 2.8 MW means weather cannot concentrate where it hurts.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8E0B" w:sz="18"/>
              <w:bottom w:val="none"/>
              <w:right w:val="none"/>
            </w:tcBorders>
            <w:shd w:fill="F6F7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8E0B"/>
                <w:spacing w:val="30"/>
                <w:sz w:val="16"/>
                <w:szCs w:val="16"/>
              </w:rPr>
              <w:t xml:space="preserve">WHAT’S STILL RESOLVING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434B52"/>
                <w:sz w:val="19"/>
                <w:szCs w:val="19"/>
              </w:rPr>
              <w:t xml:space="preserve">This is an odds shift, not an outcome. Event strength is a forecast, not a settled number, and a single winter can defy the composite: winter 2022-23 was a La Niña that ran wet in California. We run no production or price model here, so no per-plant MWh or revenue figure is asserted, only direction. Revenue translation also depends on each site’s offtake structure (mostly fixed-price community-solar subscriber contracts), which we have not resolved per asset.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3E4E59"/>
          <w:sz w:val="26"/>
          <w:szCs w:val="26"/>
        </w:rPr>
        <w:t xml:space="preserve">Watch next</w:t>
      </w:r>
    </w:p>
    <w:p>
      <w:pPr>
        <w:spacing w:after="70" w:line="272"/>
      </w:pPr>
      <w:r>
        <w:rPr>
          <w:rFonts w:ascii="Calibri" w:cs="Calibri" w:eastAsia="Calibri" w:hAnsi="Calibri"/>
          <w:color w:val="434B52"/>
          <w:sz w:val="21"/>
          <w:szCs w:val="21"/>
        </w:rPr>
        <w:t xml:space="preserve">Re-pull the ENSO forecast as event strength resolves through summer and fall 2026. If a very strong event firms up, hold the Southwest-belt budget at the lower end of the band. If the signal softens toward a moderate event, relax it.</w:t>
      </w:r>
    </w:p>
    <w:sectPr>
      <w:headerReference w:type="default" r:id="rId7"/>
      <w:footerReference w:type="default" r:id="rId8"/>
      <w:pgSz w:w="12240" w:h="15840" w:orient="portrait"/>
      <w:pgMar w:top="1040" w:right="1440" w:bottom="10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6" w:space="6"/>
      </w:pBdr>
      <w:spacing w:before="40"/>
    </w:pPr>
    <w:r>
      <w:rPr>
        <w:rFonts w:ascii="Consolas" w:cs="Consolas" w:eastAsia="Consolas" w:hAnsi="Consolas"/>
        <w:color w:val="8A9099"/>
        <w:sz w:val="15"/>
        <w:szCs w:val="15"/>
      </w:rPr>
      <w:t xml:space="preserve">NOAA CPC ENSO Diagnostic Discussion · El Niño Advisory, expected to strengthen into winter 2026-27 · accessed 2026-06-15</w:t>
    </w:r>
  </w:p>
  <w:p>
    <w:r>
      <w:rPr>
        <w:rFonts w:ascii="Consolas" w:cs="Consolas" w:eastAsia="Consolas" w:hAnsi="Consolas"/>
        <w:color w:val="8A9099"/>
        <w:sz w:val="15"/>
        <w:szCs w:val="15"/>
      </w:rPr>
      <w:t xml:space="preserve">InfraSure plants_by_owner(“Standard Solar”) · 129 plants / 362.3 MW / avg 2.81 MW · SW 25/83.8 · PNW 3/23.5 · MW+NE 101/255 · as of 2026-06-15</w:t>
    </w:r>
  </w:p>
  <w:p>
    <w:pPr>
      <w:spacing w:after="60"/>
    </w:pPr>
    <w:r>
      <w:rPr>
        <w:rFonts w:ascii="Consolas" w:cs="Consolas" w:eastAsia="Consolas" w:hAnsi="Consolas"/>
        <w:color w:val="8A9099"/>
        <w:sz w:val="15"/>
        <w:szCs w:val="15"/>
      </w:rPr>
      <w:t xml:space="preserve">InfraSure get_plant(59695) · Mt. Home 1, monthly CF Dec ~0.07-0.15 / Jun ~0.35-0.46 · as of 2026-06-15</w:t>
    </w:r>
  </w:p>
  <w:p>
    <w:pPr>
      <w:tabs>
        <w:tab w:val="right" w:pos="9360"/>
      </w:tabs>
    </w:pPr>
    <w:r>
      <w:rPr>
        <w:rFonts w:ascii="Calibri" w:cs="Calibri" w:eastAsia="Calibri" w:hAnsi="Calibri"/>
        <w:color w:val="8A9099"/>
        <w:sz w:val="16"/>
        <w:szCs w:val="16"/>
      </w:rPr>
      <w:t xml:space="preserve">InfraSure Insights · </w:t>
    </w:r>
    <w:hyperlink w:history="1" r:id="rIdnusi2kwtfuriafzjapv4_">
      <w:r>
        <w:rPr>
          <w:rFonts w:ascii="Calibri" w:cs="Calibri" w:eastAsia="Calibri" w:hAnsi="Calibri"/>
          <w:color w:val="00A862"/>
          <w:sz w:val="16"/>
          <w:szCs w:val="16"/>
        </w:rPr>
        <w:t xml:space="preserve">infrasure.ai</w:t>
      </w:r>
    </w:hyperlink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A9099"/>
        <w:sz w:val="16"/>
        <w:szCs w:val="16"/>
      </w:rPr>
      <w:t xml:space="preserve">confidence LOW · directional, not a forecast · page </w:t>
    </w:r>
    <w:r>
      <w:rPr>
        <w:rFonts w:ascii="Calibri" w:cs="Calibri" w:eastAsia="Calibri" w:hAnsi="Calibri"/>
        <w:color w:val="8A90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6" w:space="6"/>
      </w:pBdr>
      <w:tabs>
        <w:tab w:val="right" w:pos="9360"/>
      </w:tabs>
      <w:spacing w:after="40"/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2B3138"/>
        <w:sz w:val="19"/>
        <w:szCs w:val="19"/>
      </w:rPr>
      <w:t xml:space="preserve">  InfraSure </w:t>
    </w:r>
    <w:r>
      <w:rPr>
        <w:rFonts w:ascii="Calibri" w:cs="Calibri" w:eastAsia="Calibri" w:hAnsi="Calibri"/>
        <w:color w:val="8A9099"/>
        <w:sz w:val="19"/>
        <w:szCs w:val="19"/>
      </w:rPr>
      <w:t xml:space="preserve">Insights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00A862"/>
        <w:spacing w:val="30"/>
        <w:sz w:val="16"/>
        <w:szCs w:val="16"/>
      </w:rPr>
      <w:t xml:space="preserve">EXPOSURE BRIEF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0A86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34B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6a39dbe17d34167a7409106d532d224ee4af8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nusi2kwtfuriafzjapv4_" Type="http://schemas.openxmlformats.org/officeDocument/2006/relationships/hyperlink" Target="https://www.infrasure.ai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26df8a6089ab2d752fc21b0dea4b55beab92f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ENSO Exposure: Standard Solar, Winter 2026-27</dc:title>
  <dc:creator>InfraSure Insights</dc:creator>
  <cp:lastModifiedBy>Un-named</cp:lastModifiedBy>
  <cp:revision>1</cp:revision>
  <dcterms:created xsi:type="dcterms:W3CDTF">2026-06-15T18:15:34.743Z</dcterms:created>
  <dcterms:modified xsi:type="dcterms:W3CDTF">2026-06-15T18:15:34.743Z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