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Red Dog Mine — Bottom-Up Climate-Risk Read</w:t>
      </w:r>
    </w:p>
    <w:p>
      <w:pPr>
        <w:spacing w:after="220"/>
      </w:pPr>
      <w:r>
        <w:rPr>
          <w:rFonts w:ascii="JetBrains Mono" w:cs="JetBrains Mono" w:eastAsia="JetBrains Mono" w:hAnsi="JetBrains Mono"/>
          <w:color w:val="737373"/>
          <w:sz w:val="18"/>
          <w:szCs w:val="18"/>
        </w:rPr>
        <w:t xml:space="preserve">For: InfraSure team (internal)   ·   As of 2026-06-14   ·   Re-grounded 2026-06-15   ·   Draft v1 (for review before any external use)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470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before="0" w:line="3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Re-ground (2026-06-15)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: the moving facts were re-verified against live public sources.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Updated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: the Anglo–Teck merger (Canada + South Korea now cleared;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only China remains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Confirmed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: the ADEC permit (reissuance public-noticed, ~2036 runway) and the forward production decline.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Base check (held the line)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: the company-total 2025 zinc figure is ~565 kt, but that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Teck-total (Red Dog + Antamina)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— Red Dog's own ~462,700 t below is the right base and is unchanged; the two must not be conflated.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Candidate to verify before external use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: Teck reportedly cites </w:t>
            </w:r>
            <w:r>
              <w:rPr>
                <w:rFonts w:ascii="Arial" w:cs="Arial" w:eastAsia="Arial" w:hAnsi="Arial"/>
                <w:i/>
                <w:iCs/>
                <w:color w:val="0A0A0A"/>
                <w:sz w:val="22"/>
                <w:szCs w:val="22"/>
              </w:rPr>
              <w:t xml:space="preserve">wetter weather limiting reserve access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among the decline drivers — a direct confirmation of §3 if matched to Teck's exact wording.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470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before="0" w:line="3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What this is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: a worked, </w:t>
            </w:r>
            <w:r>
              <w:rPr>
                <w:rFonts w:ascii="Arial" w:cs="Arial" w:eastAsia="Arial" w:hAnsi="Arial"/>
                <w:i/>
                <w:iCs/>
                <w:color w:val="0A0A0A"/>
                <w:sz w:val="22"/>
                <w:szCs w:val="22"/>
              </w:rPr>
              <w:t xml:space="preserve">bottom-up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climate-risk read on a single off-substrate asset — Teck/NANA's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Red Dog Mine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, NW Arctic Alaska — produced by the reverse-engineering method (research + the model + our methodology),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not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the InfraSure platform. It is the proof case for handling outliers that fall outside our energy-infrastructure substrate.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A831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before="0" w:line="3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Grounding honesty (read first)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: this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research-grounded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— public sources (primary regulatory filings, Teck disclosures, peer-reviewed science, reporting) disciplined by our claim/confidence/gate rules. It uses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no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InfraSure MCP data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no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model-gpr output. The value here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rigor + currency + the energy-infrastructure framing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, not proprietary data. It deliberately does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not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re-do the existing LT-Risk deck; it adds what the deck lacks.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470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A0A0A"/>
                <w:sz w:val="28"/>
                <w:szCs w:val="28"/>
              </w:rPr>
              <w:t xml:space="preserve">TL;DR</w:t>
            </w:r>
          </w:p>
          <w:p>
            <w:pPr>
              <w:spacing w:after="0" w:before="0" w:line="33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Red Dog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single-point-of-failure energy-and-logistics asset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in the fastest-warming region on Earth. Everything the mine needs (a year of diesel) and everything it sells (its entire zinc/lead concentrate) moves through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one gravel road to one shallow Chukchi-Sea port that is ice-free only ~100 days a year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— so the same shrinking-and-stormier open-water window gates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both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energy-in and revenue-out. That coupling is the climate exposure the existing risk deck never framed, and it is squarely InfraSure's lane. Layered on top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permafrost-driven water-balance crisis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that a US regulator has formally conceded </w:t>
            </w:r>
            <w:r>
              <w:rPr>
                <w:rFonts w:ascii="Arial" w:cs="Arial" w:eastAsia="Arial" w:hAnsi="Arial"/>
                <w:i/>
                <w:iCs/>
                <w:color w:val="0A0A0A"/>
                <w:sz w:val="22"/>
                <w:szCs w:val="22"/>
              </w:rPr>
              <w:t xml:space="preserve">cannot be fixed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(a 10-year compliance runway to ~2036), pushing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~$279M adaptation capex onto a mine with only ~6 years of ore left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, an escalating royalty, and an owner mid-merger into a copper-focused major. The decision-relevant tail risk — a diesel-tank or tailings-dam failure on thawing ground — is exactly the geometry that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destroyed Norilsk in 2020 (~$2B)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, and the asset-level numbers that would price it (fuel autonomy, dam factor-of-safety, foundation engineering)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not disclosed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— a finding in itself.</w:t>
            </w:r>
          </w:p>
        </w:tc>
      </w:tr>
    </w:tbl>
    <w:p>
      <w:pPr>
        <w:spacing w:after="200"/>
      </w:pPr>
    </w:p>
    <w:p>
      <w:pPr>
        <w:pBdr>
          <w:bottom w:val="single" w:color="E5E5E5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 · The asset in one screen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470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Red Dog Mine — world's largest zinc mine · Teck Resources operates · NANA Regional Corp. (Iñupiat) owns the land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  NW Arctic Alaska, ~68.1°N (170 km N of the Arctic Circle) · open-pit zinc/lead · runs 24/7/365 · air-only access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  OFF-GRID: ~25 MW typical demand on diesel gensets (installed capacity contested 24.5–40+ MW)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  ~52-mi state-owned (AIDEA) gravel haul road  →  one shallow Chukchi port (no dock; barges lighter to ships offshore)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  FY2025: 462,700 t contained zinc (↓~17% from 555,600 t in 2024, on falling grades) · ore life ~2032</w:t>
            </w:r>
          </w:p>
        </w:tc>
      </w:tr>
    </w:tbl>
    <w:p>
      <w:pPr>
        <w:spacing w:after="80"/>
      </w:pPr>
    </w:p>
    <w:p>
      <w:pPr>
        <w:spacing w:after="200" w:before="40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Sources: Alaska DNR; NS Energy; AIDEA; FindAPort; Teck FY2025 production (Feb 2026). Confidence: high (the contested item — generator nameplate — is flagged in §6).</w:t>
      </w:r>
    </w:p>
    <w:p>
      <w:pPr>
        <w:pBdr>
          <w:bottom w:val="single" w:color="E5E5E5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 · The lead exposure — a coupled energy-and-logistics chokepoint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This is the framing the LT-Risk deck missed, and it's the most decision-relevant climate linkage at the asset: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470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ONE ~100-day ice-free window (≈ July–October) carries BOTH: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   ENERGY-IN     the year's diesel — ~15.5M gal/yr (mine) + ~1.4M (transport); ~40,000 gal/day; barged into 6 port tanks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   REVENUE-OUT   the entire annual concentrate export — mine produces year-round, stockpiles, ships only in the window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→ a short, late, or stormy open-water season threatens fuel security AND revenue timing simultaneously.</w:t>
            </w:r>
          </w:p>
        </w:tc>
      </w:tr>
    </w:tbl>
    <w:p>
      <w:pPr>
        <w:spacing w:after="120"/>
      </w:pPr>
    </w:p>
    <w:p>
      <w:pPr>
        <w:spacing w:after="160" w:before="0" w:line="330" w:lineRule="auto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This is not hypothetical.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In late 2025,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"weather and sea conditions"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delayed shipments into early 2026, and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Q4-2025 Red Dog gross profit fell to ~$200M (from ~$303M a year earlier)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on the timing — climate variability already moving the P&amp;L through the logistics window.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(Teck Q4-2025 results, Feb 2026 — fact/high.)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Two structural amplifiers: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Sea-ice retreat cuts both ways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: it can lengthen the shipping window (operational upside)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but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removes the landfast-ice buffer that protected the coast — the same coastal cell is eroding fast at nearby Kivalina. The port relies on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offshore lightering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, so it is exposed to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sea state and storms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, not just ice.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(AIDEA; Ground Truth Alaska — fact/medium.)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The single-window dependency is undisclosed at the point that matters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: how many days of fuel the site can run if a resupply season is missed or cut short is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not public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(see §6). An 8.8 MW solar array (Tugliq, ~2 MW summer-effective, tax-credit-timed to start mid-2026) dents diesel but does not change the resupply dependency.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(Alaska Beacon, Mar 2026 — fact/high; the "dents not displaces" read is ours.)</w:t>
      </w:r>
    </w:p>
    <w:p>
      <w:pPr>
        <w:pBdr>
          <w:bottom w:val="single" w:color="E5E5E5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 · Permafrost → a water-balance crisis the regulator calls unfixable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second pillar is documented in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primary regulatory text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, not just press: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470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permafrost thaw → naturally elevated TDS in receiving waters → lost mixing-zone capacity → discharge blocked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   +  a wetter Arctic → tailings/contact water +60% (3.3B → 5.3B gallons, 2017–2021) → encroaches on dam freeboard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Alaska DEC is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reissuing the discharge permit (APDES AK0038652) with a 10-year compliance-schedule extension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(public-noticed; effective after May 19, 2026, to ~2036), stating in its own Statement of Basis (2026-04-09) that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"there is no reasonably available remedy to the thawing of permafrost and its impact on the receiving waters."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A US regulator formally conceding a Clean-Water-Act limit can't be met because of permafrost is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decision-relevant and unusual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(ADEC SOB — fact/high.)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Note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: this corrects the deck's "permit expiring 2026" — it was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extended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, and the runway now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outlives the ~2032 ore life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, shifting the binding constraint toward closure-phase water treatment.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ADEC states stored water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"threatens the safety of the tailings impoundment dams,"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with a tail risk of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"dam failure"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/ untreated-drainage release. The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Aug-2012 storm (15.2 in rain) exceeded the tailings dam's design flood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the infrastructure has already operated outside its design envelope.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(ADEC SOB — fact/high; this is the single strongest data point that the asset is past-envelope.)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mitigation under evaluation is a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~$279M, ~50-mile pipeline to the Chukchi Sea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"more than half of Red Dog's annual gross profit"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one of four options,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not committed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~$19M was already spent on thaw-driven wastewater in 2020 alone.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(Northern Journal Dec 2025; Alaska Public Media 2020; ADEC SOB — fact/high; the pipeline is an estimate under evaluation — projection.)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regional driver is real and independent of the mine: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"river rusting"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thaw-exposed sulfide weathering turning 75+ (200+) Brooks Range streams orange — with on-site seeps measured at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pH 3.2 and TDS to 11,300 mg/L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(O'Donnell 2024 / NOAA Arctic Report Card 2025; ADEC SOB — fact/high.)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Context for the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rate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: the Arctic has warmed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~4× the global average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since 1979, and climate models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under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-state it — so the signal arrives faster than scenario planning assumes, compressing adaptation lead-time.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(Rantanen 2022, Nature Comms — fact/high.)</w:t>
      </w:r>
    </w:p>
    <w:p>
      <w:pPr>
        <w:pBdr>
          <w:bottom w:val="single" w:color="E5E5E5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 · The decision frame — a fading asset asked to fund a costly adaptation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What makes this a genuine decision (not just a hazard list) is the collision of climate capex with late-life economics: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470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A FADING asset           ore ~2032; Red Dog zinc guided DOWN 2026 375–415 kt → 2027 330–370 → 2028 230–270 kt; extension (Aktigiruq/Anarraaq) only pre-feasibility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A rising cost base       NANA royalty ratchets 40% (2022) → 45% (Oct 2027) → 50% max, as grades/tonnage fall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Ownership in flux        Anglo–Teck merger announced Sept 2025, shareholder-approved Dec 2025; Canada + S. Korea cleared,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                         ONLY CHINA remains (as of Jun 2026), close ~Q3-2026–Q1-2027 → Red Dog a non-core zinc slice of a &gt;70%-COPPER major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A long-tail liability     state closure assurance ~$558M + PERPETUAL post-closure water treatment (outlives the revenue)</w:t>
            </w:r>
          </w:p>
        </w:tc>
      </w:tr>
    </w:tbl>
    <w:p>
      <w:pPr>
        <w:spacing w:after="80"/>
      </w:pPr>
    </w:p>
    <w:p>
      <w:pPr>
        <w:spacing w:after="200" w:before="40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Sources: Teck production guidance + MD&amp;A; North of 60 Mining News; Teck/Anglo merger releases; Alaska DNR. Confidence: high (figures), with mine-life ~2032 and the extension as projections.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sharp frame, from the Arctic-infrastructure literature: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near-term permafrost risk is largely mitigation-insensitive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for an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existing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asset,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adaptation, not decarbonization, is the only lever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(Hjort et al. 2018, Nature Comms)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So the question Red Dog's owner actually faces is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how much adaptation capex to sink into a depleting, soon-to-change-hands asset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a ~$279M pipeline (and "hundreds of millions over a decade" for a permanent fix) against ~6 years of declining ore. That tension — not a generic risk rating — is the read a decision-maker needs.</w:t>
      </w:r>
    </w:p>
    <w:p>
      <w:pPr>
        <w:pBdr>
          <w:bottom w:val="single" w:color="E5E5E5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 · Why this generalizes — the outlier class + a realized precedent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Red Dog instantiates a class InfraSure will meet again: the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remote, off-grid, cold-region industrial asset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islanded on a diesel microgrid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+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dependent on a single climate-sensitive logistics window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+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built on degrading permafrost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The method transfers to the next one (another mine, a port, a remote data center).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The realized precedent — Norilsk, 2020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: a diesel storage tank on thaw-weakened permafrost piles collapsed →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~21,000 t spill, ~$2B in damages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the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exact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Red Dog risk geometry, realized.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(ERM / press — fact/high.)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This is why the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fuel-farm foundation engineering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(§6) is the most important number we don't have.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The mirror precedent — winter ice roads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(Tibbitt–Contwoyto, serving NWT diamond mines): the same narrowing-seasonal-window risk,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opposite sign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(they need ice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present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; Red Dog needs it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absent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) — showing the "single climate-sensitive window" is the portable risk concept.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(Reuters — fact/high.)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Frameworks that anchor the class: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IPCC AR6 WG2 CCP6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("warming and wetting"; most Arctic infrastructure impacted by mid-century, high confidence);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Hjort 2018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(33–69% of pan-Arctic infrastructure on thawing permafrost by 2050);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AMAP/SWIPA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</w:t>
      </w:r>
    </w:p>
    <w:p>
      <w:pPr>
        <w:pBdr>
          <w:bottom w:val="single" w:color="E5E5E5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 · What we can't know — and why that's a finding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A disciplined read names its blind spots rather than guessing. For Red Dog, the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most decision-relevant numbers are not public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A831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· DAYS OF FUEL AUTONOMY if an open-water window is missed/short — undisclosed (the latent single-point-of-failure)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· TAILINGS-DAM factor-of-safety / current freeboard margin — undisclosed (ADEC says it's threatened; the margin isn't public)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· FUEL-FARM FOUNDATION engineering (piles to bedrock? thermosyphons?) — undisclosed (this is exactly the Norilsk failure mode)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· ASSET-LEVEL FINANCIALS — Red Dog has no standalone public P&amp;L (reported inside Teck's zinc segment; ~CAD $846M of the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  segment's $1,143M FY2025 gross-profit-before-D&amp;A is the closest anchor) — so margin-at-risk can't be priced precisely</w:t>
            </w:r>
          </w:p>
        </w:tc>
      </w:tr>
    </w:tbl>
    <w:p>
      <w:pPr>
        <w:spacing w:after="80"/>
      </w:pPr>
    </w:p>
    <w:p>
      <w:pPr>
        <w:spacing w:after="200" w:before="40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These gaps are the honest boundary of a research-grounded read — and the precise questions a pilot/data-exchange would close.</w:t>
      </w:r>
    </w:p>
    <w:p>
      <w:pPr>
        <w:pBdr>
          <w:bottom w:val="single" w:color="E5E5E5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7 · What InfraSure would actually add here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Honest version, for the team: a generic consultant or a vanilla LLM can produce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a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Red Dog climate narrative. What this read demonstrates that they don't is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(1) the energy-infrastructure framing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(the coupled diesel-in/revenue-out chokepoint — our lane, the deck's blind spot),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(2) discipline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(every claim sourced, dated, and confidence-rated; the deck's stale points corrected; nothing over-quantified), and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(3) gap-honesty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(we name the undisclosed numbers a pilot would resolve). The platform/MCP and model-gpr do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not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reach this asset — and we say so. That combination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is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the capability worth showing Teck: not "we already have your data," but "here is how rigorously and quickly we reason about an asset we've never been given data for."</w:t>
      </w:r>
    </w:p>
    <w:p>
      <w:pPr>
        <w:pBdr>
          <w:bottom w:val="single" w:color="E5E5E5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Sources &amp; provenance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37373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PRIMARY/REGULATORY  Alaska DEC APDES AK0038652 Statement of Basis (2026-04-09) · Alaska DNR Large Mines (Red Dog) · AIDEA (DMTS)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COMPANY             Teck Q4/FY2025 results (Feb 2026) · Teck production guidance + MD&amp;A · Teck–Anglo merger releases (Sept/Dec 2025)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PEER-REVIEWED       Rantanen 2022 (Arctic ~4× warming) · Hjort 2018 (pan-Arctic infra exposure) · O'Donnell 2024 (river rusting) · IPCC AR6 WG2 CCP6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REPORTING           Northern Journal / Alaska Beacon / Anchorage Daily News (permafrost, solar, fuel) · Fastmarkets · North of 60 Mining News · Ground Truth Alaska (critical-stakeholder)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PRECEDENT           Norilsk 2020 diesel-tank collapse (ERM / press) · Tibbitt–Contwoyto winter ice road (Reuters)</w:t>
            </w:r>
          </w:p>
          <w:p>
            <w:pPr>
              <w:spacing w:after="0" w:line="210" w:lineRule="auto"/>
            </w:pPr>
            <w:r>
              <w:rPr>
                <w:rFonts w:ascii="JetBrains Mono" w:cs="JetBrains Mono" w:eastAsia="JetBrains Mono" w:hAnsi="JetBrains Mono"/>
                <w:color w:val="0A0A0A"/>
                <w:sz w:val="14"/>
                <w:szCs w:val="14"/>
              </w:rPr>
              <w:t xml:space="preserve">RE-GROUND 2026-06-15  Teck 2025 Production &amp; Sales Update (teck.com, 2026-02) · merger: Canada + S. Korea cleared, China pending (MLex; mining.com, 2026) · ADEC AK0038652 reissuance public notice + SOB (2026-04-09)</w:t>
            </w:r>
          </w:p>
        </w:tc>
      </w:tr>
    </w:tbl>
    <w:p>
      <w:pPr>
        <w:spacing w:after="80"/>
      </w:pPr>
    </w:p>
    <w:p>
      <w:pPr>
        <w:spacing w:after="200" w:before="40"/>
      </w:pPr>
      <w:r>
        <w:rPr>
          <w:rFonts w:ascii="Arial" w:cs="Arial" w:eastAsia="Arial" w:hAnsi="Arial"/>
          <w:i w:val="false"/>
          <w:iCs w:val="false"/>
          <w:color w:val="737373"/>
          <w:sz w:val="18"/>
          <w:szCs w:val="18"/>
        </w:rPr>
        <w:t xml:space="preserve">*Full per-claim provenance (named source · URL · date · confidence · fact-vs-projection) is in the research record behind `docs/discussion/2026-06-14_outlier_method_red_dog.md`. </w:t>
      </w:r>
      <w:r>
        <w:rPr>
          <w:rFonts w:ascii="Arial" w:cs="Arial" w:eastAsia="Arial" w:hAnsi="Arial"/>
          <w:b/>
          <w:bCs/>
          <w:i w:val="false"/>
          <w:iCs w:val="false"/>
          <w:color w:val="737373"/>
          <w:sz w:val="18"/>
          <w:szCs w:val="18"/>
        </w:rPr>
        <w:t xml:space="preserve">Research-grounded; not InfraSure MCP / model-gpr data.</w:t>
      </w:r>
      <w:r>
        <w:rPr>
          <w:rFonts w:ascii="Arial" w:cs="Arial" w:eastAsia="Arial" w:hAnsi="Arial"/>
          <w:i w:val="false"/>
          <w:iCs w:val="false"/>
          <w:color w:val="737373"/>
          <w:sz w:val="18"/>
          <w:szCs w:val="18"/>
        </w:rPr>
        <w:t xml:space="preserve">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4" w:space="6"/>
      </w:pBdr>
      <w:tabs>
        <w:tab w:val="right" w:pos="9360"/>
      </w:tabs>
      <w:spacing w:before="60"/>
    </w:pPr>
    <w:r>
      <w:rPr>
        <w:rFonts w:ascii="Arial" w:cs="Arial" w:eastAsia="Arial" w:hAnsi="Arial"/>
        <w:color w:val="737373"/>
        <w:sz w:val="18"/>
        <w:szCs w:val="18"/>
      </w:rPr>
      <w:t xml:space="preserve">InfraSure Insights · infrasure.ai</w:t>
    </w:r>
    <w:r>
      <w:rPr>
        <w:rFonts w:ascii="Arial" w:cs="Arial" w:eastAsia="Arial" w:hAnsi="Arial"/>
        <w:color w:val="737373"/>
        <w:sz w:val="18"/>
        <w:szCs w:val="18"/>
      </w:rPr>
      <w:t xml:space="preserve">	</w:t>
    </w:r>
    <w:r>
      <w:rPr>
        <w:rFonts w:ascii="Arial" w:cs="Arial" w:eastAsia="Arial" w:hAnsi="Arial"/>
        <w:color w:val="737373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4" w:space="6"/>
      </w:pBdr>
      <w:tabs>
        <w:tab w:val="right" w:pos="9360"/>
      </w:tabs>
      <w:spacing w:after="80"/>
    </w:pPr>
    <w:r>
      <w:drawing>
        <wp:inline distT="0" distB="0" distL="0" distR="0">
          <wp:extent cx="1257300" cy="314325"/>
          <wp:effectExtent t="0" r="0" b="0" l="0"/>
          <wp:docPr id="1" name="InfraSure" descr="InfraSure Insights logo" title="InfraS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0C470"/>
        <w:spacing w:val="14"/>
        <w:sz w:val="17"/>
        <w:szCs w:val="17"/>
      </w:rPr>
      <w:t xml:space="preserve">	CLIMATE RISK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0C47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97cb03b453201203a212918e3ef21bea5a5235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2026-06-16T02:28:01.339Z</dcterms:created>
  <dcterms:modified xsi:type="dcterms:W3CDTF">2026-06-16T02:28:01.339Z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