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Anlage: Äquivalenzliste PO2 / PO3 Informatik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jc w:val="center"/>
            </w:pPr>
            <w:r>
              <w:rPr>
                <w:b/>
              </w:rPr>
              <w:t>Modul PO2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</w:rPr>
              <w:t>ECTS PO2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</w:rPr>
              <w:t>Modul PO3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</w:rPr>
              <w:t>ECTS PO3</w:t>
            </w:r>
          </w:p>
        </w:tc>
      </w:tr>
      <w:tr>
        <w:tc>
          <w:tcPr>
            <w:tcW w:type="dxa" w:w="2700"/>
          </w:tcPr>
          <w:p>
            <w:r>
              <w:t>Algorithmen und Programmierung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Einführung in Betriebssysteme und Rechnerarchitektur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Einführungsprojekt in die Informatik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Mathematik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700"/>
          </w:tcPr>
          <w:p>
            <w:r>
              <w:t>Mathe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2700"/>
          </w:tcPr>
          <w:p>
            <w:r>
              <w:t>Theoretische Informatik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Algorithmen und Programmierung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Algorithmik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>
              <w:t>Algorithmen und Datenstrukturen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2700"/>
          </w:tcPr>
          <w:p>
            <w:r>
              <w:t>Betriebssysteme und verteilte Systeme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BWL - Grundlagen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Mathematik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700"/>
          </w:tcPr>
          <w:p>
            <w:r>
              <w:t>Mathe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2700"/>
          </w:tcPr>
          <w:p>
            <w:r>
              <w:t>Theoretische Informatik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Datenbanksysteme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Informations- und Prozessmanagement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Kommunikationstechnik und Netze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Projektmanagement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Softwaretechnik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Informatik und Gesellschaft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Informatik, Recht und Gesellschaft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Künstliche Intelligenz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>
              <w:t>Künstliche Intelligenz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2700"/>
          </w:tcPr>
          <w:p>
            <w:r>
              <w:t>Mensch-Computer-Interaktion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Paradigmen der Programmierung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Recht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Softwaretechnik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Spezielle Gebiete der Datenbanken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Praxissemester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Wahlspezialisierung 1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Wahlspezialisierung 2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Bachelorarbeit inkl. Kolloquium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  <w:tr>
        <w:tc>
          <w:tcPr>
            <w:tcW w:type="dxa" w:w="2700"/>
          </w:tcPr>
          <w:p>
            <w:r>
              <w:t>Praxisprojekt mit begleitendem Projektseminar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2700"/>
          </w:tcPr>
          <w:p>
            <w:pPr>
              <w:jc w:val="center"/>
            </w:pPr>
            <w:r/>
          </w:p>
        </w:tc>
      </w:tr>
    </w:tbl>
    <w:sectPr w:rsidR="00FC693F" w:rsidRPr="0006063C" w:rsidSect="00034616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