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Anlage: Äquivalenzliste PO2 / PO3 Informatik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jc w:val="center"/>
            </w:pPr>
            <w:r>
              <w:rPr>
                <w:b/>
              </w:rPr>
              <w:t>Modul PO2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</w:rPr>
              <w:t>ECTS PO2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</w:rPr>
              <w:t>Modul PO3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</w:rPr>
              <w:t>ECTS PO3</w:t>
            </w:r>
          </w:p>
        </w:tc>
      </w:tr>
      <w:tr>
        <w:tc>
          <w:tcPr>
            <w:tcW w:type="dxa" w:w="2700"/>
          </w:tcPr>
          <w:p>
            <w:r>
              <w:t>Algorithmen und Programmierung 1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Einführung in Betriebssysteme und Rechnerarchitektur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Einführungsprojekt in die Informatik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Mathematik 1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700"/>
          </w:tcPr>
          <w:p>
            <w:r>
              <w:t>Mathe 1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2700"/>
          </w:tcPr>
          <w:p>
            <w:r>
              <w:t>Theoretische Informatik 1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Algorithmen und Programmierung 2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Algorithmik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>
              <w:t>Algorithmen und Datenstrukturen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2700"/>
          </w:tcPr>
          <w:p>
            <w:r>
              <w:t>Betriebssysteme und verteilte Systeme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BWL - Grundlagen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Mathematik 2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700"/>
          </w:tcPr>
          <w:p>
            <w:r>
              <w:t>Mathe 2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2700"/>
          </w:tcPr>
          <w:p>
            <w:r>
              <w:t>Theoretische Informatik 2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Datenbanksysteme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Informations- und Prozessmanagement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Kommunikationstechnik und Netze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Projektmanagement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Softwaretechnik 1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Informatik und Gesellschaft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Informatik, Recht und Gesellschaft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Künstliche Intelligenz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>
              <w:t>Künstliche Intelligenz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-</w:t>
            </w:r>
          </w:p>
        </w:tc>
      </w:tr>
      <w:tr>
        <w:tc>
          <w:tcPr>
            <w:tcW w:type="dxa" w:w="2700"/>
          </w:tcPr>
          <w:p>
            <w:r>
              <w:t>Mensch-Computer-Interaktion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Paradigmen der Programmierung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Recht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Softwaretechnik 2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Spezielle Gebiete der Datenbanken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Praxissemester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Wahlspezialisierung 1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Wahlspezialisierung 2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Bachelorarbeit inkl. Kolloquium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  <w:tr>
        <w:tc>
          <w:tcPr>
            <w:tcW w:type="dxa" w:w="2700"/>
          </w:tcPr>
          <w:p>
            <w:r>
              <w:t>Praxisprojekt mit begleitendem Projektseminar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2700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