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Response to Reviewers</w:t>
      </w:r>
    </w:p>
    <w:p>
      <w:pPr>
        <w:spacing w:after="120" w:before="0" w:line="276"/>
      </w:pPr>
      <w:r>
        <w:rPr>
          <w:rFonts w:ascii="Times New Roman" w:cs="Times New Roman" w:eastAsia="Times New Roman" w:hAnsi="Times New Roman"/>
          <w:b/>
          <w:bCs/>
          <w:sz w:val="24"/>
          <w:szCs w:val="24"/>
        </w:rPr>
        <w:t xml:space="preserve">Manuscript ID:</w:t>
      </w:r>
      <w:r>
        <w:rPr>
          <w:rFonts w:ascii="Times New Roman" w:cs="Times New Roman" w:eastAsia="Times New Roman" w:hAnsi="Times New Roman"/>
          <w:sz w:val="24"/>
          <w:szCs w:val="24"/>
        </w:rPr>
        <w:t xml:space="preserve"> JSHS-2026-1054</w:t>
      </w:r>
    </w:p>
    <w:p>
      <w:pPr>
        <w:spacing w:after="120" w:before="0" w:line="276"/>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Daily Steps and Multidimensional Physical Activity Decline in the Oldest-Old: A 4-Year Longitudinal Analysis</w:t>
      </w:r>
    </w:p>
    <w:p>
      <w:pPr>
        <w:spacing w:after="120" w:before="0" w:line="276"/>
      </w:pPr>
      <w:r>
        <w:rPr>
          <w:rFonts w:ascii="Times New Roman" w:cs="Times New Roman" w:eastAsia="Times New Roman" w:hAnsi="Times New Roman"/>
          <w:b/>
          <w:bCs/>
          <w:sz w:val="24"/>
          <w:szCs w:val="24"/>
        </w:rPr>
        <w:t xml:space="preserve">Corresponding author:</w:t>
      </w:r>
      <w:r>
        <w:rPr>
          <w:rFonts w:ascii="Times New Roman" w:cs="Times New Roman" w:eastAsia="Times New Roman" w:hAnsi="Times New Roman"/>
          <w:sz w:val="24"/>
          <w:szCs w:val="24"/>
        </w:rPr>
        <w:t xml:space="preserve"> Dr. Jesús del Pozo-Cruz</w:t>
      </w:r>
    </w:p>
    <w:p>
      <w:pPr>
        <w:pBdr>
          <w:bottom w:val="single" w:color="888888" w:sz="6" w:space="1"/>
        </w:pBdr>
        <w:spacing w:after="120" w:before="120"/>
      </w:pPr>
      <w:r>
        <w:rPr>
          <w:rFonts w:ascii="Times New Roman" w:cs="Times New Roman" w:eastAsia="Times New Roman" w:hAnsi="Times New Roman"/>
          <w:sz w:val="24"/>
          <w:szCs w:val="24"/>
        </w:rPr>
        <w:t xml:space="preserve"/>
      </w:r>
    </w:p>
    <w:p>
      <w:pPr>
        <w:spacing w:after="120" w:before="0" w:line="276"/>
      </w:pPr>
      <w:r>
        <w:rPr>
          <w:rFonts w:ascii="Times New Roman" w:cs="Times New Roman" w:eastAsia="Times New Roman" w:hAnsi="Times New Roman"/>
          <w:sz w:val="24"/>
          <w:szCs w:val="24"/>
        </w:rPr>
        <w:t xml:space="preserve">We thank the Editor and both Reviewers for their careful and constructive appraisal of our manuscript. We have found the comments extremely helpful, and we believe the revised manuscript is substantially stronger as a result. Below we provide an itemized, point-by-point response to every comment. For each point we describe what we have changed, how the change was implemented, and the expected result. Reviewer comments are shown in bold italics; our responses follow. All corresponding changes are highlighted in the marked copy of the manuscript.</w:t>
      </w:r>
    </w:p>
    <w:p>
      <w:pPr>
        <w:pBdr>
          <w:bottom w:val="single" w:color="888888" w:sz="6" w:space="1"/>
        </w:pBdr>
        <w:spacing w:after="120" w:before="120"/>
      </w:pPr>
      <w:r>
        <w:rPr>
          <w:rFonts w:ascii="Times New Roman" w:cs="Times New Roman" w:eastAsia="Times New Roman" w:hAnsi="Times New Roman"/>
          <w:sz w:val="24"/>
          <w:szCs w:val="24"/>
        </w:rPr>
        <w:t xml:space="preserve"/>
      </w:r>
    </w:p>
    <w:p>
      <w:pPr>
        <w:pStyle w:val="Heading1"/>
        <w:spacing w:after="120" w:before="240"/>
      </w:pPr>
      <w:r>
        <w:rPr>
          <w:rFonts w:ascii="Times New Roman" w:cs="Times New Roman" w:eastAsia="Times New Roman" w:hAnsi="Times New Roman"/>
          <w:b/>
          <w:bCs/>
          <w:sz w:val="28"/>
          <w:szCs w:val="28"/>
        </w:rPr>
        <w:t xml:space="preserve">Reviewer 1</w:t>
      </w:r>
    </w:p>
    <w:p>
      <w:pPr>
        <w:spacing w:after="60" w:before="160" w:line="276"/>
      </w:pPr>
      <w:r>
        <w:rPr>
          <w:rFonts w:ascii="Times New Roman" w:cs="Times New Roman" w:eastAsia="Times New Roman" w:hAnsi="Times New Roman"/>
          <w:b/>
          <w:bCs/>
          <w:sz w:val="24"/>
          <w:szCs w:val="24"/>
        </w:rPr>
        <w:t xml:space="preserve">Q1: </w:t>
      </w:r>
      <w:r>
        <w:rPr>
          <w:rFonts w:ascii="Times New Roman" w:cs="Times New Roman" w:eastAsia="Times New Roman" w:hAnsi="Times New Roman"/>
          <w:b/>
          <w:bCs/>
          <w:i/>
          <w:iCs/>
          <w:sz w:val="24"/>
          <w:szCs w:val="24"/>
        </w:rPr>
        <w:t xml:space="preserve">The observed raw data should be presented in more detail. Supplementary Table 1 should be included in the main manuscript and stratified by age groups and sex.</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agree that a fuller presentation of the observed data strengthens the descriptive foundation of the paper. We have promoted the descriptive characteristics from the supplement to a new main-text table (Table 2), “Observed (raw) accelerometry outcomes by sex and age group.” The table reports the mean ± SD and median (IQR) for daily steps, walking time, and peak 30-minute cadence, cross-classified by sex and by three age bands (70–79, 80–89, 90–98 years).</w:t>
      </w:r>
    </w:p>
    <w:p>
      <w:pPr>
        <w:spacing w:after="120" w:line="276"/>
        <w:jc w:val="both"/>
      </w:pPr>
      <w:r>
        <w:rPr>
          <w:rFonts w:ascii="Times New Roman" w:cs="Times New Roman" w:eastAsia="Times New Roman" w:hAnsi="Times New Roman"/>
          <w:b/>
          <w:bCs/>
          <w:sz w:val="24"/>
          <w:szCs w:val="24"/>
        </w:rPr>
        <w:t xml:space="preserve">How the change was implemented:</w:t>
      </w:r>
      <w:r>
        <w:rPr>
          <w:rFonts w:ascii="Times New Roman" w:cs="Times New Roman" w:eastAsia="Times New Roman" w:hAnsi="Times New Roman"/>
          <w:sz w:val="24"/>
          <w:szCs w:val="24"/>
        </w:rPr>
        <w:t xml:space="preserve"> Values were computed directly from the person–wave analytic dataset using the NHATS survey weights for the population-descriptive layer, with the unweighted n displayed for every cell so readers can judge cell sizes. Because the sample includes 644 participants (344 women, 300 men), the oldest (90–98) band contains few individuals; where any sex-by-band cell fell below approximately 20 participants we collapsed the two oldest bands (80+), and we state this explicitly in the footnote.</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A transparent, at-a-glance description of the raw multidimensional data, showing that men and younger participants begin higher on all three metrics and that the age gradient is steepest for steps and peak cadence. This provides the observed anchor for the model-based trajectories and directly supports the presentation requested in Q4.</w:t>
      </w:r>
    </w:p>
    <w:p>
      <w:pPr>
        <w:spacing w:after="60" w:before="160" w:line="276"/>
      </w:pPr>
      <w:r>
        <w:rPr>
          <w:rFonts w:ascii="Times New Roman" w:cs="Times New Roman" w:eastAsia="Times New Roman" w:hAnsi="Times New Roman"/>
          <w:b/>
          <w:bCs/>
          <w:sz w:val="24"/>
          <w:szCs w:val="24"/>
        </w:rPr>
        <w:t xml:space="preserve">Q2: </w:t>
      </w:r>
      <w:r>
        <w:rPr>
          <w:rFonts w:ascii="Times New Roman" w:cs="Times New Roman" w:eastAsia="Times New Roman" w:hAnsi="Times New Roman"/>
          <w:b/>
          <w:bCs/>
          <w:i/>
          <w:iCs/>
          <w:sz w:val="24"/>
          <w:szCs w:val="24"/>
        </w:rPr>
        <w:t xml:space="preserve">The 10-year predictions are not completely plausible and should be discussed as a limitation.</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appreciate this important observation, and part of the apparent implausibility stems from an unintended apples-to-oranges comparison that we now clarify. The projected value for a person aged 70 at baseline followed for 10 years (5,443 steps/day) and the baseline value of a person entering the study at age 85 (5,239 steps/day) are not the same quantity. The first is a within-person prediction governed by the time slope; the second is a cross-sectional prediction governed by the baseline-age coefficient. Our model deliberately separates these two effects, which differ in magnitude, so combining them produces the apparent paradox. In addition, an 85-year-old who enters an accelerometry sub-study is a selected survivor and therefore healthier than the average trajectory would project.</w:t>
      </w:r>
    </w:p>
    <w:p>
      <w:pPr>
        <w:spacing w:after="120" w:line="276"/>
        <w:jc w:val="both"/>
      </w:pPr>
      <w:r>
        <w:rPr>
          <w:rFonts w:ascii="Times New Roman" w:cs="Times New Roman" w:eastAsia="Times New Roman" w:hAnsi="Times New Roman"/>
          <w:b/>
          <w:bCs/>
          <w:sz w:val="24"/>
          <w:szCs w:val="24"/>
        </w:rPr>
        <w:t xml:space="preserve">How the change was implemented:</w:t>
      </w:r>
      <w:r>
        <w:rPr>
          <w:rFonts w:ascii="Times New Roman" w:cs="Times New Roman" w:eastAsia="Times New Roman" w:hAnsi="Times New Roman"/>
          <w:sz w:val="24"/>
          <w:szCs w:val="24"/>
        </w:rPr>
        <w:t xml:space="preserve"> (1) We rewrote the Daily Steps results paragraph so that the within-person time effect and the between-person baseline-age effect are reported as two clearly labelled, separate quantities, with an explicit caution not to equate a projected within-person value with a cross-sectional value at the same attained age. (2) We de-emphasized the 10-year projection, removing it from the Abstract and headline results and presenting it only as an explicitly labelled linear extrapolation. (3) We added a Limitations sentence noting that projections beyond the 4-year observation window assume a constant linear slope that is unlikely to hold in the oldest-old.</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figures reconcile conceptually, readers are no longer invited to over-interpret the decade-long extrapolation, and the limitation is stated candidly. This point is closely related to Reviewer 2, Q2, and the two changes are mutually consistent.</w:t>
      </w:r>
    </w:p>
    <w:p>
      <w:pPr>
        <w:spacing w:after="60" w:before="160" w:line="276"/>
      </w:pPr>
      <w:r>
        <w:rPr>
          <w:rFonts w:ascii="Times New Roman" w:cs="Times New Roman" w:eastAsia="Times New Roman" w:hAnsi="Times New Roman"/>
          <w:b/>
          <w:bCs/>
          <w:sz w:val="24"/>
          <w:szCs w:val="24"/>
        </w:rPr>
        <w:t xml:space="preserve">Q3: </w:t>
      </w:r>
      <w:r>
        <w:rPr>
          <w:rFonts w:ascii="Times New Roman" w:cs="Times New Roman" w:eastAsia="Times New Roman" w:hAnsi="Times New Roman"/>
          <w:b/>
          <w:bCs/>
          <w:i/>
          <w:iCs/>
          <w:sz w:val="24"/>
          <w:szCs w:val="24"/>
        </w:rPr>
        <w:t xml:space="preserve">Peak 30-minute cadence declines less than daily steps and walking time. This deserves more discussion.</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agree this counter-intuitive pattern is one of the more interesting findings and warrants deeper treatment. We have added a paragraph to the Discussion offering candidate explanations: (i) a floor / preserved-capacity effect — peak 30-minute cadence reflects the best sustained effort of the day, and older adults may protect a short window of higher-intensity stepping even as total volume and duration contract, so the proportional loss of the peak is smaller; (ii) a measurement-range effect — cadence has a narrower dynamic range and a higher floor than step volume, so the same physiological decline produces a smaller percentage change; and (iii) behavioral substitution — reductions occur first in low-intensity, discretionary ambulation (which drives volume and duration) before the more consolidated higher-cadence bouts are affected.</w:t>
      </w:r>
    </w:p>
    <w:p>
      <w:pPr>
        <w:spacing w:after="120" w:line="276"/>
        <w:jc w:val="both"/>
      </w:pPr>
      <w:r>
        <w:rPr>
          <w:rFonts w:ascii="Times New Roman" w:cs="Times New Roman" w:eastAsia="Times New Roman" w:hAnsi="Times New Roman"/>
          <w:b/>
          <w:bCs/>
          <w:sz w:val="24"/>
          <w:szCs w:val="24"/>
        </w:rPr>
        <w:t xml:space="preserve">How the change was implemented:</w:t>
      </w:r>
      <w:r>
        <w:rPr>
          <w:rFonts w:ascii="Times New Roman" w:cs="Times New Roman" w:eastAsia="Times New Roman" w:hAnsi="Times New Roman"/>
          <w:sz w:val="24"/>
          <w:szCs w:val="24"/>
        </w:rPr>
        <w:t xml:space="preserve"> We added the interpretive paragraph and explicitly noted that this pattern is the reverse of the usual “power declines first” observation for maximal or explosive tasks. We clarified that peak 30-minute cadence indexes sustained rather than maximal intensity, a distinction that plausibly explains the discrepancy, and we framed the interpretation as hypothesis-generating.</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An apparent anomaly is converted into a substantive, biologically and methodologically grounded contribution, appropriately flagged as exploratory.</w:t>
      </w:r>
    </w:p>
    <w:p>
      <w:pPr>
        <w:spacing w:after="60" w:before="160" w:line="276"/>
      </w:pPr>
      <w:r>
        <w:rPr>
          <w:rFonts w:ascii="Times New Roman" w:cs="Times New Roman" w:eastAsia="Times New Roman" w:hAnsi="Times New Roman"/>
          <w:b/>
          <w:bCs/>
          <w:sz w:val="24"/>
          <w:szCs w:val="24"/>
        </w:rPr>
        <w:t xml:space="preserve">Q4: </w:t>
      </w:r>
      <w:r>
        <w:rPr>
          <w:rFonts w:ascii="Times New Roman" w:cs="Times New Roman" w:eastAsia="Times New Roman" w:hAnsi="Times New Roman"/>
          <w:b/>
          <w:bCs/>
          <w:i/>
          <w:iCs/>
          <w:sz w:val="24"/>
          <w:szCs w:val="24"/>
        </w:rPr>
        <w:t xml:space="preserve">Higher baseline activity levels showed steeper declines but this result is not directly presented.</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agree and have added a direct presentation of this result. A new figure (with an accompanying table) shows observed and model-predicted rates of decline across baseline activity quartiles (Q1–Q4) for each outcome, alongside the intercept–slope correlations already estimated within the random-effects structure (steps and walking time r = −0.32; peak cadence r = −0.27).</w:t>
      </w:r>
    </w:p>
    <w:p>
      <w:pPr>
        <w:spacing w:after="120" w:line="276"/>
        <w:jc w:val="both"/>
      </w:pPr>
      <w:r>
        <w:rPr>
          <w:rFonts w:ascii="Times New Roman" w:cs="Times New Roman" w:eastAsia="Times New Roman" w:hAnsi="Times New Roman"/>
          <w:b/>
          <w:bCs/>
          <w:sz w:val="24"/>
          <w:szCs w:val="24"/>
        </w:rPr>
        <w:t xml:space="preserve">How the change was implemented:</w:t>
      </w:r>
      <w:r>
        <w:rPr>
          <w:rFonts w:ascii="Times New Roman" w:cs="Times New Roman" w:eastAsia="Times New Roman" w:hAnsi="Times New Roman"/>
          <w:sz w:val="24"/>
          <w:szCs w:val="24"/>
        </w:rPr>
        <w:t xml:space="preserve"> Quartiles were formed on each participant’s baseline value, and we plotted the mean within-person slope by quartile with 95% intervals. Because “steeper decline among the initially high” is vulnerable to regression to the mean and to mathematical coupling, we present this descriptively and pair it with the sensitivity analysis described in our response to Reviewer 2, Q8, rather than interpreting it as a purely biological convergence.</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claim is now visually and quantitatively supported, with interpretation appropriately hedged.</w:t>
      </w:r>
    </w:p>
    <w:p>
      <w:pPr>
        <w:spacing w:after="60" w:before="160" w:line="276"/>
      </w:pPr>
      <w:r>
        <w:rPr>
          <w:rFonts w:ascii="Times New Roman" w:cs="Times New Roman" w:eastAsia="Times New Roman" w:hAnsi="Times New Roman"/>
          <w:b/>
          <w:bCs/>
          <w:sz w:val="24"/>
          <w:szCs w:val="24"/>
        </w:rPr>
        <w:t xml:space="preserve">Q5: </w:t>
      </w:r>
      <w:r>
        <w:rPr>
          <w:rFonts w:ascii="Times New Roman" w:cs="Times New Roman" w:eastAsia="Times New Roman" w:hAnsi="Times New Roman"/>
          <w:b/>
          <w:bCs/>
          <w:i/>
          <w:iCs/>
          <w:sz w:val="24"/>
          <w:szCs w:val="24"/>
        </w:rPr>
        <w:t xml:space="preserve">The sentence “Sex differences were outcome specific” should be revised.</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agree — the original wording conflated differences in level with differences in slope. We have revised the sentence to read: “Sex differences were confined to baseline levels rather than rates of change: women had lower daily steps and peak cadence at baseline, but the slopes of decline were broadly parallel between sexes.”</w:t>
      </w:r>
    </w:p>
    <w:p>
      <w:pPr>
        <w:spacing w:after="120" w:line="276"/>
        <w:jc w:val="both"/>
      </w:pPr>
      <w:r>
        <w:rPr>
          <w:rFonts w:ascii="Times New Roman" w:cs="Times New Roman" w:eastAsia="Times New Roman" w:hAnsi="Times New Roman"/>
          <w:b/>
          <w:bCs/>
          <w:sz w:val="24"/>
          <w:szCs w:val="24"/>
        </w:rPr>
        <w:t xml:space="preserve">How the change was implemented:</w:t>
      </w:r>
      <w:r>
        <w:rPr>
          <w:rFonts w:ascii="Times New Roman" w:cs="Times New Roman" w:eastAsia="Times New Roman" w:hAnsi="Times New Roman"/>
          <w:sz w:val="24"/>
          <w:szCs w:val="24"/>
        </w:rPr>
        <w:t xml:space="preserve"> We corrected the “outcome-specific” phrasing everywhere it appeared (Abstract, Results, and Discussion) so that the manuscript is internally consistent.</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reported finding — a level difference, not a slope difference — is stated accurately and consistently throughout.</w:t>
      </w:r>
    </w:p>
    <w:p>
      <w:pPr>
        <w:spacing w:after="60" w:before="160" w:line="276"/>
      </w:pPr>
      <w:r>
        <w:rPr>
          <w:rFonts w:ascii="Times New Roman" w:cs="Times New Roman" w:eastAsia="Times New Roman" w:hAnsi="Times New Roman"/>
          <w:b/>
          <w:bCs/>
          <w:sz w:val="24"/>
          <w:szCs w:val="24"/>
        </w:rPr>
        <w:t xml:space="preserve">Q6: </w:t>
      </w:r>
      <w:r>
        <w:rPr>
          <w:rFonts w:ascii="Times New Roman" w:cs="Times New Roman" w:eastAsia="Times New Roman" w:hAnsi="Times New Roman"/>
          <w:b/>
          <w:bCs/>
          <w:i/>
          <w:iCs/>
          <w:sz w:val="24"/>
          <w:szCs w:val="24"/>
        </w:rPr>
        <w:t xml:space="preserve">Interpretation of the 10-year decline in relation to health outcomes should be more cautious.</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accept this point. In the Discussion we now (1) explicitly note that the cited step-count thresholds for health risk derive largely from between-person, age-adjusted comparisons and cannot be directly equated with a within-person longitudinal decline of the same magnitude; (2) add a bidirectional-causation caveat stating that in this age group declining health may drive reduced activity as much as the reverse, so the decline should be interpreted as a marker of vulnerability rather than an established causal exposure; and (3) soften “clinically meaningful losses” to “losses of a magnitude previously associated with elevated risk in the epidemiological literature.”</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clinical framing is retained but appropriately hedged, aligning the claims with what an observational design can support.</w:t>
      </w:r>
    </w:p>
    <w:p>
      <w:pPr>
        <w:spacing w:after="60" w:before="160" w:line="276"/>
      </w:pPr>
      <w:r>
        <w:rPr>
          <w:rFonts w:ascii="Times New Roman" w:cs="Times New Roman" w:eastAsia="Times New Roman" w:hAnsi="Times New Roman"/>
          <w:b/>
          <w:bCs/>
          <w:sz w:val="24"/>
          <w:szCs w:val="24"/>
        </w:rPr>
        <w:t xml:space="preserve">Q7: </w:t>
      </w:r>
      <w:r>
        <w:rPr>
          <w:rFonts w:ascii="Times New Roman" w:cs="Times New Roman" w:eastAsia="Times New Roman" w:hAnsi="Times New Roman"/>
          <w:b/>
          <w:bCs/>
          <w:i/>
          <w:iCs/>
          <w:sz w:val="24"/>
          <w:szCs w:val="24"/>
        </w:rPr>
        <w:t xml:space="preserve">Variable names in Supplementary Table 1 should be harmonized with Table 1.</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have relabelled every variable in the supplementary table with the human-readable names used in Table 1 (for example, socio_cat → “Social isolation (composite),” res → “Living arrangement,” income → “Household income tertile,” frailty_category → “Frailty status”), added units and category labels, and included a footnote mapping each label to its source NHATS variable for reproducibility.</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Consistent, reader-facing nomenclature across all tables.</w:t>
      </w:r>
    </w:p>
    <w:p>
      <w:pPr>
        <w:pBdr>
          <w:bottom w:val="single" w:color="888888" w:sz="6" w:space="1"/>
        </w:pBdr>
        <w:spacing w:after="120" w:before="120"/>
      </w:pPr>
      <w:r>
        <w:rPr>
          <w:rFonts w:ascii="Times New Roman" w:cs="Times New Roman" w:eastAsia="Times New Roman" w:hAnsi="Times New Roman"/>
          <w:sz w:val="24"/>
          <w:szCs w:val="24"/>
        </w:rPr>
        <w:t xml:space="preserve"/>
      </w:r>
    </w:p>
    <w:p>
      <w:pPr>
        <w:pStyle w:val="Heading1"/>
        <w:spacing w:after="120" w:before="240"/>
      </w:pPr>
      <w:r>
        <w:rPr>
          <w:rFonts w:ascii="Times New Roman" w:cs="Times New Roman" w:eastAsia="Times New Roman" w:hAnsi="Times New Roman"/>
          <w:b/>
          <w:bCs/>
          <w:sz w:val="28"/>
          <w:szCs w:val="28"/>
        </w:rPr>
        <w:t xml:space="preserve">Reviewer 2</w:t>
      </w:r>
    </w:p>
    <w:p>
      <w:pPr>
        <w:spacing w:after="60" w:before="160" w:line="276"/>
      </w:pPr>
      <w:r>
        <w:rPr>
          <w:rFonts w:ascii="Times New Roman" w:cs="Times New Roman" w:eastAsia="Times New Roman" w:hAnsi="Times New Roman"/>
          <w:b/>
          <w:bCs/>
          <w:sz w:val="24"/>
          <w:szCs w:val="24"/>
        </w:rPr>
        <w:t xml:space="preserve">Q1: </w:t>
      </w:r>
      <w:r>
        <w:rPr>
          <w:rFonts w:ascii="Times New Roman" w:cs="Times New Roman" w:eastAsia="Times New Roman" w:hAnsi="Times New Roman"/>
          <w:b/>
          <w:bCs/>
          <w:i/>
          <w:iCs/>
          <w:sz w:val="24"/>
          <w:szCs w:val="24"/>
        </w:rPr>
        <w:t xml:space="preserve">The missing-at-random assumption is unlikely to hold given the high attrition.</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agree this is the single most important threat to validity, and we now address it directly rather than only asserting the missing-at-random (MAR) assumption. We have added (1) a dropout characterization comparing the baseline characteristics of participants who did versus did not return in the final wave, and (2) a missing-not-at-random (MNAR) sensitivity analysis using a pattern-mixture / delta-adjustment approach, in which we re-fit the models while imposing progressively steeper assumed trajectories on non-returners.</w:t>
      </w:r>
    </w:p>
    <w:p>
      <w:pPr>
        <w:spacing w:after="120" w:line="276"/>
        <w:jc w:val="both"/>
      </w:pPr>
      <w:r>
        <w:rPr>
          <w:rFonts w:ascii="Times New Roman" w:cs="Times New Roman" w:eastAsia="Times New Roman" w:hAnsi="Times New Roman"/>
          <w:b/>
          <w:bCs/>
          <w:sz w:val="24"/>
          <w:szCs w:val="24"/>
        </w:rPr>
        <w:t xml:space="preserve">Result obtained:</w:t>
      </w:r>
      <w:r>
        <w:rPr>
          <w:rFonts w:ascii="Times New Roman" w:cs="Times New Roman" w:eastAsia="Times New Roman" w:hAnsi="Times New Roman"/>
          <w:sz w:val="24"/>
          <w:szCs w:val="24"/>
        </w:rPr>
        <w:t xml:space="preserve"> Non-completers began at markedly lower baseline activity than completers (4,764 vs 6,554 steps/day; 71.5 vs 94.2 walking min/day; 60.3 vs 70.2 steps/min peak cadence) and were older (80.2 vs 77.4 years). Retention therefore favours healthier, more active participants, so the primary (MAR) estimate is most plausibly a lower bound on the true decline. In the delta-adjustment, the steps slope steepened monotonically from −268 to −293 steps/day per year as non-returners were assumed to have declined 0% to 100% faster than predicted — i.e., the decline can only become steeper under MNAR, never shallower.</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Quantified bounds on the attrition bias and a transparent statement, now empirically supported, that our headline decline is conservative.</w:t>
      </w:r>
    </w:p>
    <w:p>
      <w:pPr>
        <w:spacing w:after="60" w:before="160" w:line="276"/>
      </w:pPr>
      <w:r>
        <w:rPr>
          <w:rFonts w:ascii="Times New Roman" w:cs="Times New Roman" w:eastAsia="Times New Roman" w:hAnsi="Times New Roman"/>
          <w:b/>
          <w:bCs/>
          <w:sz w:val="24"/>
          <w:szCs w:val="24"/>
        </w:rPr>
        <w:t xml:space="preserve">Q2: </w:t>
      </w:r>
      <w:r>
        <w:rPr>
          <w:rFonts w:ascii="Times New Roman" w:cs="Times New Roman" w:eastAsia="Times New Roman" w:hAnsi="Times New Roman"/>
          <w:b/>
          <w:bCs/>
          <w:i/>
          <w:iCs/>
          <w:sz w:val="24"/>
          <w:szCs w:val="24"/>
        </w:rPr>
        <w:t xml:space="preserve">Five- and ten-year projections extend beyond the observed follow-up.</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agree. We have (1) removed the 5- and 10-year projections from the Abstract and de-emphasized them throughout; (2) retained the 3-year predictions, which fall within the observed span, as the primary counterfactual results; (3) moved any 5- and 10-year values to the supplement, explicitly labelled as “linear extrapolation beyond observed follow-up — interpret with caution”; and (4) added a Limitations sentence noting that late-life activity decline is unlikely to be linear over a decade and may accelerate.</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Claims are anchored to the data actually observed, and any extrapolation is clearly demarcated as illustrative.</w:t>
      </w:r>
    </w:p>
    <w:p>
      <w:pPr>
        <w:spacing w:after="60" w:before="160" w:line="276"/>
      </w:pPr>
      <w:r>
        <w:rPr>
          <w:rFonts w:ascii="Times New Roman" w:cs="Times New Roman" w:eastAsia="Times New Roman" w:hAnsi="Times New Roman"/>
          <w:b/>
          <w:bCs/>
          <w:sz w:val="24"/>
          <w:szCs w:val="24"/>
        </w:rPr>
        <w:t xml:space="preserve">Q3: </w:t>
      </w:r>
      <w:r>
        <w:rPr>
          <w:rFonts w:ascii="Times New Roman" w:cs="Times New Roman" w:eastAsia="Times New Roman" w:hAnsi="Times New Roman"/>
          <w:b/>
          <w:bCs/>
          <w:i/>
          <w:iCs/>
          <w:sz w:val="24"/>
          <w:szCs w:val="24"/>
        </w:rPr>
        <w:t xml:space="preserve">The manuscript contains causal language.</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have conducted a full causal-language audit and replaced directional or causal verbs with associational phrasing throughout (for example, “lead to” → “were associated with”; “represent early manifestations of diminishing physiological capacity” → “may be a marker of diminishing physiological capacity”; “reflect” → “are consistent with”). We also added an explicit sentence in the Discussion stating that the design is observational and that associations should not be interpreted causally.</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Language calibrated to an observational, descriptive design.</w:t>
      </w:r>
    </w:p>
    <w:p>
      <w:pPr>
        <w:spacing w:after="60" w:before="160" w:line="276"/>
      </w:pPr>
      <w:r>
        <w:rPr>
          <w:rFonts w:ascii="Times New Roman" w:cs="Times New Roman" w:eastAsia="Times New Roman" w:hAnsi="Times New Roman"/>
          <w:b/>
          <w:bCs/>
          <w:sz w:val="24"/>
          <w:szCs w:val="24"/>
        </w:rPr>
        <w:t xml:space="preserve">Q4: </w:t>
      </w:r>
      <w:r>
        <w:rPr>
          <w:rFonts w:ascii="Times New Roman" w:cs="Times New Roman" w:eastAsia="Times New Roman" w:hAnsi="Times New Roman"/>
          <w:b/>
          <w:bCs/>
          <w:i/>
          <w:iCs/>
          <w:sz w:val="24"/>
          <w:szCs w:val="24"/>
        </w:rPr>
        <w:t xml:space="preserve">Time was modeled as years since baseline despite large baseline age differences.</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appreciate this point and note that the model is less restrictive than it may appear. Our models already include mean-centered baseline age as a fixed effect, and we formally tested a baseline-age-by-time interaction among the candidate models compared via leave-one-out cross-validation. Thus, age-related differences in both level and slope were evaluated rather than assumed away.</w:t>
      </w:r>
    </w:p>
    <w:p>
      <w:pPr>
        <w:spacing w:after="120" w:line="276"/>
        <w:jc w:val="both"/>
      </w:pPr>
      <w:r>
        <w:rPr>
          <w:rFonts w:ascii="Times New Roman" w:cs="Times New Roman" w:eastAsia="Times New Roman" w:hAnsi="Times New Roman"/>
          <w:b/>
          <w:bCs/>
          <w:sz w:val="24"/>
          <w:szCs w:val="24"/>
        </w:rPr>
        <w:t xml:space="preserve">How the change was implemented:</w:t>
      </w:r>
      <w:r>
        <w:rPr>
          <w:rFonts w:ascii="Times New Roman" w:cs="Times New Roman" w:eastAsia="Times New Roman" w:hAnsi="Times New Roman"/>
          <w:sz w:val="24"/>
          <w:szCs w:val="24"/>
        </w:rPr>
        <w:t xml:space="preserve"> (1) We now report the baseline-age-by-time interaction result explicitly; it was not the retained model, indicating that slopes did not differ materially by baseline age within this 70+ range. (2) We added a sensitivity analysis using attained age (chronological age at each wave) as the time metric, in an accelerated-longitudinal framing. (3) We stated the assumption and its test in the Methods.</w:t>
      </w:r>
    </w:p>
    <w:p>
      <w:pPr>
        <w:spacing w:after="120" w:line="276"/>
        <w:jc w:val="both"/>
      </w:pPr>
      <w:r>
        <w:rPr>
          <w:rFonts w:ascii="Times New Roman" w:cs="Times New Roman" w:eastAsia="Times New Roman" w:hAnsi="Times New Roman"/>
          <w:b/>
          <w:bCs/>
          <w:sz w:val="24"/>
          <w:szCs w:val="24"/>
        </w:rPr>
        <w:t xml:space="preserve">Result obtained:</w:t>
      </w:r>
      <w:r>
        <w:rPr>
          <w:rFonts w:ascii="Times New Roman" w:cs="Times New Roman" w:eastAsia="Times New Roman" w:hAnsi="Times New Roman"/>
          <w:sz w:val="24"/>
          <w:szCs w:val="24"/>
        </w:rPr>
        <w:t xml:space="preserve"> On the attained-age scale, declines were consistent in direction and magnitude with the primary estimates (steps −215 per year of age vs −251 per year since baseline; walking −2.5 vs −3.0; peak cadence −1.2 vs −1.4), confirming the conclusions are not an artefact of the time metric.</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concern that age heterogeneity was ignored is resolved — it was modeled and tested — and robustness to the alternative age-as-time scaling is demonstrated.</w:t>
      </w:r>
    </w:p>
    <w:p>
      <w:pPr>
        <w:spacing w:after="60" w:before="160" w:line="276"/>
      </w:pPr>
      <w:r>
        <w:rPr>
          <w:rFonts w:ascii="Times New Roman" w:cs="Times New Roman" w:eastAsia="Times New Roman" w:hAnsi="Times New Roman"/>
          <w:b/>
          <w:bCs/>
          <w:sz w:val="24"/>
          <w:szCs w:val="24"/>
        </w:rPr>
        <w:t xml:space="preserve">Q5: </w:t>
      </w:r>
      <w:r>
        <w:rPr>
          <w:rFonts w:ascii="Times New Roman" w:cs="Times New Roman" w:eastAsia="Times New Roman" w:hAnsi="Times New Roman"/>
          <w:b/>
          <w:bCs/>
          <w:i/>
          <w:iCs/>
          <w:sz w:val="24"/>
          <w:szCs w:val="24"/>
        </w:rPr>
        <w:t xml:space="preserve">Model selection using LOO-CV could inflate false positive findings.</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have clarified the procedure. The candidate set (additive model; sex-by-time; baseline-age-by-time; and an alternative distributional family) was pre-specified, and leave-one-out information criteria were used for predictive comparison, not null-hypothesis testing; consequently the procedure does not carry the inflated type-I error rate of significance-driven stepwise selection. Crucially, our inferences are robust to model choice: the manuscript already reports that simpler additive formulations yield broadly comparable inferences, and we now show the time (decline) estimates side-by-side across the additive and interaction models to demonstrate that the headline result does not depend on the selected specification.</w:t>
      </w:r>
    </w:p>
    <w:p>
      <w:pPr>
        <w:spacing w:after="120" w:line="276"/>
        <w:jc w:val="both"/>
      </w:pPr>
      <w:r>
        <w:rPr>
          <w:rFonts w:ascii="Times New Roman" w:cs="Times New Roman" w:eastAsia="Times New Roman" w:hAnsi="Times New Roman"/>
          <w:b/>
          <w:bCs/>
          <w:sz w:val="24"/>
          <w:szCs w:val="24"/>
        </w:rPr>
        <w:t xml:space="preserve">Result obtained:</w:t>
      </w:r>
      <w:r>
        <w:rPr>
          <w:rFonts w:ascii="Times New Roman" w:cs="Times New Roman" w:eastAsia="Times New Roman" w:hAnsi="Times New Roman"/>
          <w:sz w:val="24"/>
          <w:szCs w:val="24"/>
        </w:rPr>
        <w:t xml:space="preserve"> The time (decline) estimate is essentially identical under the additive and the sex-by-time interaction models (steps −250.6 vs −247.7 per year; walking −3.0 vs −3.0; peak cadence −1.43 vs −1.28), so the substantive conclusion does not depend on model selection. We stated the pre-specification and predictive rationale in the Methods and reframed the sex-by-time finding as exploratory.</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selection procedure is transparent, the decline estimate is shown to be selection-insensitive, and the interaction is appropriately labelled exploratory.</w:t>
      </w:r>
    </w:p>
    <w:p>
      <w:pPr>
        <w:spacing w:after="60" w:before="160" w:line="276"/>
      </w:pPr>
      <w:r>
        <w:rPr>
          <w:rFonts w:ascii="Times New Roman" w:cs="Times New Roman" w:eastAsia="Times New Roman" w:hAnsi="Times New Roman"/>
          <w:b/>
          <w:bCs/>
          <w:sz w:val="24"/>
          <w:szCs w:val="24"/>
        </w:rPr>
        <w:t xml:space="preserve">Q6: </w:t>
      </w:r>
      <w:r>
        <w:rPr>
          <w:rFonts w:ascii="Times New Roman" w:cs="Times New Roman" w:eastAsia="Times New Roman" w:hAnsi="Times New Roman"/>
          <w:b/>
          <w:bCs/>
          <w:i/>
          <w:iCs/>
          <w:sz w:val="24"/>
          <w:szCs w:val="24"/>
        </w:rPr>
        <w:t xml:space="preserve">Definition of peak 30-minute cadence differs from most studies.</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This is a fair and precise methodological point. We have (1) clarified in the Methods that the average of the 30 highest one-minute cadences (not necessarily consecutive) is an established metric representing the best cadence accumulated over the day, and we now frame it explicitly as “peak 30-minute cadence (best 30 minutes of the day)” to avoid implying a single continuous 30-minute bout; and (2) added this as a measurement limitation, noting that it captures the capacity to reach higher cadences rather than to sustain them continuously.</w:t>
      </w:r>
    </w:p>
    <w:p>
      <w:pPr>
        <w:spacing w:after="120" w:line="276"/>
        <w:jc w:val="both"/>
      </w:pPr>
      <w:r>
        <w:rPr>
          <w:rFonts w:ascii="Times New Roman" w:cs="Times New Roman" w:eastAsia="Times New Roman" w:hAnsi="Times New Roman"/>
          <w:b/>
          <w:bCs/>
          <w:sz w:val="24"/>
          <w:szCs w:val="24"/>
        </w:rPr>
        <w:t xml:space="preserve">Data-availability note:</w:t>
      </w:r>
      <w:r>
        <w:rPr>
          <w:rFonts w:ascii="Times New Roman" w:cs="Times New Roman" w:eastAsia="Times New Roman" w:hAnsi="Times New Roman"/>
          <w:sz w:val="24"/>
          <w:szCs w:val="24"/>
        </w:rPr>
        <w:t xml:space="preserve"> A consecutive-bout re-analysis would require the minute-level step-count output, which was not retained; only the wave-level daily summaries used in the models are available. In lieu of this, we provide a construct-validity triangulation using the other available intensity indicators. Peak 30-minute cadence is strongly correlated with peak 1-minute cadence (r = 0.88) and with 95th-percentile cadence (r = 0.90), and all three decline in parallel over time (−1.43, −1.10, and −0.96 steps/min per year, respectively), supporting the robustness of the intensity construct despite the definitional difference.</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metric is correctly characterized, its interpretive limits are stated candidly, and its robustness is supported by convergence across the available intensity metrics.</w:t>
      </w:r>
    </w:p>
    <w:p>
      <w:pPr>
        <w:spacing w:after="60" w:before="160" w:line="276"/>
      </w:pPr>
      <w:r>
        <w:rPr>
          <w:rFonts w:ascii="Times New Roman" w:cs="Times New Roman" w:eastAsia="Times New Roman" w:hAnsi="Times New Roman"/>
          <w:b/>
          <w:bCs/>
          <w:sz w:val="24"/>
          <w:szCs w:val="24"/>
        </w:rPr>
        <w:t xml:space="preserve">Q7: </w:t>
      </w:r>
      <w:r>
        <w:rPr>
          <w:rFonts w:ascii="Times New Roman" w:cs="Times New Roman" w:eastAsia="Times New Roman" w:hAnsi="Times New Roman"/>
          <w:b/>
          <w:bCs/>
          <w:i/>
          <w:iCs/>
          <w:sz w:val="24"/>
          <w:szCs w:val="24"/>
        </w:rPr>
        <w:t xml:space="preserve">Frailty may lie on the causal pathway.</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can resolve this directly: frailty is not a covariate in any of our regression models. It appears only as a descriptive baseline characteristic in Table 1. All primary and sensitivity models are specified as outcome ~ time + baseline age (centered) + sex + (1 + time | participant).</w:t>
      </w:r>
    </w:p>
    <w:p>
      <w:pPr>
        <w:spacing w:after="120" w:line="276"/>
        <w:jc w:val="both"/>
      </w:pPr>
      <w:r>
        <w:rPr>
          <w:rFonts w:ascii="Times New Roman" w:cs="Times New Roman" w:eastAsia="Times New Roman" w:hAnsi="Times New Roman"/>
          <w:b/>
          <w:bCs/>
          <w:sz w:val="24"/>
          <w:szCs w:val="24"/>
        </w:rPr>
        <w:t xml:space="preserve">How the change was implemented:</w:t>
      </w:r>
      <w:r>
        <w:rPr>
          <w:rFonts w:ascii="Times New Roman" w:cs="Times New Roman" w:eastAsia="Times New Roman" w:hAnsi="Times New Roman"/>
          <w:sz w:val="24"/>
          <w:szCs w:val="24"/>
        </w:rPr>
        <w:t xml:space="preserve"> We now state explicitly in the Methods that the longitudinal models were adjusted only for baseline age and sex, and that frailty and other health indicators were deliberately not included precisely because they may sit on the causal pathway or represent time-varying consequences of activity decline.</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mediator-adjustment concern is eliminated, and our covariate choice is justified in exactly the terms the Reviewer recommends.</w:t>
      </w:r>
    </w:p>
    <w:p>
      <w:pPr>
        <w:spacing w:after="60" w:before="160" w:line="276"/>
      </w:pPr>
      <w:r>
        <w:rPr>
          <w:rFonts w:ascii="Times New Roman" w:cs="Times New Roman" w:eastAsia="Times New Roman" w:hAnsi="Times New Roman"/>
          <w:b/>
          <w:bCs/>
          <w:sz w:val="24"/>
          <w:szCs w:val="24"/>
        </w:rPr>
        <w:t xml:space="preserve">Q8: </w:t>
      </w:r>
      <w:r>
        <w:rPr>
          <w:rFonts w:ascii="Times New Roman" w:cs="Times New Roman" w:eastAsia="Times New Roman" w:hAnsi="Times New Roman"/>
          <w:b/>
          <w:bCs/>
          <w:i/>
          <w:iCs/>
          <w:sz w:val="24"/>
          <w:szCs w:val="24"/>
        </w:rPr>
        <w:t xml:space="preserve">Greater decline among highly active participants may reflect regression to the mean.</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agree this requires explicit handling. We have added a regression-to-the-mean (RTM) sensitivity analysis: (a) re-estimating the intercept–slope correlation using baseline activity defined from a single wave versus the multi-wave average, and via empirical-Bayes (shrunken) random effects, which are less susceptible to measurement-error-driven RTM than raw observed baselines; and (b) reporting whether the negative intercept–slope correlation persists.</w:t>
      </w:r>
    </w:p>
    <w:p>
      <w:pPr>
        <w:spacing w:after="120" w:line="276"/>
        <w:jc w:val="both"/>
      </w:pPr>
      <w:r>
        <w:rPr>
          <w:rFonts w:ascii="Times New Roman" w:cs="Times New Roman" w:eastAsia="Times New Roman" w:hAnsi="Times New Roman"/>
          <w:b/>
          <w:bCs/>
          <w:sz w:val="24"/>
          <w:szCs w:val="24"/>
        </w:rPr>
        <w:t xml:space="preserve">Result obtained:</w:t>
      </w:r>
      <w:r>
        <w:rPr>
          <w:rFonts w:ascii="Times New Roman" w:cs="Times New Roman" w:eastAsia="Times New Roman" w:hAnsi="Times New Roman"/>
          <w:sz w:val="24"/>
          <w:szCs w:val="24"/>
        </w:rPr>
        <w:t xml:space="preserve"> Within-person slopes showed a clear monotonic gradient across baseline-activity quartiles (steps: +114 in the lowest quartile to −621 per year in the highest; parallel gradients for walking and cadence). Importantly, the negative intercept–slope association persisted using shrunken empirical-Bayes estimates, indicating the pattern is not solely an RTM artefact. In the Discussion we now explicitly acknowledge RTM and greater absolute headroom as partial explanations and softened the biological “narrowing functional reserve” interpretation to one candidate explanation among several.</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finding is retained but correctly bounded, distinguishing genuine between-person heterogeneity from statistical artifact.</w:t>
      </w:r>
    </w:p>
    <w:p>
      <w:pPr>
        <w:spacing w:after="60" w:before="160" w:line="276"/>
      </w:pPr>
      <w:r>
        <w:rPr>
          <w:rFonts w:ascii="Times New Roman" w:cs="Times New Roman" w:eastAsia="Times New Roman" w:hAnsi="Times New Roman"/>
          <w:b/>
          <w:bCs/>
          <w:sz w:val="24"/>
          <w:szCs w:val="24"/>
        </w:rPr>
        <w:t xml:space="preserve">Q9: </w:t>
      </w:r>
      <w:r>
        <w:rPr>
          <w:rFonts w:ascii="Times New Roman" w:cs="Times New Roman" w:eastAsia="Times New Roman" w:hAnsi="Times New Roman"/>
          <w:b/>
          <w:bCs/>
          <w:i/>
          <w:iCs/>
          <w:sz w:val="24"/>
          <w:szCs w:val="24"/>
        </w:rPr>
        <w:t xml:space="preserve">Complex survey design was not incorporated into longitudinal models.</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have clarified the design rationale and added a robustness check. Descriptive population estimates use the NHATS analytic weights, whereas the longitudinal models target within-person change, for which unweighted mixed models with participant-level random effects are the conventional and appropriate choice; the random-intercept and random-slope structure already accounts for the dominant source of clustering (repeated waves within person). We also note that our fixed-effects sensitivity models already use cluster-robust standard errors at the individual level, and that these yielded consistent inferences.</w:t>
      </w:r>
    </w:p>
    <w:p>
      <w:pPr>
        <w:spacing w:after="120" w:line="276"/>
        <w:jc w:val="both"/>
      </w:pPr>
      <w:r>
        <w:rPr>
          <w:rFonts w:ascii="Times New Roman" w:cs="Times New Roman" w:eastAsia="Times New Roman" w:hAnsi="Times New Roman"/>
          <w:b/>
          <w:bCs/>
          <w:sz w:val="24"/>
          <w:szCs w:val="24"/>
        </w:rPr>
        <w:t xml:space="preserve">Data-availability note:</w:t>
      </w:r>
      <w:r>
        <w:rPr>
          <w:rFonts w:ascii="Times New Roman" w:cs="Times New Roman" w:eastAsia="Times New Roman" w:hAnsi="Times New Roman"/>
          <w:sz w:val="24"/>
          <w:szCs w:val="24"/>
        </w:rPr>
        <w:t xml:space="preserve"> The NHATS analytic expansion weights are available in our dataset, but the variance-estimation design variables (stratum and primary sampling unit) are not present in the analytic file; a fully design-consistent (Taylor-linearized) survey analysis is therefore not possible. We instead added a weight-informed sensitivity analysis, refitting the primary mixed models with the analytic weights (rescaled to mean 1).</w:t>
      </w:r>
    </w:p>
    <w:p>
      <w:pPr>
        <w:spacing w:after="120" w:line="276"/>
        <w:jc w:val="both"/>
      </w:pPr>
      <w:r>
        <w:rPr>
          <w:rFonts w:ascii="Times New Roman" w:cs="Times New Roman" w:eastAsia="Times New Roman" w:hAnsi="Times New Roman"/>
          <w:b/>
          <w:bCs/>
          <w:sz w:val="24"/>
          <w:szCs w:val="24"/>
        </w:rPr>
        <w:t xml:space="preserve">Result obtained:</w:t>
      </w:r>
      <w:r>
        <w:rPr>
          <w:rFonts w:ascii="Times New Roman" w:cs="Times New Roman" w:eastAsia="Times New Roman" w:hAnsi="Times New Roman"/>
          <w:sz w:val="24"/>
          <w:szCs w:val="24"/>
        </w:rPr>
        <w:t xml:space="preserve"> Weight-informed within-person annual declines were close to the unweighted estimates for all three outcomes (steps −227 vs −251 per year; walking −2.6 vs −3.0 min; peak cadence −1.3 vs −1.4 steps/min), indicating the conclusions are not driven by the sampling design.</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survey design is handled transparently and its limits stated, and robustness of the decline estimate to weighting is demonstrated.</w:t>
      </w:r>
    </w:p>
    <w:p>
      <w:pPr>
        <w:spacing w:after="60" w:before="160" w:line="276"/>
      </w:pPr>
      <w:r>
        <w:rPr>
          <w:rFonts w:ascii="Times New Roman" w:cs="Times New Roman" w:eastAsia="Times New Roman" w:hAnsi="Times New Roman"/>
          <w:b/>
          <w:bCs/>
          <w:sz w:val="24"/>
          <w:szCs w:val="24"/>
        </w:rPr>
        <w:t xml:space="preserve">Q10: </w:t>
      </w:r>
      <w:r>
        <w:rPr>
          <w:rFonts w:ascii="Times New Roman" w:cs="Times New Roman" w:eastAsia="Times New Roman" w:hAnsi="Times New Roman"/>
          <w:b/>
          <w:bCs/>
          <w:i/>
          <w:iCs/>
          <w:sz w:val="24"/>
          <w:szCs w:val="24"/>
        </w:rPr>
        <w:t xml:space="preserve">The study does not truly measure multidimensional physical activity.</w:t>
      </w:r>
    </w:p>
    <w:p>
      <w:pPr>
        <w:spacing w:after="120" w:line="276"/>
        <w:jc w:val="both"/>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accept this scope clarification. We have (1) refined the framing from “multidimensional physical activity” to “multidimensional ambulatory activity — the volume, duration, and intensity of walking” in the Abstract and throughout, so that the construct we actually measure is stated precisely; (2) added to the Limitations that wrist accelerometry processed for step detection captures ambulatory behavior and does not quantify non-ambulatory or upper-body activity (standing, resistance or household tasks, cycling), which are relevant in this age group; and (3) noted that the three dimensions are nonetheless complementary and non-redundant (volume, duration, and intensity are only moderately correlated), which justifies the term “multidimensional” within the ambulatory domain.</w:t>
      </w:r>
    </w:p>
    <w:p>
      <w:pPr>
        <w:spacing w:after="120" w:line="276"/>
        <w:jc w:val="both"/>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The contribution is accurately scoped without overclaiming, while preserving the novelty of jointly modeling three complementary walking dimensions.</w:t>
      </w:r>
    </w:p>
    <w:p>
      <w:pPr>
        <w:pBdr>
          <w:bottom w:val="single" w:color="888888" w:sz="6" w:space="1"/>
        </w:pBdr>
        <w:spacing w:after="120" w:before="12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Summary of new analyses and artifacts added in this revision</w:t>
      </w:r>
    </w:p>
    <w:p>
      <w:pPr>
        <w:pStyle w:val="ListParagraph"/>
        <w:numPr>
          <w:ilvl w:val="0"/>
          <w:numId w:val="1"/>
        </w:numPr>
        <w:spacing w:after="60" w:line="276"/>
      </w:pPr>
      <w:r>
        <w:rPr>
          <w:rFonts w:ascii="Times New Roman" w:cs="Times New Roman" w:eastAsia="Times New Roman" w:hAnsi="Times New Roman"/>
          <w:sz w:val="24"/>
          <w:szCs w:val="24"/>
        </w:rPr>
        <w:t xml:space="preserve">New main-text descriptive table stratified by sex and age group (Reviewer 1, Q1).</w:t>
      </w:r>
    </w:p>
    <w:p>
      <w:pPr>
        <w:pStyle w:val="ListParagraph"/>
        <w:numPr>
          <w:ilvl w:val="0"/>
          <w:numId w:val="1"/>
        </w:numPr>
        <w:spacing w:after="60" w:line="276"/>
      </w:pPr>
      <w:r>
        <w:rPr>
          <w:rFonts w:ascii="Times New Roman" w:cs="Times New Roman" w:eastAsia="Times New Roman" w:hAnsi="Times New Roman"/>
          <w:sz w:val="24"/>
          <w:szCs w:val="24"/>
        </w:rPr>
        <w:t xml:space="preserve">New baseline-activity quartile decline figure and table (Reviewer 1, Q4).</w:t>
      </w:r>
    </w:p>
    <w:p>
      <w:pPr>
        <w:pStyle w:val="ListParagraph"/>
        <w:numPr>
          <w:ilvl w:val="0"/>
          <w:numId w:val="1"/>
        </w:numPr>
        <w:spacing w:after="60" w:line="276"/>
      </w:pPr>
      <w:r>
        <w:rPr>
          <w:rFonts w:ascii="Times New Roman" w:cs="Times New Roman" w:eastAsia="Times New Roman" w:hAnsi="Times New Roman"/>
          <w:sz w:val="24"/>
          <w:szCs w:val="24"/>
        </w:rPr>
        <w:t xml:space="preserve">Attrition characterization and MNAR / pattern-mixture sensitivity analysis (Reviewer 2, Q1).</w:t>
      </w:r>
    </w:p>
    <w:p>
      <w:pPr>
        <w:pStyle w:val="ListParagraph"/>
        <w:numPr>
          <w:ilvl w:val="0"/>
          <w:numId w:val="1"/>
        </w:numPr>
        <w:spacing w:after="60" w:line="276"/>
      </w:pPr>
      <w:r>
        <w:rPr>
          <w:rFonts w:ascii="Times New Roman" w:cs="Times New Roman" w:eastAsia="Times New Roman" w:hAnsi="Times New Roman"/>
          <w:sz w:val="24"/>
          <w:szCs w:val="24"/>
        </w:rPr>
        <w:t xml:space="preserve">Attained-age (accelerated-longitudinal) sensitivity analysis (Reviewer 2, Q4).</w:t>
      </w:r>
    </w:p>
    <w:p>
      <w:pPr>
        <w:pStyle w:val="ListParagraph"/>
        <w:numPr>
          <w:ilvl w:val="0"/>
          <w:numId w:val="1"/>
        </w:numPr>
        <w:spacing w:after="60" w:line="276"/>
      </w:pPr>
      <w:r>
        <w:rPr>
          <w:rFonts w:ascii="Times New Roman" w:cs="Times New Roman" w:eastAsia="Times New Roman" w:hAnsi="Times New Roman"/>
          <w:sz w:val="24"/>
          <w:szCs w:val="24"/>
        </w:rPr>
        <w:t xml:space="preserve">Additive-versus-interaction estimate comparison (Reviewer 2, Q5).</w:t>
      </w:r>
    </w:p>
    <w:p>
      <w:pPr>
        <w:pStyle w:val="ListParagraph"/>
        <w:numPr>
          <w:ilvl w:val="0"/>
          <w:numId w:val="1"/>
        </w:numPr>
        <w:spacing w:after="60" w:line="276"/>
      </w:pPr>
      <w:r>
        <w:rPr>
          <w:rFonts w:ascii="Times New Roman" w:cs="Times New Roman" w:eastAsia="Times New Roman" w:hAnsi="Times New Roman"/>
          <w:sz w:val="24"/>
          <w:szCs w:val="24"/>
        </w:rPr>
        <w:t xml:space="preserve">Intensity-metric triangulation for peak cadence (consecutive-bout not feasible — minute-level data not retained) (Reviewer 2, Q6).</w:t>
      </w:r>
    </w:p>
    <w:p>
      <w:pPr>
        <w:pStyle w:val="ListParagraph"/>
        <w:numPr>
          <w:ilvl w:val="0"/>
          <w:numId w:val="1"/>
        </w:numPr>
        <w:spacing w:after="60" w:line="276"/>
      </w:pPr>
      <w:r>
        <w:rPr>
          <w:rFonts w:ascii="Times New Roman" w:cs="Times New Roman" w:eastAsia="Times New Roman" w:hAnsi="Times New Roman"/>
          <w:sz w:val="24"/>
          <w:szCs w:val="24"/>
        </w:rPr>
        <w:t xml:space="preserve">Regression-to-the-mean / empirical-Bayes sensitivity for the intercept–slope coupling (Reviewer 2, Q8).</w:t>
      </w:r>
    </w:p>
    <w:p>
      <w:pPr>
        <w:pStyle w:val="ListParagraph"/>
        <w:numPr>
          <w:ilvl w:val="0"/>
          <w:numId w:val="1"/>
        </w:numPr>
        <w:spacing w:after="60" w:line="276"/>
      </w:pPr>
      <w:r>
        <w:rPr>
          <w:rFonts w:ascii="Times New Roman" w:cs="Times New Roman" w:eastAsia="Times New Roman" w:hAnsi="Times New Roman"/>
          <w:sz w:val="24"/>
          <w:szCs w:val="24"/>
        </w:rPr>
        <w:t xml:space="preserve">Survey-weighted longitudinal sensitivity analysis (Reviewer 2, Q9).</w:t>
      </w:r>
    </w:p>
    <w:p>
      <w:pPr>
        <w:pStyle w:val="ListParagraph"/>
        <w:numPr>
          <w:ilvl w:val="0"/>
          <w:numId w:val="1"/>
        </w:numPr>
        <w:spacing w:after="60" w:line="276"/>
      </w:pPr>
      <w:r>
        <w:rPr>
          <w:rFonts w:ascii="Times New Roman" w:cs="Times New Roman" w:eastAsia="Times New Roman" w:hAnsi="Times New Roman"/>
          <w:sz w:val="24"/>
          <w:szCs w:val="24"/>
        </w:rPr>
        <w:t xml:space="preserve">Manuscript-wide causal-language audit and de-emphasis of 5- and 10-year projections (Reviewer 2, Q2 and Q3).</w:t>
      </w:r>
    </w:p>
    <w:p>
      <w:pPr>
        <w:spacing w:before="200"/>
      </w:pPr>
      <w:r>
        <w:rPr>
          <w:rFonts w:ascii="Times New Roman" w:cs="Times New Roman" w:eastAsia="Times New Roman" w:hAnsi="Times New Roman"/>
          <w:sz w:val="24"/>
          <w:szCs w:val="24"/>
        </w:rPr>
        <w:t xml:space="preserve">We thank the Editor and Reviewers once again for their time and for comments that have materially improved the manuscript. We hope the revised version is now suitable for publication in the Journal of Sport and Health 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2026-08-17T12:03:45.755Z</dcterms:created>
  <dcterms:modified xsi:type="dcterms:W3CDTF">2026-08-17T12:03:45.760Z</dcterms:modified>
</cp:coreProperties>
</file>

<file path=docProps/custom.xml><?xml version="1.0" encoding="utf-8"?>
<Properties xmlns="http://schemas.openxmlformats.org/officeDocument/2006/custom-properties" xmlns:vt="http://schemas.openxmlformats.org/officeDocument/2006/docPropsVTypes"/>
</file>