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Material</w:t>
      </w:r>
    </w:p>
    <w:p>
      <w:pPr>
        <w:pStyle w:val="Normal"/>
      </w:pPr>
      <w:r>
        <w:t xml:space="preserve">Daily Steps and Multidimensional Physical Activity Decline in the Oldest-Old: A 4-Year Longitudinal Analysis (JSHS-2026-1054). This supplement documents the additional sensitivity analyses conducted during revision. All analyses use the primary analytic sample (2,030 person-wave observations from 644 participants). Sensitivity models were fitted with restricted maximum likelihood using the same random-effects structure as the primary models.</w:t>
      </w:r>
    </w:p>
    <w:p>
      <w:pPr>
        <w:pStyle w:val="Titre1"/>
      </w:pPr>
      <w:r>
        <w:t xml:space="preserve">S1. Supplementary Methods</w:t>
      </w:r>
    </w:p>
    <w:p>
      <w:pPr>
        <w:pStyle w:val="Titre2"/>
      </w:pPr>
      <w:r>
        <w:t xml:space="preserve">S1.1 Characterization of attrition and missing-data sensitivity</w:t>
      </w:r>
    </w:p>
    <w:p>
      <w:pPr>
        <w:pStyle w:val="Normal"/>
      </w:pPr>
      <w:r>
        <w:t xml:space="preserve">To probe the missing-at-random (MAR) assumption, we first compared baseline characteristics of participants observed in the final wave (completers) with those who were not (non-completers). We then conducted a pattern-mixture (delta-adjustment) sensitivity analysis: for each non-completer we appended one additional, unobserved post-dropout observation at the next time point, set to the participant's last observed value plus the MAR-predicted annual change multiplied by (1 + delta). Larger delta encodes progressively steeper (i.e., missing-not-at-random) decline among droppers. Models were refitted across delta = 0, 0.25, 0.50, and 1.00 (0% to 100% steeper) and the estimated annual slope re-examined (Table S2).</w:t>
      </w:r>
    </w:p>
    <w:p>
      <w:pPr>
        <w:pStyle w:val="Titre2"/>
      </w:pPr>
      <w:r>
        <w:t xml:space="preserve">S1.2 Attained-age (accelerated-longitudinal) specification</w:t>
      </w:r>
    </w:p>
    <w:p>
      <w:pPr>
        <w:pStyle w:val="Normal"/>
      </w:pPr>
      <w:r>
        <w:t xml:space="preserve">To confirm that conclusions were not an artefact of modelling time as years since baseline, we re-estimated each trajectory using attained chronological age at each wave (mean-centred on baseline age) as the time scale, with a participant-level random intercept (Table S3). Estimates on this scale are interpreted as the change per additional year of chronological age.</w:t>
      </w:r>
    </w:p>
    <w:p>
      <w:pPr>
        <w:pStyle w:val="Titre2"/>
      </w:pPr>
      <w:r>
        <w:t xml:space="preserve">S1.3 Model-selection robustness</w:t>
      </w:r>
    </w:p>
    <w:p>
      <w:pPr>
        <w:pStyle w:val="Normal"/>
      </w:pPr>
      <w:r>
        <w:t xml:space="preserve">The candidate model set (additive; sex-by-time; baseline-age-by-time; alternative distributional family) was pre-specified, and leave-one-out information criteria were used for predictive comparison rather than null-hypothesis testing. To show that the headline decline does not depend on the selected specification, we report the time (decline) estimate under both the additive and the sex-by-time interaction models (Table S4).</w:t>
      </w:r>
    </w:p>
    <w:p>
      <w:pPr>
        <w:pStyle w:val="Titre2"/>
      </w:pPr>
      <w:r>
        <w:t xml:space="preserve">S1.4 Weight-informed sensitivity analysis</w:t>
      </w:r>
    </w:p>
    <w:p>
      <w:pPr>
        <w:pStyle w:val="Normal"/>
      </w:pPr>
      <w:r>
        <w:t xml:space="preserve">Descriptive population estimates use the NHATS analytic weights. The longitudinal models target within-person change and were fitted unweighted, with within-person clustering captured by participant-level random effects. As a sensitivity analysis we refitted the primary models using the analytic weights rescaled to a mean of 1 (Table S5). Design-based (Taylor-linearised) variance estimation was not possible because the stratum and primary sampling unit variance variables are not available in the analytic file; the fixed-effects sensitivity models additionally used cluster-robust standard errors at the individual level.</w:t>
      </w:r>
    </w:p>
    <w:p>
      <w:pPr>
        <w:pStyle w:val="Titre2"/>
      </w:pPr>
      <w:r>
        <w:t xml:space="preserve">S1.5 Baseline-activity heterogeneity and regression to the mean</w:t>
      </w:r>
    </w:p>
    <w:p>
      <w:pPr>
        <w:pStyle w:val="Normal"/>
      </w:pPr>
      <w:r>
        <w:t xml:space="preserve">To characterise the association between baseline activity and rate of change, we estimated each participant's within-person slope and summarised it by baseline-activity quartile. Because such a gradient can arise from regression to the mean (RTM), we compared the model-estimated intercept-slope correlation with the correlation computed from shrunken (empirical-Bayes) random effects, which are less susceptible to measurement-error-driven RTM (Table S6).</w:t>
      </w:r>
    </w:p>
    <w:p>
      <w:pPr>
        <w:pStyle w:val="Titre2"/>
      </w:pPr>
      <w:r>
        <w:t xml:space="preserve">S1.6 Intensity-metric triangulation</w:t>
      </w:r>
    </w:p>
    <w:p>
      <w:pPr>
        <w:pStyle w:val="Normal"/>
      </w:pPr>
      <w:r>
        <w:t xml:space="preserve">The minute-level series required to compute a consecutive-bout 30-minute cadence were not retained. As a construct-validity check we examined the association among the three available intensity indicators (peak 30-minute, peak 1-minute, and 95th-percentile cadence) and their respective annual declines (Table S7).</w:t>
      </w:r>
    </w:p>
    <w:p>
      <w:pPr>
        <w:pStyle w:val="Titre1"/>
      </w:pPr>
      <w:r>
        <w:t xml:space="preserve">S2. Supplementary Results</w:t>
      </w:r>
    </w:p>
    <w:p>
      <w:pPr>
        <w:pStyle w:val="Normal"/>
      </w:pPr>
      <w:r>
        <w:t xml:space="preserve">Table S1. Baseline characteristics of completers versus non-completers.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0"/>
        <w:gridCol w:w="681"/>
        <w:gridCol w:w="2381"/>
        <w:gridCol w:w="2611"/>
        <w:gridCol w:w="2610"/>
        <w:gridCol w:w="2261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steps,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walking,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cadence,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 age, mean (SD)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6,554 (3,312)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94.2 (43.2)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70.2 (15.9)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77.4 (4.6)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Non-completer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4,764 (3,172)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 (42.4)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60.3 (17.4)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80.2 (5.8)</w:t>
            </w:r>
          </w:p>
        </w:tc>
      </w:tr>
    </w:tbl>
    <w:p>
      <w:pPr>
        <w:pStyle w:val="Normal"/>
      </w:pPr>
      <w:r>
        <w:t xml:space="preserve">Non-completers began at substantially lower activity and were older, indicating that retention favoured healthier, more active participants; the primary estimates are therefore most plausibly conservative.</w:t>
      </w:r>
    </w:p>
    <w:p>
      <w:pPr>
        <w:pStyle w:val="Normal"/>
      </w:pPr>
      <w:r>
        <w:t xml:space="preserve">Table S2. Pattern-mixture (delta-adjustment) sensitivity: estimated annual change under increasingly selective dropout.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668"/>
        <w:gridCol w:w="1298"/>
        <w:gridCol w:w="1298"/>
        <w:gridCol w:w="1298"/>
      </w:tblGrid>
      <w:tr>
        <w:trPr>
          <w:trHeight w:val="56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 = 0 (MAR)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 = 0.25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 = 0.50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 = 1.00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-267.70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-274.10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-293.30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-3.53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-1.69</w:t>
            </w:r>
          </w:p>
        </w:tc>
      </w:tr>
    </w:tbl>
    <w:p>
      <w:pPr>
        <w:pStyle w:val="Normal"/>
      </w:pPr>
      <w:r>
        <w:t xml:space="preserve">For all outcomes the estimated decline steepens monotonically as droppers are assumed to have declined faster; the decline can only become steeper, not shallower, under missing-not-at-random assumptions.</w:t>
      </w:r>
    </w:p>
    <w:p>
      <w:pPr>
        <w:pStyle w:val="Normal"/>
      </w:pPr>
      <w:r>
        <w:t xml:space="preserve">Table S3. Decline estimated on the attained-age (accelerated-longitudinal) scale.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2655"/>
        <w:gridCol w:w="1815"/>
        <w:gridCol w:w="816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Primary (time since baseline)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Attained-age 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-215.40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</w:tr>
    </w:tbl>
    <w:p>
      <w:pPr>
        <w:pStyle w:val="Normal"/>
      </w:pPr>
      <w:r>
        <w:t xml:space="preserve">Estimates on the attained-age scale are consistent in direction and magnitude with the primary years-since-baseline estimates.</w:t>
      </w:r>
    </w:p>
    <w:p>
      <w:pPr>
        <w:pStyle w:val="Normal"/>
      </w:pPr>
      <w:r>
        <w:t xml:space="preserve">Table S4. Time (decline) estimate under additive versus sex-by-time interaction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586"/>
        <w:gridCol w:w="1845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Additive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Sex-by-time model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-247.60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-3.03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-1.28</w:t>
            </w:r>
          </w:p>
        </w:tc>
      </w:tr>
    </w:tbl>
    <w:p>
      <w:pPr>
        <w:pStyle w:val="Normal"/>
      </w:pPr>
      <w:r>
        <w:t xml:space="preserve">The decline estimate is essentially unchanged across specifications, indicating that the substantive conclusion is not sensitive to model selection.</w:t>
      </w:r>
    </w:p>
    <w:p>
      <w:pPr>
        <w:pStyle w:val="Normal"/>
      </w:pPr>
      <w:r>
        <w:t xml:space="preserve">Table S5. Unweighted versus weight-informed within-person annual decline.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331"/>
        <w:gridCol w:w="1740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Unweighted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Weight-informed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-226.60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-2.61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-1.32</w:t>
            </w:r>
          </w:p>
        </w:tc>
      </w:tr>
    </w:tbl>
    <w:p>
      <w:pPr>
        <w:pStyle w:val="Normal"/>
      </w:pPr>
      <w:r>
        <w:t xml:space="preserve">Weight-informed estimates are close to the unweighted estimates for all outcomes.</w:t>
      </w:r>
    </w:p>
    <w:p>
      <w:pPr>
        <w:pStyle w:val="Normal"/>
      </w:pPr>
      <w:r>
        <w:t xml:space="preserve">Table S6. Within-person annual change by baseline-activity quartile and intercept-slope correlations.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285"/>
        <w:gridCol w:w="966"/>
        <w:gridCol w:w="966"/>
        <w:gridCol w:w="1356"/>
        <w:gridCol w:w="1835"/>
        <w:gridCol w:w="1815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Q4 (highest)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 r (int,slope)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Empirical-Bayes r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steps (steps/day)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-140.20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-416.50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-605.60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-0.51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walking time (min/day)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-0.47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 (steps/min)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</w:t>
            </w:r>
          </w:p>
        </w:tc>
      </w:tr>
    </w:tbl>
    <w:p>
      <w:pPr>
        <w:pStyle w:val="Normal"/>
      </w:pPr>
      <w:r>
        <w:t xml:space="preserve">A monotonic gradient is present (steeper decline at higher baseline). The negative intercept-slope association persists using shrunken empirical-Bayes estimates, indicating the pattern is not solely an RTM artefact.</w:t>
      </w:r>
    </w:p>
    <w:p>
      <w:pPr>
        <w:pStyle w:val="Normal"/>
      </w:pPr>
      <w:r>
        <w:t xml:space="preserve">Table S7. Intensity-metric triangulation: correlations among available cadence metrics and their annual declines.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5"/>
        <w:gridCol w:w="1376"/>
        <w:gridCol w:w="1286"/>
        <w:gridCol w:w="1036"/>
        <w:gridCol w:w="156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Peak 30-min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Peak 1-min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95th 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Annual decline</w:t>
            </w:r>
          </w:p>
        </w:tc>
      </w:tr>
      <w:tr>
        <w:trPr>
          <w:trHeight w:val="53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30-min cadence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-1.43</w:t>
            </w:r>
          </w:p>
        </w:tc>
      </w:tr>
      <w:tr>
        <w:trPr>
          <w:trHeight w:val="53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Peak 1-min cadence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95th-percentile cadence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-0.96</w:t>
            </w:r>
          </w:p>
        </w:tc>
      </w:tr>
    </w:tbl>
    <w:p>
      <w:pPr>
        <w:pStyle w:val="Normal"/>
      </w:pPr>
      <w:r>
        <w:t xml:space="preserve">Peak 30-minute cadence is strongly correlated with peak 1-minute and 95th-percentile cadence, and all decline in parallel, supporting robustness of the intensity construct despite the definitional difference from consecutive-bout metrics.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Note: See also Table 2 (observed outcomes by sex and age group) and Figure 2 (within-person annual change by baseline-activity quartile) in the main manuscript.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danielgallardogomez</cp:lastModifiedBy>
  <cp:revision>9</cp:revision>
  <dcterms:created xsi:type="dcterms:W3CDTF">2017-02-28T11:18:00Z</dcterms:created>
  <dcterms:modified xsi:type="dcterms:W3CDTF">2026-08-17T15:07:05Z</dcterms:modified>
  <cp:category/>
</cp:coreProperties>
</file>