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2. Observed accelerometry outcomes by sex and age group.</w:t>
      </w:r>
    </w:p>
    <w:p>
      <w:pPr>
        <w:pStyle w:val="Normal"/>
      </w:pPr>
      <w:r>
        <w:t xml:space="preserve">Main-text version: the two oldest bands are collapsed to 80+ (the 90-98 cell was small); the full three-band version is Supplementary Table S8.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Daily steps (steps/day)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0"/>
        <w:gridCol w:w="1216"/>
        <w:gridCol w:w="966"/>
        <w:gridCol w:w="1296"/>
        <w:gridCol w:w="1656"/>
        <w:gridCol w:w="2255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(obs)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(persons)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[IQR]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6,677.6 (3,550.3)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6,058.4 [3,815.5-8,845.9]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5,138.7 (2,783.5)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4,526.4 [2,901.4-6,626.0]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5,995.9 (3,256.5)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5,217.7 [3,425.2-7,849.4]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4,474.7 (2,434.0)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3,816.9 [2,594.4-5,792.9]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6,334.0 (3,421.2)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5,653.0 [3,614.9-8,158.4]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4,746.8 (2,601.5)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4,138.9 [2,644.8-6,127.1]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Daily walking time (min/day)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0"/>
        <w:gridCol w:w="1216"/>
        <w:gridCol w:w="966"/>
        <w:gridCol w:w="1296"/>
        <w:gridCol w:w="1386"/>
        <w:gridCol w:w="1940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(obs)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(persons)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[IQR]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95.54 (46.65)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90.74 [59.37-122.97]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76.74 (37.01)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72.69 [47.86-99.11]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86.39 (43.29)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79.26 [53.31-107.60]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70.94 (35.80)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62.07 [42.26-91.31]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90.93 (45.20)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84.48 [55.65-117.40]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73.31 (36.39)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66.02 [43.61-94.10]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Peak 30-min cadence (steps/min)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0"/>
        <w:gridCol w:w="1216"/>
        <w:gridCol w:w="966"/>
        <w:gridCol w:w="1296"/>
        <w:gridCol w:w="1386"/>
        <w:gridCol w:w="1850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(obs)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(persons)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[IQR]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70.92 (16.04)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70.86 [59.54-81.71]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63.61 (15.99)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61.86 [50.75-74.85]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67.71 (16.68)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66.29 [55.21-78.07]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57.27 (13.21)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55.14 [47.50-66.00]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69.30 (16.44)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69.00 [57.00-80.00]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59.87 (14.74)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57.71 [48.67-69.00]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danielgallardogomez</cp:lastModifiedBy>
  <cp:revision>9</cp:revision>
  <dcterms:created xsi:type="dcterms:W3CDTF">2017-02-28T11:18:00Z</dcterms:created>
  <dcterms:modified xsi:type="dcterms:W3CDTF">2026-08-26T09:03:27Z</dcterms:modified>
  <cp:category/>
</cp:coreProperties>
</file>