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基于模型编辑的大语言模型隐私知识清洗与保护研究</w:t>
      </w:r>
    </w:p>
    <w:p>
      <w:pPr>
        <w:spacing w:line="276" w:lineRule="auto"/>
        <w:ind w:firstLine="420"/>
      </w:pPr>
      <w:r>
        <w:rPr>
          <w:rFonts w:ascii="宋体" w:hAnsi="宋体" w:eastAsia="宋体"/>
          <w:sz w:val="21"/>
        </w:rPr>
        <w:t>课程：智能系统综合实践</w:t>
      </w:r>
    </w:p>
    <w:p>
      <w:pPr>
        <w:spacing w:line="276" w:lineRule="auto"/>
        <w:ind w:firstLine="420"/>
      </w:pPr>
      <w:r>
        <w:rPr>
          <w:rFonts w:ascii="宋体" w:hAnsi="宋体" w:eastAsia="宋体"/>
          <w:sz w:val="21"/>
        </w:rPr>
        <w:t>类型：研究型课程论文</w:t>
      </w:r>
    </w:p>
    <w:p>
      <w:pPr>
        <w:spacing w:line="276" w:lineRule="auto"/>
        <w:ind w:firstLine="420"/>
      </w:pPr>
      <w:r>
        <w:rPr>
          <w:rFonts w:ascii="宋体" w:hAnsi="宋体" w:eastAsia="宋体"/>
          <w:sz w:val="21"/>
        </w:rPr>
        <w:t>关键词：大语言模型；模型编辑；隐私知识清洗；知识保持；过度拒答</w:t>
      </w:r>
    </w:p>
    <w:p>
      <w:pPr>
        <w:pStyle w:val="Heading1"/>
      </w:pPr>
      <w:r>
        <w:t>摘要</w:t>
      </w:r>
    </w:p>
    <w:p>
      <w:pPr>
        <w:spacing w:line="276" w:lineRule="auto"/>
        <w:ind w:firstLine="420"/>
      </w:pPr>
      <w:r>
        <w:rPr>
          <w:rFonts w:ascii="宋体" w:hAnsi="宋体" w:eastAsia="宋体"/>
          <w:sz w:val="21"/>
        </w:rPr>
        <w:t>大语言模型在预训练和后训练过程中可能形成对个人敏感信息的参数化记忆，并在特定提示下输出电话号码、邮箱等个人可识别信息（Personally Identifiable Information，PII）。仅依赖输出过滤或提示层拒答难以改变模型内部已经形成的知识关联，而全量重训又需要较高计算成本和数据访问条件。针对这一问题，本文研究基于模型编辑的隐私知识清洗方法，目标是在降低目标隐私泄露的同时保持同主体公开知识、同关系其他主体公开知识和通用知识。本文首先构建 private/public 解耦的合成隐私评测基准，将隐私事实与公开事实显式分离；随后通过低秩适配（Low-Rank Adaptation，LoRA）向 Qwen2.5-7B 注入可控隐私记忆，形成统一的合并后隐私泄露模型。在此基础上，本文将秩一模型编辑（Rank-One Model Editing，ROME）、Transformer 批量记忆编辑（Mass-Editing Memory in a Transformer，MEMIT）和微调（Fine-Tuning，FT）等方法适配到隐私拒答式清洗任务，并设计隐私感知闭环编辑（Privacy-Aware Closed-loop Editing，PACE）、副作用感知隐私编辑（Collateral-Aware Privacy Editing，CAPE）以及引入公开知识锚点的 CAPE-Anchor。实验结果表明，单纯提示拒答难以改变模型内部隐私记忆；ROME 能降低部分隐私泄露但会影响公开知识；MEMIT 公开知识保持较好但隐私压制较弱；FT 与 PACE/CAPE 可形成强隐私压制端点，但容易造成公开知识保持下降和过度拒答。CAPE-Anchor 通过显式加入公开知识锚点，将 naive PACE/CAPE 中接近塌缩的公开知识保持能力拉回，在牺牲部分隐私压制强度的情况下形成了更合理的隐私压制—知识保持折中。进一步的 Qwen 公开事实编辑实验表明，closed-loop request selection 可以迁移运行但效果中等；GPT-J-6B 上的边界实验显示，未重新调参的 wrapper 对模型和编辑器超参数较敏感。本文结果为模型特定校准、局部性约束和 retain-aware objective 的后续研究提供了可复现实验依据。</w:t>
      </w:r>
    </w:p>
    <w:p>
      <w:pPr>
        <w:pStyle w:val="Heading1"/>
      </w:pPr>
      <w:r>
        <w:t>关键词</w:t>
      </w:r>
    </w:p>
    <w:p>
      <w:pPr>
        <w:spacing w:line="276" w:lineRule="auto"/>
        <w:ind w:firstLine="420"/>
      </w:pPr>
      <w:r>
        <w:rPr>
          <w:rFonts w:ascii="宋体" w:hAnsi="宋体" w:eastAsia="宋体"/>
          <w:sz w:val="21"/>
        </w:rPr>
        <w:t>大语言模型；模型编辑；隐私知识清洗；ROME；MEMIT；PACE；CAPE-Anchor；过度拒答</w:t>
      </w:r>
    </w:p>
    <w:p>
      <w:pPr>
        <w:pStyle w:val="Heading1"/>
      </w:pPr>
      <w:r>
        <w:t>第1章 绪论</w:t>
      </w:r>
    </w:p>
    <w:p>
      <w:pPr>
        <w:pStyle w:val="Heading2"/>
      </w:pPr>
      <w:r>
        <w:t>1.1 研究背景</w:t>
      </w:r>
    </w:p>
    <w:p>
      <w:pPr>
        <w:spacing w:line="276" w:lineRule="auto"/>
        <w:ind w:firstLine="420"/>
      </w:pPr>
      <w:r>
        <w:rPr>
          <w:rFonts w:ascii="宋体" w:hAnsi="宋体" w:eastAsia="宋体"/>
          <w:sz w:val="21"/>
        </w:rPr>
        <w:t>大语言模型已经成为智能系统的重要基础设施，被广泛应用于问答、办公自动化、代码生成和知识服务等场景。模型通过大规模语料学习语言规律和事实关联，在获得强生成能力的同时，也可能记忆训练语料或后训练数据中的具体事实。若这些事实涉及电话号码、邮箱、住址、工作单位等敏感信息，模型在特定提示下可能输出隐私内容，进而带来安全、合规和信任风险。</w:t>
      </w:r>
    </w:p>
    <w:p>
      <w:pPr>
        <w:spacing w:line="276" w:lineRule="auto"/>
        <w:ind w:firstLine="420"/>
      </w:pPr>
      <w:r>
        <w:rPr>
          <w:rFonts w:ascii="宋体" w:hAnsi="宋体" w:eastAsia="宋体"/>
          <w:sz w:val="21"/>
        </w:rPr>
        <w:t>传统防护方式多发生在输出层，例如关键词过滤、安全分类器和拒答模板。这类方法部署便利，但没有直接改变模型内部已经形成的知识关联。对于改写询问、补全诱导、上下文诱导等攻击形式，外部过滤策略可能出现漏检。模型编辑则尝试在参数层面对特定事实关联进行局部修改，为隐私知识清洗提供了不同于重训和输出过滤的技术路径。</w:t>
      </w:r>
    </w:p>
    <w:p>
      <w:pPr>
        <w:pStyle w:val="Heading2"/>
      </w:pPr>
      <w:r>
        <w:t>1.2 大语言模型隐私泄露问题</w:t>
      </w:r>
    </w:p>
    <w:p>
      <w:pPr>
        <w:spacing w:line="276" w:lineRule="auto"/>
        <w:ind w:firstLine="420"/>
      </w:pPr>
      <w:r>
        <w:rPr>
          <w:rFonts w:ascii="宋体" w:hAnsi="宋体" w:eastAsia="宋体"/>
          <w:sz w:val="21"/>
        </w:rPr>
        <w:t>隐私泄露并不只表现为模型在直接询问时输出敏感值。用户可以通过改写问题、要求模型补全个人资料、设定角色扮演场景或提供上下文诱导模型继续生成。电话号码、邮箱等结构化隐私值具有明显格式特征，既便于自动检测，也可能在续写式提示中被模型生成。因而，隐私清洗评价需要覆盖多种攻击类型，而不能只依赖单一问答模板。</w:t>
      </w:r>
    </w:p>
    <w:p>
      <w:pPr>
        <w:spacing w:line="276" w:lineRule="auto"/>
        <w:ind w:firstLine="420"/>
      </w:pPr>
      <w:r>
        <w:rPr>
          <w:rFonts w:ascii="宋体" w:hAnsi="宋体" w:eastAsia="宋体"/>
          <w:sz w:val="21"/>
        </w:rPr>
        <w:t>真实个人信息存在合规和复现困难：研究者很难确认某条真实隐私是否确实被预训练模型记忆，也不应在论文中展示真实个人敏感信息。本文采用合成隐私事实，目的不是模拟全部真实世界复杂性，而是构造可控、可归因、可重复的隐私泄露对象，使不同编辑方法能够在同一实验起点上比较。</w:t>
      </w:r>
    </w:p>
    <w:p>
      <w:pPr>
        <w:pStyle w:val="Heading2"/>
      </w:pPr>
      <w:r>
        <w:t>1.3 模型编辑用于隐私清洗的动机</w:t>
      </w:r>
    </w:p>
    <w:p>
      <w:pPr>
        <w:spacing w:line="276" w:lineRule="auto"/>
        <w:ind w:firstLine="420"/>
      </w:pPr>
      <w:r>
        <w:rPr>
          <w:rFonts w:ascii="宋体" w:hAnsi="宋体" w:eastAsia="宋体"/>
          <w:sz w:val="21"/>
        </w:rPr>
        <w:t>模型编辑旨在以较低代价修改模型中的特定知识关联。与全量重训相比，编辑方法通常只处理少量目标事实，计算成本更低；与输出过滤相比，编辑方法直接作用于模型参数或模型调用路径，更接近隐私知识清洗的目标。普通事实编辑通常希望把错误事实替换为正确事实，而隐私清洗希望模型对目标隐私查询不输出敏感值，同时保留相关公开事实，这使隐私清洗天然具有多目标属性。</w:t>
      </w:r>
    </w:p>
    <w:p>
      <w:pPr>
        <w:pStyle w:val="Heading2"/>
      </w:pPr>
      <w:r>
        <w:t>1.4 当前方法的不足</w:t>
      </w:r>
    </w:p>
    <w:p>
      <w:pPr>
        <w:spacing w:line="276" w:lineRule="auto"/>
        <w:ind w:firstLine="420"/>
      </w:pPr>
      <w:r>
        <w:rPr>
          <w:rFonts w:ascii="宋体" w:hAnsi="宋体" w:eastAsia="宋体"/>
          <w:sz w:val="21"/>
        </w:rPr>
        <w:t>现有模型编辑评测通常强调可靠性、泛化性和局部性，但隐私拒答式清洗还需要显式衡量公开问题是否被误拒。若只统计隐私查询上的拒答比例，模型可能通过对整类人物问题泛化拒答获得较好数值；若只报告公开知识保持，又可能忽略目标隐私泄露。因此，本文同时报告隐私值包含率、PII 格式匹配率、公开知识保持率和公开问题拒答率，用于区分真正隐私压制和过度拒答。</w:t>
      </w:r>
    </w:p>
    <w:p>
      <w:pPr>
        <w:pStyle w:val="Heading2"/>
      </w:pPr>
      <w:r>
        <w:t>1.5 本文研究内容与贡献</w:t>
      </w:r>
    </w:p>
    <w:p>
      <w:pPr>
        <w:spacing w:line="276" w:lineRule="auto"/>
        <w:ind w:firstLine="420"/>
      </w:pPr>
      <w:r>
        <w:rPr>
          <w:rFonts w:ascii="宋体" w:hAnsi="宋体" w:eastAsia="宋体"/>
          <w:sz w:val="21"/>
        </w:rPr>
        <w:t>本文围绕“基于模型编辑的大语言模型隐私知识清洗”构建完整实验流程。主要贡献如下。</w:t>
      </w:r>
    </w:p>
    <w:p>
      <w:pPr>
        <w:spacing w:line="276" w:lineRule="auto"/>
        <w:ind w:firstLine="420"/>
      </w:pPr>
      <w:r>
        <w:rPr>
          <w:rFonts w:ascii="宋体" w:hAnsi="宋体" w:eastAsia="宋体"/>
          <w:sz w:val="21"/>
        </w:rPr>
        <w:t>第一，构建 private/public 解耦的合成隐私清洗基准，支持同时评估目标隐私压制与公开知识保持。该基准包含隐私事实、同主体公开事实、同关系其他主体公开事实和通用知识，使副作用分析具有明确对象。</w:t>
      </w:r>
    </w:p>
    <w:p>
      <w:pPr>
        <w:spacing w:line="276" w:lineRule="auto"/>
        <w:ind w:firstLine="420"/>
      </w:pPr>
      <w:r>
        <w:rPr>
          <w:rFonts w:ascii="宋体" w:hAnsi="宋体" w:eastAsia="宋体"/>
          <w:sz w:val="21"/>
        </w:rPr>
        <w:t>第二，基于 LoRA 构造可控隐私泄露模型，并将 ROME、MEMIT、FT 等模型编辑方法适配到隐私拒答式清洗任务。该设计避免真实预训练 PII 来源不可控的问题，使编辑效果能够追溯到明确的合成事实集合。</w:t>
      </w:r>
    </w:p>
    <w:p>
      <w:pPr>
        <w:spacing w:line="276" w:lineRule="auto"/>
        <w:ind w:firstLine="420"/>
      </w:pPr>
      <w:r>
        <w:rPr>
          <w:rFonts w:ascii="宋体" w:hAnsi="宋体" w:eastAsia="宋体"/>
          <w:sz w:val="21"/>
        </w:rPr>
        <w:t>第三，设计 PACE、CAPE 与 CAPE-Anchor 闭环请求选择策略，用于分析 residual leakage re-edit、过度拒答和公开知识锚点约束。三者均位于编辑器外层，不改变 ROME/MEMIT 的底层更新公式。</w:t>
      </w:r>
    </w:p>
    <w:p>
      <w:pPr>
        <w:spacing w:line="276" w:lineRule="auto"/>
        <w:ind w:firstLine="420"/>
      </w:pPr>
      <w:r>
        <w:rPr>
          <w:rFonts w:ascii="宋体" w:hAnsi="宋体" w:eastAsia="宋体"/>
          <w:sz w:val="21"/>
        </w:rPr>
        <w:t>第四，建立隐私压制—知识保持权衡分析，包括 Public Refusal、attack-type split、Qwen public transfer 和 GPT-J boundary check。该评估体系将正向结果与边界结果同时纳入论文叙事，避免把单指标最优误读为全面成功。</w:t>
      </w:r>
    </w:p>
    <w:p>
      <w:pPr>
        <w:pStyle w:val="Heading2"/>
      </w:pPr>
      <w:r>
        <w:t>1.6 论文组织结构</w:t>
      </w:r>
    </w:p>
    <w:p>
      <w:pPr>
        <w:spacing w:line="276" w:lineRule="auto"/>
        <w:ind w:firstLine="420"/>
      </w:pPr>
      <w:r>
        <w:rPr>
          <w:rFonts w:ascii="宋体" w:hAnsi="宋体" w:eastAsia="宋体"/>
          <w:sz w:val="21"/>
        </w:rPr>
        <w:t>第2章介绍大语言模型隐私泄露、模型编辑和隐私清洗评价基础；第3章给出合成隐私基准、LoRA 注入和 PACE/CAPE/CAPE-Anchor 方法设计；第4章报告实验设置、主结果、消融、公开迁移与边界分析；第5章说明系统实现与软件组织；第6章总结全文并讨论局限与后续工作。</w:t>
      </w:r>
    </w:p>
    <w:p>
      <w:pPr>
        <w:pStyle w:val="Heading1"/>
      </w:pPr>
      <w:r>
        <w:t>第2章 相关技术与研究基础</w:t>
      </w:r>
    </w:p>
    <w:p>
      <w:pPr>
        <w:pStyle w:val="Heading2"/>
      </w:pPr>
      <w:r>
        <w:t>2.1 大语言模型与参数化知识</w:t>
      </w:r>
    </w:p>
    <w:p>
      <w:pPr>
        <w:spacing w:line="276" w:lineRule="auto"/>
        <w:ind w:firstLine="420"/>
      </w:pPr>
      <w:r>
        <w:rPr>
          <w:rFonts w:ascii="宋体" w:hAnsi="宋体" w:eastAsia="宋体"/>
          <w:sz w:val="21"/>
        </w:rPr>
        <w:t>大语言模型可被视为在参数中编码了大量语言模式和事实关联。部分研究指出 Transformer 前馈层具有类似键值记忆的作用，注意力层和前馈层共同参与知识存储与调用。隐私记忆可以理解为模型在参数中形成的关于个人敏感事实的可触发关联。当查询提示与该关联匹配时，模型可能输出对应敏感值。</w:t>
      </w:r>
    </w:p>
    <w:p>
      <w:pPr>
        <w:spacing w:line="276" w:lineRule="auto"/>
        <w:ind w:firstLine="420"/>
      </w:pPr>
      <w:r>
        <w:rPr>
          <w:rFonts w:ascii="宋体" w:hAnsi="宋体" w:eastAsia="宋体"/>
          <w:sz w:val="21"/>
        </w:rPr>
        <w:t>参数化知识并不以显式数据库记录形式存在，而是分布在大量权重和激活模式中。隐私事实一旦进入这种表示空间，删除原始训练样本并不必然消除模型输出该事实的能力。模型编辑的研究价值正来自这一点：它尝试在较低重训成本下修改局部知识关联，从而为后训练隐私清洗提供可操作路径。</w:t>
      </w:r>
    </w:p>
    <w:p>
      <w:pPr>
        <w:pStyle w:val="Heading2"/>
      </w:pPr>
      <w:r>
        <w:t>2.2 隐私泄露、训练数据记忆与拒答机制</w:t>
      </w:r>
    </w:p>
    <w:p>
      <w:pPr>
        <w:spacing w:line="276" w:lineRule="auto"/>
        <w:ind w:firstLine="420"/>
      </w:pPr>
      <w:r>
        <w:rPr>
          <w:rFonts w:ascii="宋体" w:hAnsi="宋体" w:eastAsia="宋体"/>
          <w:sz w:val="21"/>
        </w:rPr>
        <w:t>训练数据抽取和记忆研究表明，神经语言模型可能在特定条件下复现训练样本中的长片段或结构化信息[1-3]。差分隐私和机器遗忘从训练机制或样本移除角度控制隐私风险[4-5]，但往往需要重新训练、访问原始训练数据或付出较高效用代价。对于已经部署或已经后训练的模型，参数级局部编辑是一条更轻量的补救路径。</w:t>
      </w:r>
    </w:p>
    <w:p>
      <w:pPr>
        <w:spacing w:line="276" w:lineRule="auto"/>
        <w:ind w:firstLine="420"/>
      </w:pPr>
      <w:r>
        <w:rPr>
          <w:rFonts w:ascii="宋体" w:hAnsi="宋体" w:eastAsia="宋体"/>
          <w:sz w:val="21"/>
        </w:rPr>
        <w:t>拒答机制本身并不等价于隐私清洗。合理拒答应发生在目标隐私查询上，而公开知识、非敏感事实和通用问题不应被误拒。因此，本文把公开问题拒答率作为核心副作用指标，用于判断模型是否只是学到宽泛拒答模板。</w:t>
      </w:r>
    </w:p>
    <w:p>
      <w:pPr>
        <w:pStyle w:val="Heading2"/>
      </w:pPr>
      <w:r>
        <w:t>2.3 模型编辑方法概述</w:t>
      </w:r>
    </w:p>
    <w:p>
      <w:pPr>
        <w:spacing w:line="276" w:lineRule="auto"/>
        <w:ind w:firstLine="420"/>
      </w:pPr>
      <w:r>
        <w:rPr>
          <w:rFonts w:ascii="宋体" w:hAnsi="宋体" w:eastAsia="宋体"/>
          <w:sz w:val="21"/>
        </w:rPr>
        <w:t>模型编辑旨在不全量重训模型的情况下修改特定知识。ROME、MEMIT、MEND、SERAC、IKE、GRACE 等方法分别从局部参数更新、批量编辑、元学习、外部记忆、上下文学习或适配器角度探索编辑机制[7-11]。EasyEdit 将多种编辑方法统一到同一工程框架中，为同模型、同数据、同评估协议下的横向比较提供了基础[14-15]。</w:t>
      </w:r>
    </w:p>
    <w:p>
      <w:pPr>
        <w:pStyle w:val="Heading2"/>
      </w:pPr>
      <w:r>
        <w:t>2.4 ROME 与 MEMIT</w:t>
      </w:r>
    </w:p>
    <w:p>
      <w:pPr>
        <w:spacing w:line="276" w:lineRule="auto"/>
        <w:ind w:firstLine="420"/>
      </w:pPr>
      <w:r>
        <w:rPr>
          <w:rFonts w:ascii="宋体" w:hAnsi="宋体" w:eastAsia="宋体"/>
          <w:sz w:val="21"/>
        </w:rPr>
        <w:t>ROME 面向单条事实编辑，通过定位事实关联在模型中的关键层并执行秩一更新来改变目标输出[7]。MEMIT 面向批量事实编辑，在多个层上估计更新并同时注入多条编辑约束[8]。二者的原始设计目标并非隐私清洗，因此需要结合公开知识保持和过度拒答指标重新评价。</w:t>
      </w:r>
    </w:p>
    <w:p>
      <w:pPr>
        <w:pStyle w:val="Heading2"/>
      </w:pPr>
      <w:r>
        <w:t>2.5 微调类与定位类编辑基线</w:t>
      </w:r>
    </w:p>
    <w:p>
      <w:pPr>
        <w:spacing w:line="276" w:lineRule="auto"/>
        <w:ind w:firstLine="420"/>
      </w:pPr>
      <w:r>
        <w:rPr>
          <w:rFonts w:ascii="宋体" w:hAnsi="宋体" w:eastAsia="宋体"/>
          <w:sz w:val="21"/>
        </w:rPr>
        <w:t>FT 通过小规模梯度更新直接优化目标请求，能够提供强编辑端点，但可能导致过覆盖。KN 等定位类方法尝试寻找知识相关神经元，但在大模型和长上下文下计算开销较高。本文保留 FT 作为强覆盖对照，并将 KN/IKE 的资源受限结果纳入 failure/resource limitation 表，而不伪造成有效对比。</w:t>
      </w:r>
    </w:p>
    <w:p>
      <w:pPr>
        <w:pStyle w:val="Heading2"/>
      </w:pPr>
      <w:r>
        <w:t>2.6 隐私清洗评价指标</w:t>
      </w:r>
    </w:p>
    <w:p>
      <w:pPr>
        <w:spacing w:line="276" w:lineRule="auto"/>
        <w:ind w:firstLine="420"/>
      </w:pPr>
      <w:r>
        <w:rPr>
          <w:rFonts w:ascii="宋体" w:hAnsi="宋体" w:eastAsia="宋体"/>
          <w:sz w:val="21"/>
        </w:rPr>
        <w:t>本文主要使用六类指标。Private Value Contains 判断目标隐私值是否出现在私有攻击输出中；PII-format Regex 统计电话、邮箱等结构化敏感格式；Sensitive Pattern 统计敏感格式输出倾向；Private Refusal 衡量隐私查询拒答；Public Contains 衡量公开事实是否被保留；Public Refusal 衡量公开问题是否被误拒。公开 CounterFact/zsRE 实验只报告 Reliability、Generalization 和 Locality，不与 synthetic privacy 指标混表。</w:t>
      </w:r>
    </w:p>
    <w:p>
      <w:pPr>
        <w:pStyle w:val="Heading2"/>
      </w:pPr>
      <w:r>
        <w:t>2.7 本章小结</w:t>
      </w:r>
    </w:p>
    <w:p>
      <w:pPr>
        <w:spacing w:line="276" w:lineRule="auto"/>
        <w:ind w:firstLine="420"/>
      </w:pPr>
      <w:r>
        <w:rPr>
          <w:rFonts w:ascii="宋体" w:hAnsi="宋体" w:eastAsia="宋体"/>
          <w:sz w:val="21"/>
        </w:rPr>
        <w:t>本章说明了隐私知识清洗不同于普通事实编辑：其目标不是替换一个事实，而是在压制敏感值的同时保留公开知识。该任务需要同时分析泄露、保持和过度拒答，为后续方法设计提供了评价基础。</w:t>
      </w:r>
    </w:p>
    <w:p>
      <w:pPr>
        <w:pStyle w:val="Heading1"/>
      </w:pPr>
      <w:r>
        <w:t>第3章 方法设计</w:t>
      </w:r>
    </w:p>
    <w:p>
      <w:pPr>
        <w:pStyle w:val="Heading2"/>
      </w:pPr>
      <w:r>
        <w:t>3.1 任务定义</w:t>
      </w:r>
    </w:p>
    <w:p>
      <w:pPr>
        <w:spacing w:line="276" w:lineRule="auto"/>
        <w:ind w:firstLine="420"/>
      </w:pPr>
      <w:r>
        <w:rPr>
          <w:rFonts w:ascii="宋体" w:hAnsi="宋体" w:eastAsia="宋体"/>
          <w:sz w:val="21"/>
        </w:rPr>
        <w:t>设原模型为 M，编辑后模型为 M'，待清洗隐私事实集合为 K_F，需要保留的公开事实集合为 K_R。隐私知识清洗要求 M' 在隐私查询集合 Q_F 上降低目标敏感值输出，在公开查询集合 Q_R 上保持正确公开事实，并避免把非敏感问题泛化为拒答。本文使用如下多目标形式描述任务：</w:t>
      </w:r>
    </w:p>
    <w:p>
      <w:pPr>
        <w:spacing w:line="276" w:lineRule="auto"/>
        <w:ind w:firstLine="420"/>
      </w:pPr>
      <w:r>
        <w:rPr>
          <w:rFonts w:ascii="宋体" w:hAnsi="宋体" w:eastAsia="宋体"/>
          <w:sz w:val="21"/>
        </w:rPr>
        <w:t>$$\mathcal{J}(M') = \operatorname{Leakage}(M', K_F) + \lambda \operatorname{UtilityLoss}(M, M', K_R) + \mu \operatorname{OverRefusal}(M', K_R).$$</w:t>
      </w:r>
    </w:p>
    <w:p>
      <w:pPr>
        <w:spacing w:line="276" w:lineRule="auto"/>
        <w:ind w:firstLine="420"/>
      </w:pPr>
      <w:r>
        <w:rPr>
          <w:rFonts w:ascii="宋体" w:hAnsi="宋体" w:eastAsia="宋体"/>
          <w:sz w:val="21"/>
        </w:rPr>
        <w:t>该公式不是训练目标，而是评价视角：隐私泄露越低越好，公开知识损失越小越好，公开问题过度拒答越少越好。</w:t>
      </w:r>
    </w:p>
    <w:p>
      <w:pPr>
        <w:pStyle w:val="Heading2"/>
      </w:pPr>
      <w:r>
        <w:t>3.2 private/public 解耦的合成隐私基准</w:t>
      </w:r>
    </w:p>
    <w:p>
      <w:pPr>
        <w:spacing w:line="276" w:lineRule="auto"/>
        <w:ind w:firstLine="420"/>
      </w:pPr>
      <w:r>
        <w:rPr>
          <w:rFonts w:ascii="宋体" w:hAnsi="宋体" w:eastAsia="宋体"/>
          <w:sz w:val="21"/>
        </w:rPr>
        <w:t>评测基准包含 100 个虚拟人物。每个人物具有电话号码、邮箱等隐私事实，以及职业、学校、雇主、家乡等公开事实。公开事实进一步划分为同主体公开知识、同关系其他主体公开知识和通用知识，用于观察编辑是否只影响目标隐私，还是扩散到相邻公开知识。</w:t>
      </w:r>
    </w:p>
    <w:p>
      <w:pPr>
        <w:spacing w:line="276" w:lineRule="auto"/>
        <w:ind w:firstLine="420"/>
      </w:pPr>
      <w:r>
        <w:rPr>
          <w:rFonts w:ascii="宋体" w:hAnsi="宋体" w:eastAsia="宋体"/>
          <w:sz w:val="21"/>
        </w:rPr>
        <w:t>表1给出数据构成。合成数据的优势在于 ground truth 完全可控，能够精确判断模型输出是否包含目标隐私值或公开答案。与真实 PII 相比，合成数据避免了展示真实个人信息的伦理和合规问题，同时保留电话号码、邮箱等结构化隐私格式，使泄露检测具有可重复性。</w:t>
      </w:r>
    </w:p>
    <w:p>
      <w:pPr>
        <w:spacing w:line="276" w:lineRule="auto"/>
        <w:ind w:firstLine="420"/>
      </w:pPr>
      <w:r>
        <w:rPr>
          <w:rFonts w:ascii="宋体" w:hAnsi="宋体" w:eastAsia="宋体"/>
          <w:sz w:val="21"/>
        </w:rPr>
        <w:t>表1 合成隐私基准数据构成</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E8EEF5"/>
          </w:tcPr>
          <w:p>
            <w:pPr>
              <w:jc w:val="center"/>
            </w:pPr>
            <w:r/>
            <w:r>
              <w:rPr>
                <w:rFonts w:ascii="宋体" w:hAnsi="宋体" w:eastAsia="宋体"/>
                <w:b/>
                <w:sz w:val="17"/>
              </w:rPr>
              <w:t>项目</w:t>
            </w:r>
          </w:p>
        </w:tc>
        <w:tc>
          <w:tcPr>
            <w:tcW w:type="dxa" w:w="4680"/>
            <w:vAlign w:val="center"/>
            <w:shd w:fill="E8EEF5"/>
          </w:tcPr>
          <w:p>
            <w:pPr>
              <w:jc w:val="center"/>
            </w:pPr>
            <w:r/>
            <w:r>
              <w:rPr>
                <w:rFonts w:ascii="宋体" w:hAnsi="宋体" w:eastAsia="宋体"/>
                <w:b/>
                <w:sz w:val="17"/>
              </w:rPr>
              <w:t>规模或说明</w:t>
            </w:r>
          </w:p>
        </w:tc>
      </w:tr>
      <w:tr>
        <w:tc>
          <w:tcPr>
            <w:tcW w:type="dxa" w:w="4680"/>
            <w:vAlign w:val="center"/>
          </w:tcPr>
          <w:p>
            <w:pPr>
              <w:jc w:val="center"/>
            </w:pPr>
            <w:r/>
            <w:r>
              <w:rPr>
                <w:rFonts w:ascii="宋体" w:hAnsi="宋体" w:eastAsia="宋体"/>
                <w:b w:val="0"/>
                <w:sz w:val="17"/>
              </w:rPr>
              <w:t>人物数量</w:t>
            </w:r>
          </w:p>
        </w:tc>
        <w:tc>
          <w:tcPr>
            <w:tcW w:type="dxa" w:w="4680"/>
            <w:vAlign w:val="center"/>
          </w:tcPr>
          <w:p>
            <w:pPr>
              <w:jc w:val="center"/>
            </w:pPr>
            <w:r/>
            <w:r>
              <w:rPr>
                <w:rFonts w:ascii="宋体" w:hAnsi="宋体" w:eastAsia="宋体"/>
                <w:b w:val="0"/>
                <w:sz w:val="17"/>
              </w:rPr>
              <w:t>100</w:t>
            </w:r>
          </w:p>
        </w:tc>
      </w:tr>
      <w:tr>
        <w:tc>
          <w:tcPr>
            <w:tcW w:type="dxa" w:w="4680"/>
            <w:vAlign w:val="center"/>
          </w:tcPr>
          <w:p>
            <w:pPr>
              <w:jc w:val="center"/>
            </w:pPr>
            <w:r/>
            <w:r>
              <w:rPr>
                <w:rFonts w:ascii="宋体" w:hAnsi="宋体" w:eastAsia="宋体"/>
                <w:b w:val="0"/>
                <w:sz w:val="17"/>
              </w:rPr>
              <w:t>隐私事实类型</w:t>
            </w:r>
          </w:p>
        </w:tc>
        <w:tc>
          <w:tcPr>
            <w:tcW w:type="dxa" w:w="4680"/>
            <w:vAlign w:val="center"/>
          </w:tcPr>
          <w:p>
            <w:pPr>
              <w:jc w:val="center"/>
            </w:pPr>
            <w:r/>
            <w:r>
              <w:rPr>
                <w:rFonts w:ascii="宋体" w:hAnsi="宋体" w:eastAsia="宋体"/>
                <w:b w:val="0"/>
                <w:sz w:val="17"/>
              </w:rPr>
              <w:t>电话、邮箱</w:t>
            </w:r>
          </w:p>
        </w:tc>
      </w:tr>
      <w:tr>
        <w:tc>
          <w:tcPr>
            <w:tcW w:type="dxa" w:w="4680"/>
            <w:vAlign w:val="center"/>
          </w:tcPr>
          <w:p>
            <w:pPr>
              <w:jc w:val="center"/>
            </w:pPr>
            <w:r/>
            <w:r>
              <w:rPr>
                <w:rFonts w:ascii="宋体" w:hAnsi="宋体" w:eastAsia="宋体"/>
                <w:b w:val="0"/>
                <w:sz w:val="17"/>
              </w:rPr>
              <w:t>公开事实类型</w:t>
            </w:r>
          </w:p>
        </w:tc>
        <w:tc>
          <w:tcPr>
            <w:tcW w:type="dxa" w:w="4680"/>
            <w:vAlign w:val="center"/>
          </w:tcPr>
          <w:p>
            <w:pPr>
              <w:jc w:val="center"/>
            </w:pPr>
            <w:r/>
            <w:r>
              <w:rPr>
                <w:rFonts w:ascii="宋体" w:hAnsi="宋体" w:eastAsia="宋体"/>
                <w:b w:val="0"/>
                <w:sz w:val="17"/>
              </w:rPr>
              <w:t>职业、学校、雇主、家乡等</w:t>
            </w:r>
          </w:p>
        </w:tc>
      </w:tr>
      <w:tr>
        <w:tc>
          <w:tcPr>
            <w:tcW w:type="dxa" w:w="4680"/>
            <w:vAlign w:val="center"/>
          </w:tcPr>
          <w:p>
            <w:pPr>
              <w:jc w:val="center"/>
            </w:pPr>
            <w:r/>
            <w:r>
              <w:rPr>
                <w:rFonts w:ascii="宋体" w:hAnsi="宋体" w:eastAsia="宋体"/>
                <w:b w:val="0"/>
                <w:sz w:val="17"/>
              </w:rPr>
              <w:t>隐私攻击提示</w:t>
            </w:r>
          </w:p>
        </w:tc>
        <w:tc>
          <w:tcPr>
            <w:tcW w:type="dxa" w:w="4680"/>
            <w:vAlign w:val="center"/>
          </w:tcPr>
          <w:p>
            <w:pPr>
              <w:jc w:val="left"/>
            </w:pPr>
            <w:r/>
            <w:r>
              <w:rPr>
                <w:rFonts w:ascii="宋体" w:hAnsi="宋体" w:eastAsia="宋体"/>
                <w:b w:val="0"/>
                <w:sz w:val="17"/>
              </w:rPr>
              <w:t>direct、paraphrase、completion、roleplay、context</w:t>
            </w:r>
          </w:p>
        </w:tc>
      </w:tr>
      <w:tr>
        <w:tc>
          <w:tcPr>
            <w:tcW w:type="dxa" w:w="4680"/>
            <w:vAlign w:val="center"/>
          </w:tcPr>
          <w:p>
            <w:pPr>
              <w:jc w:val="center"/>
            </w:pPr>
            <w:r/>
            <w:r>
              <w:rPr>
                <w:rFonts w:ascii="宋体" w:hAnsi="宋体" w:eastAsia="宋体"/>
                <w:b w:val="0"/>
                <w:sz w:val="17"/>
              </w:rPr>
              <w:t>完整隐私评估</w:t>
            </w:r>
          </w:p>
        </w:tc>
        <w:tc>
          <w:tcPr>
            <w:tcW w:type="dxa" w:w="4680"/>
            <w:vAlign w:val="center"/>
          </w:tcPr>
          <w:p>
            <w:pPr>
              <w:jc w:val="center"/>
            </w:pPr>
            <w:r/>
            <w:r>
              <w:rPr>
                <w:rFonts w:ascii="宋体" w:hAnsi="宋体" w:eastAsia="宋体"/>
                <w:b w:val="0"/>
                <w:sz w:val="17"/>
              </w:rPr>
              <w:t>3000 条生成</w:t>
            </w:r>
          </w:p>
        </w:tc>
      </w:tr>
      <w:tr>
        <w:tc>
          <w:tcPr>
            <w:tcW w:type="dxa" w:w="4680"/>
            <w:vAlign w:val="center"/>
          </w:tcPr>
          <w:p>
            <w:pPr>
              <w:jc w:val="center"/>
            </w:pPr>
            <w:r/>
            <w:r>
              <w:rPr>
                <w:rFonts w:ascii="宋体" w:hAnsi="宋体" w:eastAsia="宋体"/>
                <w:b w:val="0"/>
                <w:sz w:val="17"/>
              </w:rPr>
              <w:t>公开知识评估</w:t>
            </w:r>
          </w:p>
        </w:tc>
        <w:tc>
          <w:tcPr>
            <w:tcW w:type="dxa" w:w="4680"/>
            <w:vAlign w:val="center"/>
          </w:tcPr>
          <w:p>
            <w:pPr>
              <w:jc w:val="center"/>
            </w:pPr>
            <w:r/>
            <w:r>
              <w:rPr>
                <w:rFonts w:ascii="宋体" w:hAnsi="宋体" w:eastAsia="宋体"/>
                <w:b w:val="0"/>
                <w:sz w:val="17"/>
              </w:rPr>
              <w:t>2520 条生成</w:t>
            </w:r>
          </w:p>
        </w:tc>
      </w:tr>
    </w:tbl>
    <w:p/>
    <w:p>
      <w:pPr>
        <w:pStyle w:val="Heading2"/>
      </w:pPr>
      <w:r>
        <w:t>3.3 LoRA 可控隐私注入</w:t>
      </w:r>
    </w:p>
    <w:p>
      <w:pPr>
        <w:spacing w:line="276" w:lineRule="auto"/>
        <w:ind w:firstLine="420"/>
      </w:pPr>
      <w:r>
        <w:rPr>
          <w:rFonts w:ascii="宋体" w:hAnsi="宋体" w:eastAsia="宋体"/>
          <w:sz w:val="21"/>
        </w:rPr>
        <w:t>本文使用 MLP-only LoRA 将隐私事实和公开事实共同注入 Qwen2.5-7B，并将适配器合并为待编辑模型。合并后模型在隐私查询上具有较高泄露率，同时在公开问题上保持较高包含式保持率，说明该模型适合作为统一编辑起点。</w:t>
      </w:r>
    </w:p>
    <w:p>
      <w:pPr>
        <w:spacing w:line="276" w:lineRule="auto"/>
        <w:ind w:firstLine="420"/>
      </w:pPr>
      <w:r>
        <w:rPr>
          <w:rFonts w:ascii="宋体" w:hAnsi="宋体" w:eastAsia="宋体"/>
          <w:sz w:val="21"/>
        </w:rPr>
        <w:t>选择合并后的模型作为编辑对象还有一个重要原因：ROME 和 MEMIT 在运行时直接修改模型参数，如果继续依赖外部 adapter，会增加编辑对象和评估路径的不确定性。将 LoRA adapter 合并后，所有方法面对的是同一个普通 causal language model，便于比较编辑前后的参数级影响。</w:t>
      </w:r>
    </w:p>
    <w:p>
      <w:pPr>
        <w:pStyle w:val="Heading2"/>
      </w:pPr>
      <w:r>
        <w:t>3.4 隐私拒答式模型编辑</w:t>
      </w:r>
    </w:p>
    <w:p>
      <w:pPr>
        <w:spacing w:line="276" w:lineRule="auto"/>
        <w:ind w:firstLine="420"/>
      </w:pPr>
      <w:r>
        <w:rPr>
          <w:rFonts w:ascii="宋体" w:hAnsi="宋体" w:eastAsia="宋体"/>
          <w:sz w:val="21"/>
        </w:rPr>
        <w:t>第一轮编辑将隐私事实对应请求改写为拒答目标，使模型在目标隐私查询上倾向于拒绝输出敏感值。对于电话号码或邮箱，目标不是把旧值替换为另一个值，而是让模型避免输出该敏感值。因此编辑请求将原始隐私查询映射到安全拒答表达。该设计能够直接评估编辑器是否可以把事实编辑机制迁移到隐私保护目标。</w:t>
      </w:r>
    </w:p>
    <w:p>
      <w:pPr>
        <w:pStyle w:val="Heading2"/>
      </w:pPr>
      <w:r>
        <w:t>3.5 PACE：隐私感知闭环编辑</w:t>
      </w:r>
    </w:p>
    <w:p>
      <w:pPr>
        <w:spacing w:line="276" w:lineRule="auto"/>
        <w:ind w:firstLine="420"/>
      </w:pPr>
      <w:r>
        <w:rPr>
          <w:rFonts w:ascii="宋体" w:hAnsi="宋体" w:eastAsia="宋体"/>
          <w:sz w:val="21"/>
        </w:rPr>
        <w:t>PACE 是仅基于残余泄露风险的闭环再编辑策略。其核心思想是在第一轮编辑后重新评估残余泄露，从仍然泄露的样本中构造第二轮编辑请求，再执行补充编辑。PACE 保持底层编辑器公式不变，通过残余泄露驱动请求构造。本文采用二轮实例化，是为了控制运行成本并观察过度拒答风险。</w:t>
      </w:r>
    </w:p>
    <w:p>
      <w:pPr>
        <w:pStyle w:val="Heading2"/>
      </w:pPr>
      <w:r>
        <w:t>3.6 CAPE：副作用感知请求选择</w:t>
      </w:r>
    </w:p>
    <w:p>
      <w:pPr>
        <w:spacing w:line="276" w:lineRule="auto"/>
        <w:ind w:firstLine="420"/>
      </w:pPr>
      <w:r>
        <w:rPr>
          <w:rFonts w:ascii="宋体" w:hAnsi="宋体" w:eastAsia="宋体"/>
          <w:sz w:val="21"/>
        </w:rPr>
        <w:t>CAPE 是引入局部性风险、主体预算和请求数量控制的副作用感知请求筛选策略。它从残余泄露候选中选择请求，同时限制每个主体和总请求数，避免把拒答模式扩散到保留集合。其请求评分可概括为：</w:t>
      </w:r>
    </w:p>
    <w:p>
      <w:pPr>
        <w:spacing w:line="276" w:lineRule="auto"/>
        <w:ind w:firstLine="420"/>
      </w:pPr>
      <w:r>
        <w:rPr>
          <w:rFonts w:ascii="宋体" w:hAnsi="宋体" w:eastAsia="宋体"/>
          <w:sz w:val="21"/>
        </w:rPr>
        <w:t>$$\operatorname{score}(q)=\operatorname{Risk}_{leak}(q)-\lambda \operatorname{Risk}_{loc}(q).$$</w:t>
      </w:r>
    </w:p>
    <w:p>
      <w:pPr>
        <w:pStyle w:val="Heading2"/>
      </w:pPr>
      <w:r>
        <w:t>3.7 CAPE-Anchor：公开知识锚点约束</w:t>
      </w:r>
    </w:p>
    <w:p>
      <w:pPr>
        <w:spacing w:line="276" w:lineRule="auto"/>
        <w:ind w:firstLine="420"/>
      </w:pPr>
      <w:r>
        <w:rPr>
          <w:rFonts w:ascii="宋体" w:hAnsi="宋体" w:eastAsia="宋体"/>
          <w:sz w:val="21"/>
        </w:rPr>
        <w:t>CAPE-Anchor 在 CAPE 的基础上显式加入公开知识锚点。它不修改 ROME/MEMIT/EasyEdit 底层算法，而是在二轮请求选择阶段将 public anchors 纳入最终请求集合：</w:t>
      </w:r>
    </w:p>
    <w:p>
      <w:pPr>
        <w:spacing w:line="276" w:lineRule="auto"/>
        <w:ind w:firstLine="420"/>
      </w:pPr>
      <w:r>
        <w:rPr>
          <w:rFonts w:ascii="宋体" w:hAnsi="宋体" w:eastAsia="宋体"/>
          <w:sz w:val="21"/>
        </w:rPr>
        <w:t>$$R_{final}=R_{round1}\cup R_{privacy}\cup R_{anchor}.$$</w:t>
      </w:r>
    </w:p>
    <w:p>
      <w:pPr>
        <w:spacing w:line="276" w:lineRule="auto"/>
        <w:ind w:firstLine="420"/>
      </w:pPr>
      <w:r>
        <w:rPr>
          <w:rFonts w:ascii="宋体" w:hAnsi="宋体" w:eastAsia="宋体"/>
          <w:sz w:val="21"/>
        </w:rPr>
        <w:t>其中 R_privacy 来自 residual leakage，R_anchor 来自需要保留的公开事实。该设计的目的不是追求最低隐私泄露率，而是检验公开锚点能否将 PACE/CAPE 的公开知识塌缩拉回到更可用的折中区域。</w:t>
      </w:r>
    </w:p>
    <w:p>
      <w:pPr>
        <w:pStyle w:val="Heading2"/>
      </w:pPr>
      <w:r>
        <w:t>3.8 评价指标与权衡分析</w:t>
      </w:r>
    </w:p>
    <w:p>
      <w:pPr>
        <w:spacing w:line="276" w:lineRule="auto"/>
        <w:ind w:firstLine="420"/>
      </w:pPr>
      <w:r>
        <w:rPr>
          <w:rFonts w:ascii="宋体" w:hAnsi="宋体" w:eastAsia="宋体"/>
          <w:sz w:val="21"/>
        </w:rPr>
        <w:t>本文将隐私值包含率作为目标隐私泄露的主要自动指标。公开知识包含式保持率衡量公开事实答案是否出现在公开问题输出中。公开问题拒答率统计公开问题中出现拒答标记的比例，用于衡量过度拒答副作用。三类指标之间存在天然张力，因此本文不使用单一排名，而使用隐私压制—知识保持二维图和 failure/resource 表共同解释结果。</w:t>
      </w:r>
    </w:p>
    <w:p>
      <w:pPr>
        <w:pStyle w:val="Heading2"/>
      </w:pPr>
      <w:r>
        <w:t>3.9 本章小结</w:t>
      </w:r>
    </w:p>
    <w:p>
      <w:pPr>
        <w:spacing w:line="276" w:lineRule="auto"/>
        <w:ind w:firstLine="420"/>
      </w:pPr>
      <w:r>
        <w:rPr>
          <w:rFonts w:ascii="宋体" w:hAnsi="宋体" w:eastAsia="宋体"/>
          <w:sz w:val="21"/>
        </w:rPr>
        <w:t>本章给出了从合成数据、LoRA 注入、隐私拒答编辑到 PACE/CAPE/CAPE-Anchor 请求选择的完整方法设计。核心思想是把隐私清洗从单纯拒答任务转化为带公开知识约束的多目标编辑问题。</w:t>
      </w:r>
    </w:p>
    <w:p>
      <w:pPr>
        <w:pStyle w:val="Heading1"/>
      </w:pPr>
      <w:r>
        <w:t>第4章 实验设计与结果分析</w:t>
      </w:r>
    </w:p>
    <w:p>
      <w:pPr>
        <w:pStyle w:val="Heading2"/>
      </w:pPr>
      <w:r>
        <w:t>4.1 实验设置</w:t>
      </w:r>
    </w:p>
    <w:p>
      <w:pPr>
        <w:spacing w:line="276" w:lineRule="auto"/>
        <w:ind w:firstLine="420"/>
      </w:pPr>
      <w:r>
        <w:rPr>
          <w:rFonts w:ascii="宋体" w:hAnsi="宋体" w:eastAsia="宋体"/>
          <w:sz w:val="21"/>
        </w:rPr>
        <w:t>主实验使用 Qwen privacy merged 模型和 synthetic privacy v2 数据集。所有方法在同一隐私事实、公开事实和攻击提示集合上评估。公开 CounterFact/zsRE 实验只用于 factual editing 迁移验证，不作为 PII 清洗主结果。GPT-J-6B 仅作为第二模型边界验证，不写成跨模型成功。</w:t>
      </w:r>
    </w:p>
    <w:p>
      <w:pPr>
        <w:pStyle w:val="Heading2"/>
      </w:pPr>
      <w:r>
        <w:t>4.2 数据集与模型</w:t>
      </w:r>
    </w:p>
    <w:p>
      <w:pPr>
        <w:spacing w:line="276" w:lineRule="auto"/>
        <w:ind w:firstLine="420"/>
      </w:pPr>
      <w:r>
        <w:rPr>
          <w:rFonts w:ascii="宋体" w:hAnsi="宋体" w:eastAsia="宋体"/>
          <w:sz w:val="21"/>
        </w:rPr>
        <w:t>表2给出实验平台与运行环境。模型权重、缓存和大规模生成文件不作为论文正文的一部分，论文只保留小型 summary、CSV、图表和审计结果。</w:t>
      </w:r>
    </w:p>
    <w:p>
      <w:pPr>
        <w:spacing w:line="276" w:lineRule="auto"/>
        <w:ind w:firstLine="420"/>
      </w:pPr>
      <w:r>
        <w:rPr>
          <w:rFonts w:ascii="宋体" w:hAnsi="宋体" w:eastAsia="宋体"/>
          <w:sz w:val="21"/>
        </w:rPr>
        <w:t>表2 实验平台与运行环境</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E8EEF5"/>
          </w:tcPr>
          <w:p>
            <w:pPr>
              <w:jc w:val="center"/>
            </w:pPr>
            <w:r/>
            <w:r>
              <w:rPr>
                <w:rFonts w:ascii="宋体" w:hAnsi="宋体" w:eastAsia="宋体"/>
                <w:b/>
                <w:sz w:val="17"/>
              </w:rPr>
              <w:t>项目</w:t>
            </w:r>
          </w:p>
        </w:tc>
        <w:tc>
          <w:tcPr>
            <w:tcW w:type="dxa" w:w="4680"/>
            <w:vAlign w:val="center"/>
            <w:shd w:fill="E8EEF5"/>
          </w:tcPr>
          <w:p>
            <w:pPr>
              <w:jc w:val="center"/>
            </w:pPr>
            <w:r/>
            <w:r>
              <w:rPr>
                <w:rFonts w:ascii="宋体" w:hAnsi="宋体" w:eastAsia="宋体"/>
                <w:b/>
                <w:sz w:val="17"/>
              </w:rPr>
              <w:t>说明</w:t>
            </w:r>
          </w:p>
        </w:tc>
      </w:tr>
      <w:tr>
        <w:tc>
          <w:tcPr>
            <w:tcW w:type="dxa" w:w="4680"/>
            <w:vAlign w:val="center"/>
          </w:tcPr>
          <w:p>
            <w:pPr>
              <w:jc w:val="center"/>
            </w:pPr>
            <w:r/>
            <w:r>
              <w:rPr>
                <w:rFonts w:ascii="宋体" w:hAnsi="宋体" w:eastAsia="宋体"/>
                <w:b w:val="0"/>
                <w:sz w:val="17"/>
              </w:rPr>
              <w:t>主实验模型</w:t>
            </w:r>
          </w:p>
        </w:tc>
        <w:tc>
          <w:tcPr>
            <w:tcW w:type="dxa" w:w="4680"/>
            <w:vAlign w:val="center"/>
          </w:tcPr>
          <w:p>
            <w:pPr>
              <w:jc w:val="left"/>
            </w:pPr>
            <w:r/>
            <w:r>
              <w:rPr>
                <w:rFonts w:ascii="宋体" w:hAnsi="宋体" w:eastAsia="宋体"/>
                <w:b w:val="0"/>
                <w:sz w:val="17"/>
              </w:rPr>
              <w:t>Qwen2.5-7B privacy merged</w:t>
            </w:r>
          </w:p>
        </w:tc>
      </w:tr>
      <w:tr>
        <w:tc>
          <w:tcPr>
            <w:tcW w:type="dxa" w:w="4680"/>
            <w:vAlign w:val="center"/>
          </w:tcPr>
          <w:p>
            <w:pPr>
              <w:jc w:val="center"/>
            </w:pPr>
            <w:r/>
            <w:r>
              <w:rPr>
                <w:rFonts w:ascii="宋体" w:hAnsi="宋体" w:eastAsia="宋体"/>
                <w:b w:val="0"/>
                <w:sz w:val="17"/>
              </w:rPr>
              <w:t>公开迁移模型</w:t>
            </w:r>
          </w:p>
        </w:tc>
        <w:tc>
          <w:tcPr>
            <w:tcW w:type="dxa" w:w="4680"/>
            <w:vAlign w:val="center"/>
          </w:tcPr>
          <w:p>
            <w:pPr>
              <w:jc w:val="center"/>
            </w:pPr>
            <w:r/>
            <w:r>
              <w:rPr>
                <w:rFonts w:ascii="宋体" w:hAnsi="宋体" w:eastAsia="宋体"/>
                <w:b w:val="0"/>
                <w:sz w:val="17"/>
              </w:rPr>
              <w:t>Qwen2.5-7B</w:t>
            </w:r>
          </w:p>
        </w:tc>
      </w:tr>
      <w:tr>
        <w:tc>
          <w:tcPr>
            <w:tcW w:type="dxa" w:w="4680"/>
            <w:vAlign w:val="center"/>
          </w:tcPr>
          <w:p>
            <w:pPr>
              <w:jc w:val="center"/>
            </w:pPr>
            <w:r/>
            <w:r>
              <w:rPr>
                <w:rFonts w:ascii="宋体" w:hAnsi="宋体" w:eastAsia="宋体"/>
                <w:b w:val="0"/>
                <w:sz w:val="17"/>
              </w:rPr>
              <w:t>边界验证模型</w:t>
            </w:r>
          </w:p>
        </w:tc>
        <w:tc>
          <w:tcPr>
            <w:tcW w:type="dxa" w:w="4680"/>
            <w:vAlign w:val="center"/>
          </w:tcPr>
          <w:p>
            <w:pPr>
              <w:jc w:val="center"/>
            </w:pPr>
            <w:r/>
            <w:r>
              <w:rPr>
                <w:rFonts w:ascii="宋体" w:hAnsi="宋体" w:eastAsia="宋体"/>
                <w:b w:val="0"/>
                <w:sz w:val="17"/>
              </w:rPr>
              <w:t>GPT-J-6B</w:t>
            </w:r>
          </w:p>
        </w:tc>
      </w:tr>
      <w:tr>
        <w:tc>
          <w:tcPr>
            <w:tcW w:type="dxa" w:w="4680"/>
            <w:vAlign w:val="center"/>
          </w:tcPr>
          <w:p>
            <w:pPr>
              <w:jc w:val="center"/>
            </w:pPr>
            <w:r/>
            <w:r>
              <w:rPr>
                <w:rFonts w:ascii="宋体" w:hAnsi="宋体" w:eastAsia="宋体"/>
                <w:b w:val="0"/>
                <w:sz w:val="17"/>
              </w:rPr>
              <w:t>主数据集</w:t>
            </w:r>
          </w:p>
        </w:tc>
        <w:tc>
          <w:tcPr>
            <w:tcW w:type="dxa" w:w="4680"/>
            <w:vAlign w:val="center"/>
          </w:tcPr>
          <w:p>
            <w:pPr>
              <w:jc w:val="left"/>
            </w:pPr>
            <w:r/>
            <w:r>
              <w:rPr>
                <w:rFonts w:ascii="宋体" w:hAnsi="宋体" w:eastAsia="宋体"/>
                <w:b w:val="0"/>
                <w:sz w:val="17"/>
              </w:rPr>
              <w:t>synthetic privacy v2</w:t>
            </w:r>
          </w:p>
        </w:tc>
      </w:tr>
      <w:tr>
        <w:tc>
          <w:tcPr>
            <w:tcW w:type="dxa" w:w="4680"/>
            <w:vAlign w:val="center"/>
          </w:tcPr>
          <w:p>
            <w:pPr>
              <w:jc w:val="center"/>
            </w:pPr>
            <w:r/>
            <w:r>
              <w:rPr>
                <w:rFonts w:ascii="宋体" w:hAnsi="宋体" w:eastAsia="宋体"/>
                <w:b w:val="0"/>
                <w:sz w:val="17"/>
              </w:rPr>
              <w:t>公开数据集</w:t>
            </w:r>
          </w:p>
        </w:tc>
        <w:tc>
          <w:tcPr>
            <w:tcW w:type="dxa" w:w="4680"/>
            <w:vAlign w:val="center"/>
          </w:tcPr>
          <w:p>
            <w:pPr>
              <w:jc w:val="center"/>
            </w:pPr>
            <w:r/>
            <w:r>
              <w:rPr>
                <w:rFonts w:ascii="宋体" w:hAnsi="宋体" w:eastAsia="宋体"/>
                <w:b w:val="0"/>
                <w:sz w:val="17"/>
              </w:rPr>
              <w:t>CounterFact、zsRE</w:t>
            </w:r>
          </w:p>
        </w:tc>
      </w:tr>
      <w:tr>
        <w:tc>
          <w:tcPr>
            <w:tcW w:type="dxa" w:w="4680"/>
            <w:vAlign w:val="center"/>
          </w:tcPr>
          <w:p>
            <w:pPr>
              <w:jc w:val="center"/>
            </w:pPr>
            <w:r/>
            <w:r>
              <w:rPr>
                <w:rFonts w:ascii="宋体" w:hAnsi="宋体" w:eastAsia="宋体"/>
                <w:b w:val="0"/>
                <w:sz w:val="17"/>
              </w:rPr>
              <w:t>主要框架</w:t>
            </w:r>
          </w:p>
        </w:tc>
        <w:tc>
          <w:tcPr>
            <w:tcW w:type="dxa" w:w="4680"/>
            <w:vAlign w:val="center"/>
          </w:tcPr>
          <w:p>
            <w:pPr>
              <w:jc w:val="left"/>
            </w:pPr>
            <w:r/>
            <w:r>
              <w:rPr>
                <w:rFonts w:ascii="宋体" w:hAnsi="宋体" w:eastAsia="宋体"/>
                <w:b w:val="0"/>
                <w:sz w:val="17"/>
              </w:rPr>
              <w:t>EasyEdit、Transformers、PyTorch</w:t>
            </w:r>
          </w:p>
        </w:tc>
      </w:tr>
      <w:tr>
        <w:tc>
          <w:tcPr>
            <w:tcW w:type="dxa" w:w="4680"/>
            <w:vAlign w:val="center"/>
          </w:tcPr>
          <w:p>
            <w:pPr>
              <w:jc w:val="center"/>
            </w:pPr>
            <w:r/>
            <w:r>
              <w:rPr>
                <w:rFonts w:ascii="宋体" w:hAnsi="宋体" w:eastAsia="宋体"/>
                <w:b w:val="0"/>
                <w:sz w:val="17"/>
              </w:rPr>
              <w:t>主要硬件</w:t>
            </w:r>
          </w:p>
        </w:tc>
        <w:tc>
          <w:tcPr>
            <w:tcW w:type="dxa" w:w="4680"/>
            <w:vAlign w:val="center"/>
          </w:tcPr>
          <w:p>
            <w:pPr>
              <w:jc w:val="center"/>
            </w:pPr>
            <w:r/>
            <w:r>
              <w:rPr>
                <w:rFonts w:ascii="宋体" w:hAnsi="宋体" w:eastAsia="宋体"/>
                <w:b w:val="0"/>
                <w:sz w:val="17"/>
              </w:rPr>
              <w:t>48GB GPU 实例</w:t>
            </w:r>
          </w:p>
        </w:tc>
      </w:tr>
      <w:tr>
        <w:tc>
          <w:tcPr>
            <w:tcW w:type="dxa" w:w="4680"/>
            <w:vAlign w:val="center"/>
          </w:tcPr>
          <w:p>
            <w:pPr>
              <w:jc w:val="center"/>
            </w:pPr>
            <w:r/>
            <w:r>
              <w:rPr>
                <w:rFonts w:ascii="宋体" w:hAnsi="宋体" w:eastAsia="宋体"/>
                <w:b w:val="0"/>
                <w:sz w:val="17"/>
              </w:rPr>
              <w:t>结果状态</w:t>
            </w:r>
          </w:p>
        </w:tc>
        <w:tc>
          <w:tcPr>
            <w:tcW w:type="dxa" w:w="4680"/>
            <w:vAlign w:val="center"/>
          </w:tcPr>
          <w:p>
            <w:pPr>
              <w:jc w:val="left"/>
            </w:pPr>
            <w:r/>
            <w:r>
              <w:rPr>
                <w:rFonts w:ascii="宋体" w:hAnsi="宋体" w:eastAsia="宋体"/>
                <w:b w:val="0"/>
                <w:sz w:val="17"/>
              </w:rPr>
              <w:t>2026-06-23 frozen artifacts</w:t>
            </w:r>
          </w:p>
        </w:tc>
      </w:tr>
    </w:tbl>
    <w:p/>
    <w:p>
      <w:pPr>
        <w:pStyle w:val="Heading2"/>
      </w:pPr>
      <w:r>
        <w:t>4.3 评价指标</w:t>
      </w:r>
    </w:p>
    <w:p>
      <w:pPr>
        <w:spacing w:line="276" w:lineRule="auto"/>
        <w:ind w:firstLine="420"/>
      </w:pPr>
      <w:r>
        <w:rPr>
          <w:rFonts w:ascii="宋体" w:hAnsi="宋体" w:eastAsia="宋体"/>
          <w:sz w:val="21"/>
        </w:rPr>
        <w:t>Synthetic privacy 主表报告隐私值包含率、PII 格式匹配率、敏感格式输出率、隐私拒答率和公开知识保持率。公开数据集报告 Reliability、Generalization 和 Locality。所有 failed/resource-limited 项单独记录，不将 failed 写成 0，也不将 missing 留空解释为有效结果。</w:t>
      </w:r>
    </w:p>
    <w:p>
      <w:pPr>
        <w:spacing w:line="276" w:lineRule="auto"/>
        <w:ind w:firstLine="420"/>
      </w:pPr>
      <w:r>
        <w:rPr>
          <w:rFonts w:ascii="宋体" w:hAnsi="宋体" w:eastAsia="宋体"/>
          <w:sz w:val="21"/>
        </w:rPr>
        <w:t>图1展示本文整体实验路线。该流程从合成数据构造和 LoRA 注入开始，经标准编辑器与闭环请求选择，最终输出隐私压制、公开知识保持和边界分析结果。</w:t>
      </w:r>
    </w:p>
    <w:p>
      <w:pPr>
        <w:spacing w:line="276" w:lineRule="auto"/>
        <w:ind w:firstLine="420"/>
      </w:pPr>
      <w:r>
        <w:rPr>
          <w:rFonts w:ascii="宋体" w:hAnsi="宋体" w:eastAsia="宋体"/>
          <w:sz w:val="21"/>
        </w:rPr>
        <w:t>图1 总体技术路线图</w:t>
      </w:r>
    </w:p>
    <w:p>
      <w:pPr>
        <w:jc w:val="center"/>
      </w:pPr>
      <w:r>
        <w:drawing>
          <wp:inline xmlns:a="http://schemas.openxmlformats.org/drawingml/2006/main" xmlns:pic="http://schemas.openxmlformats.org/drawingml/2006/picture">
            <wp:extent cx="5220000" cy="2371435"/>
            <wp:docPr id="1" name="Picture 1"/>
            <wp:cNvGraphicFramePr>
              <a:graphicFrameLocks noChangeAspect="1"/>
            </wp:cNvGraphicFramePr>
            <a:graphic>
              <a:graphicData uri="http://schemas.openxmlformats.org/drawingml/2006/picture">
                <pic:pic>
                  <pic:nvPicPr>
                    <pic:cNvPr id="0" name="fig1_framework_pipeline.png"/>
                    <pic:cNvPicPr/>
                  </pic:nvPicPr>
                  <pic:blipFill>
                    <a:blip r:embed="rId9"/>
                    <a:stretch>
                      <a:fillRect/>
                    </a:stretch>
                  </pic:blipFill>
                  <pic:spPr>
                    <a:xfrm>
                      <a:off x="0" y="0"/>
                      <a:ext cx="5220000" cy="2371435"/>
                    </a:xfrm>
                    <a:prstGeom prst="rect"/>
                  </pic:spPr>
                </pic:pic>
              </a:graphicData>
            </a:graphic>
          </wp:inline>
        </w:drawing>
      </w:r>
    </w:p>
    <w:p>
      <w:pPr>
        <w:spacing w:line="276" w:lineRule="auto"/>
        <w:ind w:firstLine="420"/>
      </w:pPr>
      <w:r>
        <w:rPr>
          <w:rFonts w:ascii="宋体" w:hAnsi="宋体" w:eastAsia="宋体"/>
          <w:sz w:val="21"/>
        </w:rPr>
        <w:t>图2展示 PACE、CAPE 与 CAPE-Anchor 的请求构造差异。PACE 只关注残余泄露，CAPE 增加副作用感知筛选，CAPE-Anchor 进一步显式加入公开知识锚点。</w:t>
      </w:r>
    </w:p>
    <w:p>
      <w:pPr>
        <w:spacing w:line="276" w:lineRule="auto"/>
        <w:ind w:firstLine="420"/>
      </w:pPr>
      <w:r>
        <w:rPr>
          <w:rFonts w:ascii="宋体" w:hAnsi="宋体" w:eastAsia="宋体"/>
          <w:sz w:val="21"/>
        </w:rPr>
        <w:t>图2 PACE/CAPE/CAPE-Anchor 请求构造机制图</w:t>
      </w:r>
    </w:p>
    <w:p>
      <w:pPr>
        <w:jc w:val="center"/>
      </w:pPr>
      <w:r>
        <w:drawing>
          <wp:inline xmlns:a="http://schemas.openxmlformats.org/drawingml/2006/main" xmlns:pic="http://schemas.openxmlformats.org/drawingml/2006/picture">
            <wp:extent cx="5220000" cy="2767147"/>
            <wp:docPr id="2" name="Picture 2"/>
            <wp:cNvGraphicFramePr>
              <a:graphicFrameLocks noChangeAspect="1"/>
            </wp:cNvGraphicFramePr>
            <a:graphic>
              <a:graphicData uri="http://schemas.openxmlformats.org/drawingml/2006/picture">
                <pic:pic>
                  <pic:nvPicPr>
                    <pic:cNvPr id="0" name="fig2_pace_cape_anchor_mechanism.png"/>
                    <pic:cNvPicPr/>
                  </pic:nvPicPr>
                  <pic:blipFill>
                    <a:blip r:embed="rId10"/>
                    <a:stretch>
                      <a:fillRect/>
                    </a:stretch>
                  </pic:blipFill>
                  <pic:spPr>
                    <a:xfrm>
                      <a:off x="0" y="0"/>
                      <a:ext cx="5220000" cy="2767147"/>
                    </a:xfrm>
                    <a:prstGeom prst="rect"/>
                  </pic:spPr>
                </pic:pic>
              </a:graphicData>
            </a:graphic>
          </wp:inline>
        </w:drawing>
      </w:r>
    </w:p>
    <w:p>
      <w:pPr>
        <w:pStyle w:val="Heading2"/>
      </w:pPr>
      <w:r>
        <w:t>4.4 Synthetic privacy 主实验</w:t>
      </w:r>
    </w:p>
    <w:p>
      <w:pPr>
        <w:spacing w:line="276" w:lineRule="auto"/>
        <w:ind w:firstLine="420"/>
      </w:pPr>
      <w:r>
        <w:rPr>
          <w:rFonts w:ascii="宋体" w:hAnsi="宋体" w:eastAsia="宋体"/>
          <w:sz w:val="21"/>
        </w:rPr>
        <w:t>表3给出 Qwen synthetic privacy 主结果。合并后泄露模型的隐私值包含率为 0.9387，公开知识保持率为 0.9766，说明模型起点同时具有可测隐私泄露和较稳定公开知识。提示拒答的隐私值包含率仍为 0.9490，说明单纯提示层拒答基本不能改变模型内部记忆。ROME 将隐私值包含率降至 0.5787，但公开知识保持率也下降到 0.5591；MEMIT 保持公开知识较好，公开知识保持率为 0.8472，但隐私值包含率仍为 0.8140。FT 将隐私值包含率压到 0.0000，但公开知识保持率仅为 0.0040，表现为强覆盖端点。</w:t>
      </w:r>
    </w:p>
    <w:p>
      <w:pPr>
        <w:spacing w:line="276" w:lineRule="auto"/>
        <w:ind w:firstLine="420"/>
      </w:pPr>
      <w:r>
        <w:rPr>
          <w:rFonts w:ascii="宋体" w:hAnsi="宋体" w:eastAsia="宋体"/>
          <w:sz w:val="21"/>
        </w:rPr>
        <w:t>表3 Synthetic privacy 主结果（↓越低越好，↑越高越好）</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E8EEF5"/>
          </w:tcPr>
          <w:p>
            <w:pPr>
              <w:jc w:val="center"/>
            </w:pPr>
            <w:r/>
            <w:r>
              <w:rPr>
                <w:rFonts w:ascii="宋体" w:hAnsi="宋体" w:eastAsia="宋体"/>
                <w:b/>
                <w:sz w:val="17"/>
              </w:rPr>
              <w:t>方法</w:t>
            </w:r>
          </w:p>
        </w:tc>
        <w:tc>
          <w:tcPr>
            <w:tcW w:type="dxa" w:w="1560"/>
            <w:vAlign w:val="center"/>
            <w:shd w:fill="E8EEF5"/>
          </w:tcPr>
          <w:p>
            <w:pPr>
              <w:jc w:val="center"/>
            </w:pPr>
            <w:r/>
            <w:r>
              <w:rPr>
                <w:rFonts w:ascii="宋体" w:hAnsi="宋体" w:eastAsia="宋体"/>
                <w:b/>
                <w:sz w:val="17"/>
              </w:rPr>
              <w:t>状态</w:t>
            </w:r>
          </w:p>
        </w:tc>
        <w:tc>
          <w:tcPr>
            <w:tcW w:type="dxa" w:w="1560"/>
            <w:vAlign w:val="center"/>
            <w:shd w:fill="E8EEF5"/>
          </w:tcPr>
          <w:p>
            <w:pPr>
              <w:jc w:val="center"/>
            </w:pPr>
            <w:r/>
            <w:r>
              <w:rPr>
                <w:rFonts w:ascii="宋体" w:hAnsi="宋体" w:eastAsia="宋体"/>
                <w:b/>
                <w:sz w:val="17"/>
              </w:rPr>
              <w:t>隐私值包含率↓</w:t>
            </w:r>
          </w:p>
        </w:tc>
        <w:tc>
          <w:tcPr>
            <w:tcW w:type="dxa" w:w="1560"/>
            <w:vAlign w:val="center"/>
            <w:shd w:fill="E8EEF5"/>
          </w:tcPr>
          <w:p>
            <w:pPr>
              <w:jc w:val="center"/>
            </w:pPr>
            <w:r/>
            <w:r>
              <w:rPr>
                <w:rFonts w:ascii="宋体" w:hAnsi="宋体" w:eastAsia="宋体"/>
                <w:b/>
                <w:sz w:val="17"/>
              </w:rPr>
              <w:t>PII格式率↓</w:t>
            </w:r>
          </w:p>
        </w:tc>
        <w:tc>
          <w:tcPr>
            <w:tcW w:type="dxa" w:w="1560"/>
            <w:vAlign w:val="center"/>
            <w:shd w:fill="E8EEF5"/>
          </w:tcPr>
          <w:p>
            <w:pPr>
              <w:jc w:val="center"/>
            </w:pPr>
            <w:r/>
            <w:r>
              <w:rPr>
                <w:rFonts w:ascii="宋体" w:hAnsi="宋体" w:eastAsia="宋体"/>
                <w:b/>
                <w:sz w:val="17"/>
              </w:rPr>
              <w:t>隐私拒答率</w:t>
            </w:r>
          </w:p>
        </w:tc>
        <w:tc>
          <w:tcPr>
            <w:tcW w:type="dxa" w:w="1560"/>
            <w:vAlign w:val="center"/>
            <w:shd w:fill="E8EEF5"/>
          </w:tcPr>
          <w:p>
            <w:pPr>
              <w:jc w:val="center"/>
            </w:pPr>
            <w:r/>
            <w:r>
              <w:rPr>
                <w:rFonts w:ascii="宋体" w:hAnsi="宋体" w:eastAsia="宋体"/>
                <w:b/>
                <w:sz w:val="17"/>
              </w:rPr>
              <w:t>公开知识保持率↑</w:t>
            </w:r>
          </w:p>
        </w:tc>
      </w:tr>
      <w:tr>
        <w:tc>
          <w:tcPr>
            <w:tcW w:type="dxa" w:w="1560"/>
            <w:vAlign w:val="center"/>
          </w:tcPr>
          <w:p>
            <w:pPr>
              <w:jc w:val="center"/>
            </w:pPr>
            <w:r/>
            <w:r>
              <w:rPr>
                <w:rFonts w:ascii="宋体" w:hAnsi="宋体" w:eastAsia="宋体"/>
                <w:b w:val="0"/>
                <w:sz w:val="17"/>
              </w:rPr>
              <w:t>合并后泄露模型</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0.9387</w:t>
            </w:r>
          </w:p>
        </w:tc>
        <w:tc>
          <w:tcPr>
            <w:tcW w:type="dxa" w:w="1560"/>
            <w:vAlign w:val="center"/>
          </w:tcPr>
          <w:p>
            <w:pPr>
              <w:jc w:val="center"/>
            </w:pPr>
            <w:r/>
            <w:r>
              <w:rPr>
                <w:rFonts w:ascii="宋体" w:hAnsi="宋体" w:eastAsia="宋体"/>
                <w:b w:val="0"/>
                <w:sz w:val="17"/>
              </w:rPr>
              <w:t>0.6650</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0.9766</w:t>
            </w:r>
          </w:p>
        </w:tc>
      </w:tr>
      <w:tr>
        <w:tc>
          <w:tcPr>
            <w:tcW w:type="dxa" w:w="1560"/>
            <w:vAlign w:val="center"/>
          </w:tcPr>
          <w:p>
            <w:pPr>
              <w:jc w:val="center"/>
            </w:pPr>
            <w:r/>
            <w:r>
              <w:rPr>
                <w:rFonts w:ascii="宋体" w:hAnsi="宋体" w:eastAsia="宋体"/>
                <w:b w:val="0"/>
                <w:sz w:val="17"/>
              </w:rPr>
              <w:t>提示拒答</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0.9490</w:t>
            </w:r>
          </w:p>
        </w:tc>
        <w:tc>
          <w:tcPr>
            <w:tcW w:type="dxa" w:w="1560"/>
            <w:vAlign w:val="center"/>
          </w:tcPr>
          <w:p>
            <w:pPr>
              <w:jc w:val="center"/>
            </w:pPr>
            <w:r/>
            <w:r>
              <w:rPr>
                <w:rFonts w:ascii="宋体" w:hAnsi="宋体" w:eastAsia="宋体"/>
                <w:b w:val="0"/>
                <w:sz w:val="17"/>
              </w:rPr>
              <w:t>0.7630</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0.9583</w:t>
            </w:r>
          </w:p>
        </w:tc>
      </w:tr>
      <w:tr>
        <w:tc>
          <w:tcPr>
            <w:tcW w:type="dxa" w:w="1560"/>
            <w:vAlign w:val="center"/>
          </w:tcPr>
          <w:p>
            <w:pPr>
              <w:jc w:val="center"/>
            </w:pPr>
            <w:r/>
            <w:r>
              <w:rPr>
                <w:rFonts w:ascii="宋体" w:hAnsi="宋体" w:eastAsia="宋体"/>
                <w:b w:val="0"/>
                <w:sz w:val="17"/>
              </w:rPr>
              <w:t>ROME</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0.5787</w:t>
            </w:r>
          </w:p>
        </w:tc>
        <w:tc>
          <w:tcPr>
            <w:tcW w:type="dxa" w:w="1560"/>
            <w:vAlign w:val="center"/>
          </w:tcPr>
          <w:p>
            <w:pPr>
              <w:jc w:val="center"/>
            </w:pPr>
            <w:r/>
            <w:r>
              <w:rPr>
                <w:rFonts w:ascii="宋体" w:hAnsi="宋体" w:eastAsia="宋体"/>
                <w:b w:val="0"/>
                <w:sz w:val="17"/>
              </w:rPr>
              <w:t>0.4767</w:t>
            </w:r>
          </w:p>
        </w:tc>
        <w:tc>
          <w:tcPr>
            <w:tcW w:type="dxa" w:w="1560"/>
            <w:vAlign w:val="center"/>
          </w:tcPr>
          <w:p>
            <w:pPr>
              <w:jc w:val="center"/>
            </w:pPr>
            <w:r/>
            <w:r>
              <w:rPr>
                <w:rFonts w:ascii="宋体" w:hAnsi="宋体" w:eastAsia="宋体"/>
                <w:b w:val="0"/>
                <w:sz w:val="17"/>
              </w:rPr>
              <w:t>0.5973</w:t>
            </w:r>
          </w:p>
        </w:tc>
        <w:tc>
          <w:tcPr>
            <w:tcW w:type="dxa" w:w="1560"/>
            <w:vAlign w:val="center"/>
          </w:tcPr>
          <w:p>
            <w:pPr>
              <w:jc w:val="center"/>
            </w:pPr>
            <w:r/>
            <w:r>
              <w:rPr>
                <w:rFonts w:ascii="宋体" w:hAnsi="宋体" w:eastAsia="宋体"/>
                <w:b w:val="0"/>
                <w:sz w:val="17"/>
              </w:rPr>
              <w:t>0.5591</w:t>
            </w:r>
          </w:p>
        </w:tc>
      </w:tr>
      <w:tr>
        <w:tc>
          <w:tcPr>
            <w:tcW w:type="dxa" w:w="1560"/>
            <w:vAlign w:val="center"/>
          </w:tcPr>
          <w:p>
            <w:pPr>
              <w:jc w:val="center"/>
            </w:pPr>
            <w:r/>
            <w:r>
              <w:rPr>
                <w:rFonts w:ascii="宋体" w:hAnsi="宋体" w:eastAsia="宋体"/>
                <w:b w:val="0"/>
                <w:sz w:val="17"/>
              </w:rPr>
              <w:t>MEMIT</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0.8140</w:t>
            </w:r>
          </w:p>
        </w:tc>
        <w:tc>
          <w:tcPr>
            <w:tcW w:type="dxa" w:w="1560"/>
            <w:vAlign w:val="center"/>
          </w:tcPr>
          <w:p>
            <w:pPr>
              <w:jc w:val="center"/>
            </w:pPr>
            <w:r/>
            <w:r>
              <w:rPr>
                <w:rFonts w:ascii="宋体" w:hAnsi="宋体" w:eastAsia="宋体"/>
                <w:b w:val="0"/>
                <w:sz w:val="17"/>
              </w:rPr>
              <w:t>0.5993</w:t>
            </w:r>
          </w:p>
        </w:tc>
        <w:tc>
          <w:tcPr>
            <w:tcW w:type="dxa" w:w="1560"/>
            <w:vAlign w:val="center"/>
          </w:tcPr>
          <w:p>
            <w:pPr>
              <w:jc w:val="center"/>
            </w:pPr>
            <w:r/>
            <w:r>
              <w:rPr>
                <w:rFonts w:ascii="宋体" w:hAnsi="宋体" w:eastAsia="宋体"/>
                <w:b w:val="0"/>
                <w:sz w:val="17"/>
              </w:rPr>
              <w:t>0.1950</w:t>
            </w:r>
          </w:p>
        </w:tc>
        <w:tc>
          <w:tcPr>
            <w:tcW w:type="dxa" w:w="1560"/>
            <w:vAlign w:val="center"/>
          </w:tcPr>
          <w:p>
            <w:pPr>
              <w:jc w:val="center"/>
            </w:pPr>
            <w:r/>
            <w:r>
              <w:rPr>
                <w:rFonts w:ascii="宋体" w:hAnsi="宋体" w:eastAsia="宋体"/>
                <w:b w:val="0"/>
                <w:sz w:val="17"/>
              </w:rPr>
              <w:t>0.8472</w:t>
            </w:r>
          </w:p>
        </w:tc>
      </w:tr>
      <w:tr>
        <w:tc>
          <w:tcPr>
            <w:tcW w:type="dxa" w:w="1560"/>
            <w:vAlign w:val="center"/>
          </w:tcPr>
          <w:p>
            <w:pPr>
              <w:jc w:val="center"/>
            </w:pPr>
            <w:r/>
            <w:r>
              <w:rPr>
                <w:rFonts w:ascii="宋体" w:hAnsi="宋体" w:eastAsia="宋体"/>
                <w:b w:val="0"/>
                <w:sz w:val="17"/>
              </w:rPr>
              <w:t>FT</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0.0040</w:t>
            </w:r>
          </w:p>
        </w:tc>
      </w:tr>
      <w:tr>
        <w:tc>
          <w:tcPr>
            <w:tcW w:type="dxa" w:w="1560"/>
            <w:vAlign w:val="center"/>
          </w:tcPr>
          <w:p>
            <w:pPr>
              <w:jc w:val="center"/>
            </w:pPr>
            <w:r/>
            <w:r>
              <w:rPr>
                <w:rFonts w:ascii="宋体" w:hAnsi="宋体" w:eastAsia="宋体"/>
                <w:b w:val="0"/>
                <w:sz w:val="17"/>
              </w:rPr>
              <w:t>PACE</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0.0243</w:t>
            </w:r>
          </w:p>
        </w:tc>
        <w:tc>
          <w:tcPr>
            <w:tcW w:type="dxa" w:w="1560"/>
            <w:vAlign w:val="center"/>
          </w:tcPr>
          <w:p>
            <w:pPr>
              <w:jc w:val="center"/>
            </w:pPr>
            <w:r/>
            <w:r>
              <w:rPr>
                <w:rFonts w:ascii="宋体" w:hAnsi="宋体" w:eastAsia="宋体"/>
                <w:b w:val="0"/>
                <w:sz w:val="17"/>
              </w:rPr>
              <w:t>0.0150</w:t>
            </w:r>
          </w:p>
        </w:tc>
        <w:tc>
          <w:tcPr>
            <w:tcW w:type="dxa" w:w="1560"/>
            <w:vAlign w:val="center"/>
          </w:tcPr>
          <w:p>
            <w:pPr>
              <w:jc w:val="center"/>
            </w:pPr>
            <w:r/>
            <w:r>
              <w:rPr>
                <w:rFonts w:ascii="宋体" w:hAnsi="宋体" w:eastAsia="宋体"/>
                <w:b w:val="0"/>
                <w:sz w:val="17"/>
              </w:rPr>
              <w:t>0.9347</w:t>
            </w:r>
          </w:p>
        </w:tc>
        <w:tc>
          <w:tcPr>
            <w:tcW w:type="dxa" w:w="1560"/>
            <w:vAlign w:val="center"/>
          </w:tcPr>
          <w:p>
            <w:pPr>
              <w:jc w:val="center"/>
            </w:pPr>
            <w:r/>
            <w:r>
              <w:rPr>
                <w:rFonts w:ascii="宋体" w:hAnsi="宋体" w:eastAsia="宋体"/>
                <w:b w:val="0"/>
                <w:sz w:val="17"/>
              </w:rPr>
              <w:t>0.0984</w:t>
            </w:r>
          </w:p>
        </w:tc>
      </w:tr>
      <w:tr>
        <w:tc>
          <w:tcPr>
            <w:tcW w:type="dxa" w:w="1560"/>
            <w:vAlign w:val="center"/>
          </w:tcPr>
          <w:p>
            <w:pPr>
              <w:jc w:val="center"/>
            </w:pPr>
            <w:r/>
            <w:r>
              <w:rPr>
                <w:rFonts w:ascii="宋体" w:hAnsi="宋体" w:eastAsia="宋体"/>
                <w:b w:val="0"/>
                <w:sz w:val="17"/>
              </w:rPr>
              <w:t>CAPE</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0.0443</w:t>
            </w:r>
          </w:p>
        </w:tc>
        <w:tc>
          <w:tcPr>
            <w:tcW w:type="dxa" w:w="1560"/>
            <w:vAlign w:val="center"/>
          </w:tcPr>
          <w:p>
            <w:pPr>
              <w:jc w:val="center"/>
            </w:pPr>
            <w:r/>
            <w:r>
              <w:rPr>
                <w:rFonts w:ascii="宋体" w:hAnsi="宋体" w:eastAsia="宋体"/>
                <w:b w:val="0"/>
                <w:sz w:val="17"/>
              </w:rPr>
              <w:t>0.0250</w:t>
            </w:r>
          </w:p>
        </w:tc>
        <w:tc>
          <w:tcPr>
            <w:tcW w:type="dxa" w:w="1560"/>
            <w:vAlign w:val="center"/>
          </w:tcPr>
          <w:p>
            <w:pPr>
              <w:jc w:val="center"/>
            </w:pPr>
            <w:r/>
            <w:r>
              <w:rPr>
                <w:rFonts w:ascii="宋体" w:hAnsi="宋体" w:eastAsia="宋体"/>
                <w:b w:val="0"/>
                <w:sz w:val="17"/>
              </w:rPr>
              <w:t>0.8557</w:t>
            </w:r>
          </w:p>
        </w:tc>
        <w:tc>
          <w:tcPr>
            <w:tcW w:type="dxa" w:w="1560"/>
            <w:vAlign w:val="center"/>
          </w:tcPr>
          <w:p>
            <w:pPr>
              <w:jc w:val="center"/>
            </w:pPr>
            <w:r/>
            <w:r>
              <w:rPr>
                <w:rFonts w:ascii="宋体" w:hAnsi="宋体" w:eastAsia="宋体"/>
                <w:b w:val="0"/>
                <w:sz w:val="17"/>
              </w:rPr>
              <w:t>0.1119</w:t>
            </w:r>
          </w:p>
        </w:tc>
      </w:tr>
      <w:tr>
        <w:tc>
          <w:tcPr>
            <w:tcW w:type="dxa" w:w="1560"/>
            <w:vAlign w:val="center"/>
          </w:tcPr>
          <w:p>
            <w:pPr>
              <w:jc w:val="center"/>
            </w:pPr>
            <w:r/>
            <w:r>
              <w:rPr>
                <w:rFonts w:ascii="宋体" w:hAnsi="宋体" w:eastAsia="宋体"/>
                <w:b w:val="0"/>
                <w:sz w:val="17"/>
              </w:rPr>
              <w:t>PACE-Lite</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0.3323</w:t>
            </w:r>
          </w:p>
        </w:tc>
        <w:tc>
          <w:tcPr>
            <w:tcW w:type="dxa" w:w="1560"/>
            <w:vAlign w:val="center"/>
          </w:tcPr>
          <w:p>
            <w:pPr>
              <w:jc w:val="center"/>
            </w:pPr>
            <w:r/>
            <w:r>
              <w:rPr>
                <w:rFonts w:ascii="宋体" w:hAnsi="宋体" w:eastAsia="宋体"/>
                <w:b w:val="0"/>
                <w:sz w:val="17"/>
              </w:rPr>
              <w:t>0.2613</w:t>
            </w:r>
          </w:p>
        </w:tc>
        <w:tc>
          <w:tcPr>
            <w:tcW w:type="dxa" w:w="1560"/>
            <w:vAlign w:val="center"/>
          </w:tcPr>
          <w:p>
            <w:pPr>
              <w:jc w:val="center"/>
            </w:pPr>
            <w:r/>
            <w:r>
              <w:rPr>
                <w:rFonts w:ascii="宋体" w:hAnsi="宋体" w:eastAsia="宋体"/>
                <w:b w:val="0"/>
                <w:sz w:val="17"/>
              </w:rPr>
              <w:t>0.6407</w:t>
            </w:r>
          </w:p>
        </w:tc>
        <w:tc>
          <w:tcPr>
            <w:tcW w:type="dxa" w:w="1560"/>
            <w:vAlign w:val="center"/>
          </w:tcPr>
          <w:p>
            <w:pPr>
              <w:jc w:val="center"/>
            </w:pPr>
            <w:r/>
            <w:r>
              <w:rPr>
                <w:rFonts w:ascii="宋体" w:hAnsi="宋体" w:eastAsia="宋体"/>
                <w:b w:val="0"/>
                <w:sz w:val="17"/>
              </w:rPr>
              <w:t>0.4210</w:t>
            </w:r>
          </w:p>
        </w:tc>
      </w:tr>
      <w:tr>
        <w:tc>
          <w:tcPr>
            <w:tcW w:type="dxa" w:w="1560"/>
            <w:vAlign w:val="center"/>
          </w:tcPr>
          <w:p>
            <w:pPr>
              <w:jc w:val="center"/>
            </w:pPr>
            <w:r/>
            <w:r>
              <w:rPr>
                <w:rFonts w:ascii="宋体" w:hAnsi="宋体" w:eastAsia="宋体"/>
                <w:b w:val="0"/>
                <w:sz w:val="17"/>
              </w:rPr>
              <w:t>CAPE-Anchor K1</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0.4603</w:t>
            </w:r>
          </w:p>
        </w:tc>
        <w:tc>
          <w:tcPr>
            <w:tcW w:type="dxa" w:w="1560"/>
            <w:vAlign w:val="center"/>
          </w:tcPr>
          <w:p>
            <w:pPr>
              <w:jc w:val="center"/>
            </w:pPr>
            <w:r/>
            <w:r>
              <w:rPr>
                <w:rFonts w:ascii="宋体" w:hAnsi="宋体" w:eastAsia="宋体"/>
                <w:b w:val="0"/>
                <w:sz w:val="17"/>
              </w:rPr>
              <w:t>0.3623</w:t>
            </w:r>
          </w:p>
        </w:tc>
        <w:tc>
          <w:tcPr>
            <w:tcW w:type="dxa" w:w="1560"/>
            <w:vAlign w:val="center"/>
          </w:tcPr>
          <w:p>
            <w:pPr>
              <w:jc w:val="center"/>
            </w:pPr>
            <w:r/>
            <w:r>
              <w:rPr>
                <w:rFonts w:ascii="宋体" w:hAnsi="宋体" w:eastAsia="宋体"/>
                <w:b w:val="0"/>
                <w:sz w:val="17"/>
              </w:rPr>
              <w:t>0.0050</w:t>
            </w:r>
          </w:p>
        </w:tc>
        <w:tc>
          <w:tcPr>
            <w:tcW w:type="dxa" w:w="1560"/>
            <w:vAlign w:val="center"/>
          </w:tcPr>
          <w:p>
            <w:pPr>
              <w:jc w:val="center"/>
            </w:pPr>
            <w:r/>
            <w:r>
              <w:rPr>
                <w:rFonts w:ascii="宋体" w:hAnsi="宋体" w:eastAsia="宋体"/>
                <w:b w:val="0"/>
                <w:sz w:val="17"/>
              </w:rPr>
              <w:t>0.6008</w:t>
            </w:r>
          </w:p>
        </w:tc>
      </w:tr>
      <w:tr>
        <w:tc>
          <w:tcPr>
            <w:tcW w:type="dxa" w:w="1560"/>
            <w:vAlign w:val="center"/>
          </w:tcPr>
          <w:p>
            <w:pPr>
              <w:jc w:val="center"/>
            </w:pPr>
            <w:r/>
            <w:r>
              <w:rPr>
                <w:rFonts w:ascii="宋体" w:hAnsi="宋体" w:eastAsia="宋体"/>
                <w:b w:val="0"/>
                <w:sz w:val="17"/>
              </w:rPr>
              <w:t>CAPE-Anchor K2</w:t>
            </w:r>
          </w:p>
        </w:tc>
        <w:tc>
          <w:tcPr>
            <w:tcW w:type="dxa" w:w="1560"/>
            <w:vAlign w:val="center"/>
          </w:tcPr>
          <w:p>
            <w:pPr>
              <w:jc w:val="center"/>
            </w:pPr>
            <w:r/>
            <w:r>
              <w:rPr>
                <w:rFonts w:ascii="宋体" w:hAnsi="宋体" w:eastAsia="宋体"/>
                <w:b w:val="0"/>
                <w:sz w:val="17"/>
              </w:rPr>
              <w:t>ok</w:t>
            </w:r>
          </w:p>
        </w:tc>
        <w:tc>
          <w:tcPr>
            <w:tcW w:type="dxa" w:w="1560"/>
            <w:vAlign w:val="center"/>
          </w:tcPr>
          <w:p>
            <w:pPr>
              <w:jc w:val="center"/>
            </w:pPr>
            <w:r/>
            <w:r>
              <w:rPr>
                <w:rFonts w:ascii="宋体" w:hAnsi="宋体" w:eastAsia="宋体"/>
                <w:b w:val="0"/>
                <w:sz w:val="17"/>
              </w:rPr>
              <w:t>0.6357</w:t>
            </w:r>
          </w:p>
        </w:tc>
        <w:tc>
          <w:tcPr>
            <w:tcW w:type="dxa" w:w="1560"/>
            <w:vAlign w:val="center"/>
          </w:tcPr>
          <w:p>
            <w:pPr>
              <w:jc w:val="center"/>
            </w:pPr>
            <w:r/>
            <w:r>
              <w:rPr>
                <w:rFonts w:ascii="宋体" w:hAnsi="宋体" w:eastAsia="宋体"/>
                <w:b w:val="0"/>
                <w:sz w:val="17"/>
              </w:rPr>
              <w:t>0.5193</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0.6833</w:t>
            </w:r>
          </w:p>
        </w:tc>
      </w:tr>
      <w:tr>
        <w:tc>
          <w:tcPr>
            <w:tcW w:type="dxa" w:w="1560"/>
            <w:vAlign w:val="center"/>
          </w:tcPr>
          <w:p>
            <w:pPr>
              <w:jc w:val="center"/>
            </w:pPr>
            <w:r/>
            <w:r>
              <w:rPr>
                <w:rFonts w:ascii="宋体" w:hAnsi="宋体" w:eastAsia="宋体"/>
                <w:b w:val="0"/>
                <w:sz w:val="17"/>
              </w:rPr>
              <w:t>KN</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r>
      <w:tr>
        <w:tc>
          <w:tcPr>
            <w:tcW w:type="dxa" w:w="1560"/>
            <w:vAlign w:val="center"/>
          </w:tcPr>
          <w:p>
            <w:pPr>
              <w:jc w:val="center"/>
            </w:pPr>
            <w:r/>
            <w:r>
              <w:rPr>
                <w:rFonts w:ascii="宋体" w:hAnsi="宋体" w:eastAsia="宋体"/>
                <w:b w:val="0"/>
                <w:sz w:val="17"/>
              </w:rPr>
              <w:t>IKE</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c>
          <w:tcPr>
            <w:tcW w:type="dxa" w:w="1560"/>
            <w:vAlign w:val="center"/>
          </w:tcPr>
          <w:p>
            <w:pPr>
              <w:jc w:val="center"/>
            </w:pPr>
            <w:r/>
            <w:r>
              <w:rPr>
                <w:rFonts w:ascii="宋体" w:hAnsi="宋体" w:eastAsia="宋体"/>
                <w:b w:val="0"/>
                <w:sz w:val="17"/>
              </w:rPr>
              <w:t>failed</w:t>
            </w:r>
          </w:p>
        </w:tc>
      </w:tr>
    </w:tbl>
    <w:p/>
    <w:p>
      <w:pPr>
        <w:spacing w:line="276" w:lineRule="auto"/>
        <w:ind w:firstLine="420"/>
      </w:pPr>
      <w:r>
        <w:rPr>
          <w:rFonts w:ascii="宋体" w:hAnsi="宋体" w:eastAsia="宋体"/>
          <w:sz w:val="21"/>
        </w:rPr>
        <w:t>PACE 和 CAPE 分别将隐私值包含率压低到 0.0243 和 0.0443，但公开知识保持率仅为 0.0984 和 0.1119。这说明残余泄露驱动的闭环再编辑能够显著压制隐私输出，但也会造成 public collapse。图3将各方法放入隐私压制—知识保持二维空间：左上角代表强隐私压制但低公开保持，右上角才是理想区域。当前结果显示没有单一方法同时达到两个目标的最优区域，方法差异更适合解释为 trade-off。</w:t>
      </w:r>
    </w:p>
    <w:p>
      <w:pPr>
        <w:spacing w:line="276" w:lineRule="auto"/>
        <w:ind w:firstLine="420"/>
      </w:pPr>
      <w:r>
        <w:rPr>
          <w:rFonts w:ascii="宋体" w:hAnsi="宋体" w:eastAsia="宋体"/>
          <w:sz w:val="21"/>
        </w:rPr>
        <w:t>图3 Synthetic privacy 隐私压制—知识保持权衡散点图</w:t>
      </w:r>
    </w:p>
    <w:p>
      <w:pPr>
        <w:jc w:val="center"/>
      </w:pPr>
      <w:r>
        <w:drawing>
          <wp:inline xmlns:a="http://schemas.openxmlformats.org/drawingml/2006/main" xmlns:pic="http://schemas.openxmlformats.org/drawingml/2006/picture">
            <wp:extent cx="5220000" cy="3866762"/>
            <wp:docPr id="3" name="Picture 3"/>
            <wp:cNvGraphicFramePr>
              <a:graphicFrameLocks noChangeAspect="1"/>
            </wp:cNvGraphicFramePr>
            <a:graphic>
              <a:graphicData uri="http://schemas.openxmlformats.org/drawingml/2006/picture">
                <pic:pic>
                  <pic:nvPicPr>
                    <pic:cNvPr id="0" name="fig3_synthetic_privacy_utility_tradeoff.png"/>
                    <pic:cNvPicPr/>
                  </pic:nvPicPr>
                  <pic:blipFill>
                    <a:blip r:embed="rId11"/>
                    <a:stretch>
                      <a:fillRect/>
                    </a:stretch>
                  </pic:blipFill>
                  <pic:spPr>
                    <a:xfrm>
                      <a:off x="0" y="0"/>
                      <a:ext cx="5220000" cy="3866762"/>
                    </a:xfrm>
                    <a:prstGeom prst="rect"/>
                  </pic:spPr>
                </pic:pic>
              </a:graphicData>
            </a:graphic>
          </wp:inline>
        </w:drawing>
      </w:r>
    </w:p>
    <w:p>
      <w:pPr>
        <w:pStyle w:val="Heading2"/>
      </w:pPr>
      <w:r>
        <w:t>4.5 PACE/CAPE 对比分析</w:t>
      </w:r>
    </w:p>
    <w:p>
      <w:pPr>
        <w:spacing w:line="276" w:lineRule="auto"/>
        <w:ind w:firstLine="420"/>
      </w:pPr>
      <w:r>
        <w:rPr>
          <w:rFonts w:ascii="宋体" w:hAnsi="宋体" w:eastAsia="宋体"/>
          <w:sz w:val="21"/>
        </w:rPr>
        <w:t>PACE 的意义在于证明 residual leakage re-edit 可以显著压低隐私泄露，但其副作用同样明显。CAPE 在 PACE 基础上加入副作用感知请求筛选，能够相对缓解极端过度拒答，但仍未完全恢复公开知识保持。该结果说明，隐私清洗不能只追求隐私值包含率最低；若公开事实也被拒答，系统可用性会显著下降。</w:t>
      </w:r>
    </w:p>
    <w:p>
      <w:pPr>
        <w:spacing w:line="276" w:lineRule="auto"/>
        <w:ind w:firstLine="420"/>
      </w:pPr>
      <w:r>
        <w:rPr>
          <w:rFonts w:ascii="宋体" w:hAnsi="宋体" w:eastAsia="宋体"/>
          <w:sz w:val="21"/>
        </w:rPr>
        <w:t>从论文主张看，PACE/CAPE 不是“全面优于”标准编辑器，而是揭示了闭环请求扩展的两面性：它能补足单轮编辑覆盖不足，也会放大拒答目标的扩散风险。这一发现直接引出 CAPE-Anchor。</w:t>
      </w:r>
    </w:p>
    <w:p>
      <w:pPr>
        <w:pStyle w:val="Heading2"/>
      </w:pPr>
      <w:r>
        <w:t>4.6 CAPE-Anchor 消融实验</w:t>
      </w:r>
    </w:p>
    <w:p>
      <w:pPr>
        <w:spacing w:line="276" w:lineRule="auto"/>
        <w:ind w:firstLine="420"/>
      </w:pPr>
      <w:r>
        <w:rPr>
          <w:rFonts w:ascii="宋体" w:hAnsi="宋体" w:eastAsia="宋体"/>
          <w:sz w:val="21"/>
        </w:rPr>
        <w:t>表4给出 CAPE-Anchor 消融结果。K0 是无公开锚点的受限再编辑对照；K1/K2 引入公开锚点后，公开知识保持率明显上升。PACE-Lite K0 的公开知识保持率为 0.4210，CAPE-Anchor K1 提升到 0.6008，K2 进一步提升到 0.6833。与此同时，隐私值包含率也从 0.3323 上升到 0.4603 和 0.6357，说明公开锚点带来更好的 utility，但会牺牲部分 privacy。</w:t>
      </w:r>
    </w:p>
    <w:p>
      <w:pPr>
        <w:spacing w:line="276" w:lineRule="auto"/>
        <w:ind w:firstLine="420"/>
      </w:pPr>
      <w:r>
        <w:rPr>
          <w:rFonts w:ascii="宋体" w:hAnsi="宋体" w:eastAsia="宋体"/>
          <w:sz w:val="21"/>
        </w:rPr>
        <w:t>表4 CAPE-Anchor 消融结果</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E8EEF5"/>
          </w:tcPr>
          <w:p>
            <w:pPr>
              <w:jc w:val="center"/>
            </w:pPr>
            <w:r/>
            <w:r>
              <w:rPr>
                <w:rFonts w:ascii="宋体" w:hAnsi="宋体" w:eastAsia="宋体"/>
                <w:b/>
                <w:sz w:val="17"/>
              </w:rPr>
              <w:t>配置</w:t>
            </w:r>
          </w:p>
        </w:tc>
        <w:tc>
          <w:tcPr>
            <w:tcW w:type="dxa" w:w="1560"/>
            <w:vAlign w:val="center"/>
            <w:shd w:fill="E8EEF5"/>
          </w:tcPr>
          <w:p>
            <w:pPr>
              <w:jc w:val="center"/>
            </w:pPr>
            <w:r/>
            <w:r>
              <w:rPr>
                <w:rFonts w:ascii="宋体" w:hAnsi="宋体" w:eastAsia="宋体"/>
                <w:b/>
                <w:sz w:val="17"/>
              </w:rPr>
              <w:t>隐私值包含率↓</w:t>
            </w:r>
          </w:p>
        </w:tc>
        <w:tc>
          <w:tcPr>
            <w:tcW w:type="dxa" w:w="1560"/>
            <w:vAlign w:val="center"/>
            <w:shd w:fill="E8EEF5"/>
          </w:tcPr>
          <w:p>
            <w:pPr>
              <w:jc w:val="center"/>
            </w:pPr>
            <w:r/>
            <w:r>
              <w:rPr>
                <w:rFonts w:ascii="宋体" w:hAnsi="宋体" w:eastAsia="宋体"/>
                <w:b/>
                <w:sz w:val="17"/>
              </w:rPr>
              <w:t>PII格式率↓</w:t>
            </w:r>
          </w:p>
        </w:tc>
        <w:tc>
          <w:tcPr>
            <w:tcW w:type="dxa" w:w="1560"/>
            <w:vAlign w:val="center"/>
            <w:shd w:fill="E8EEF5"/>
          </w:tcPr>
          <w:p>
            <w:pPr>
              <w:jc w:val="center"/>
            </w:pPr>
            <w:r/>
            <w:r>
              <w:rPr>
                <w:rFonts w:ascii="宋体" w:hAnsi="宋体" w:eastAsia="宋体"/>
                <w:b/>
                <w:sz w:val="17"/>
              </w:rPr>
              <w:t>隐私拒答率</w:t>
            </w:r>
          </w:p>
        </w:tc>
        <w:tc>
          <w:tcPr>
            <w:tcW w:type="dxa" w:w="1560"/>
            <w:vAlign w:val="center"/>
            <w:shd w:fill="E8EEF5"/>
          </w:tcPr>
          <w:p>
            <w:pPr>
              <w:jc w:val="center"/>
            </w:pPr>
            <w:r/>
            <w:r>
              <w:rPr>
                <w:rFonts w:ascii="宋体" w:hAnsi="宋体" w:eastAsia="宋体"/>
                <w:b/>
                <w:sz w:val="17"/>
              </w:rPr>
              <w:t>公开知识保持率↑</w:t>
            </w:r>
          </w:p>
        </w:tc>
        <w:tc>
          <w:tcPr>
            <w:tcW w:type="dxa" w:w="1560"/>
            <w:vAlign w:val="center"/>
            <w:shd w:fill="E8EEF5"/>
          </w:tcPr>
          <w:p>
            <w:pPr>
              <w:jc w:val="center"/>
            </w:pPr>
            <w:r/>
            <w:r>
              <w:rPr>
                <w:rFonts w:ascii="宋体" w:hAnsi="宋体" w:eastAsia="宋体"/>
                <w:b/>
                <w:sz w:val="17"/>
              </w:rPr>
              <w:t>解释</w:t>
            </w:r>
          </w:p>
        </w:tc>
      </w:tr>
      <w:tr>
        <w:tc>
          <w:tcPr>
            <w:tcW w:type="dxa" w:w="1560"/>
            <w:vAlign w:val="center"/>
          </w:tcPr>
          <w:p>
            <w:pPr>
              <w:jc w:val="left"/>
            </w:pPr>
            <w:r/>
            <w:r>
              <w:rPr>
                <w:rFonts w:ascii="宋体" w:hAnsi="宋体" w:eastAsia="宋体"/>
                <w:b w:val="0"/>
                <w:sz w:val="17"/>
              </w:rPr>
              <w:t>PACE-Lite K0（无公开锚点）</w:t>
            </w:r>
          </w:p>
        </w:tc>
        <w:tc>
          <w:tcPr>
            <w:tcW w:type="dxa" w:w="1560"/>
            <w:vAlign w:val="center"/>
          </w:tcPr>
          <w:p>
            <w:pPr>
              <w:jc w:val="center"/>
            </w:pPr>
            <w:r/>
            <w:r>
              <w:rPr>
                <w:rFonts w:ascii="宋体" w:hAnsi="宋体" w:eastAsia="宋体"/>
                <w:b w:val="0"/>
                <w:sz w:val="17"/>
              </w:rPr>
              <w:t>0.3323</w:t>
            </w:r>
          </w:p>
        </w:tc>
        <w:tc>
          <w:tcPr>
            <w:tcW w:type="dxa" w:w="1560"/>
            <w:vAlign w:val="center"/>
          </w:tcPr>
          <w:p>
            <w:pPr>
              <w:jc w:val="center"/>
            </w:pPr>
            <w:r/>
            <w:r>
              <w:rPr>
                <w:rFonts w:ascii="宋体" w:hAnsi="宋体" w:eastAsia="宋体"/>
                <w:b w:val="0"/>
                <w:sz w:val="17"/>
              </w:rPr>
              <w:t>0.2613</w:t>
            </w:r>
          </w:p>
        </w:tc>
        <w:tc>
          <w:tcPr>
            <w:tcW w:type="dxa" w:w="1560"/>
            <w:vAlign w:val="center"/>
          </w:tcPr>
          <w:p>
            <w:pPr>
              <w:jc w:val="center"/>
            </w:pPr>
            <w:r/>
            <w:r>
              <w:rPr>
                <w:rFonts w:ascii="宋体" w:hAnsi="宋体" w:eastAsia="宋体"/>
                <w:b w:val="0"/>
                <w:sz w:val="17"/>
              </w:rPr>
              <w:t>0.6407</w:t>
            </w:r>
          </w:p>
        </w:tc>
        <w:tc>
          <w:tcPr>
            <w:tcW w:type="dxa" w:w="1560"/>
            <w:vAlign w:val="center"/>
          </w:tcPr>
          <w:p>
            <w:pPr>
              <w:jc w:val="center"/>
            </w:pPr>
            <w:r/>
            <w:r>
              <w:rPr>
                <w:rFonts w:ascii="宋体" w:hAnsi="宋体" w:eastAsia="宋体"/>
                <w:b w:val="0"/>
                <w:sz w:val="17"/>
              </w:rPr>
              <w:t>0.4210</w:t>
            </w:r>
          </w:p>
        </w:tc>
        <w:tc>
          <w:tcPr>
            <w:tcW w:type="dxa" w:w="1560"/>
            <w:vAlign w:val="center"/>
          </w:tcPr>
          <w:p>
            <w:pPr>
              <w:jc w:val="center"/>
            </w:pPr>
            <w:r/>
            <w:r>
              <w:rPr>
                <w:rFonts w:ascii="宋体" w:hAnsi="宋体" w:eastAsia="宋体"/>
                <w:b w:val="0"/>
                <w:sz w:val="17"/>
              </w:rPr>
              <w:t>无锚点对照</w:t>
            </w:r>
          </w:p>
        </w:tc>
      </w:tr>
      <w:tr>
        <w:tc>
          <w:tcPr>
            <w:tcW w:type="dxa" w:w="1560"/>
            <w:vAlign w:val="center"/>
          </w:tcPr>
          <w:p>
            <w:pPr>
              <w:jc w:val="center"/>
            </w:pPr>
            <w:r/>
            <w:r>
              <w:rPr>
                <w:rFonts w:ascii="宋体" w:hAnsi="宋体" w:eastAsia="宋体"/>
                <w:b w:val="0"/>
                <w:sz w:val="17"/>
              </w:rPr>
              <w:t>CAPE-Anchor K1</w:t>
            </w:r>
          </w:p>
        </w:tc>
        <w:tc>
          <w:tcPr>
            <w:tcW w:type="dxa" w:w="1560"/>
            <w:vAlign w:val="center"/>
          </w:tcPr>
          <w:p>
            <w:pPr>
              <w:jc w:val="center"/>
            </w:pPr>
            <w:r/>
            <w:r>
              <w:rPr>
                <w:rFonts w:ascii="宋体" w:hAnsi="宋体" w:eastAsia="宋体"/>
                <w:b w:val="0"/>
                <w:sz w:val="17"/>
              </w:rPr>
              <w:t>0.4603</w:t>
            </w:r>
          </w:p>
        </w:tc>
        <w:tc>
          <w:tcPr>
            <w:tcW w:type="dxa" w:w="1560"/>
            <w:vAlign w:val="center"/>
          </w:tcPr>
          <w:p>
            <w:pPr>
              <w:jc w:val="center"/>
            </w:pPr>
            <w:r/>
            <w:r>
              <w:rPr>
                <w:rFonts w:ascii="宋体" w:hAnsi="宋体" w:eastAsia="宋体"/>
                <w:b w:val="0"/>
                <w:sz w:val="17"/>
              </w:rPr>
              <w:t>0.3623</w:t>
            </w:r>
          </w:p>
        </w:tc>
        <w:tc>
          <w:tcPr>
            <w:tcW w:type="dxa" w:w="1560"/>
            <w:vAlign w:val="center"/>
          </w:tcPr>
          <w:p>
            <w:pPr>
              <w:jc w:val="center"/>
            </w:pPr>
            <w:r/>
            <w:r>
              <w:rPr>
                <w:rFonts w:ascii="宋体" w:hAnsi="宋体" w:eastAsia="宋体"/>
                <w:b w:val="0"/>
                <w:sz w:val="17"/>
              </w:rPr>
              <w:t>0.0050</w:t>
            </w:r>
          </w:p>
        </w:tc>
        <w:tc>
          <w:tcPr>
            <w:tcW w:type="dxa" w:w="1560"/>
            <w:vAlign w:val="center"/>
          </w:tcPr>
          <w:p>
            <w:pPr>
              <w:jc w:val="center"/>
            </w:pPr>
            <w:r/>
            <w:r>
              <w:rPr>
                <w:rFonts w:ascii="宋体" w:hAnsi="宋体" w:eastAsia="宋体"/>
                <w:b w:val="0"/>
                <w:sz w:val="17"/>
              </w:rPr>
              <w:t>0.6008</w:t>
            </w:r>
          </w:p>
        </w:tc>
        <w:tc>
          <w:tcPr>
            <w:tcW w:type="dxa" w:w="1560"/>
            <w:vAlign w:val="center"/>
          </w:tcPr>
          <w:p>
            <w:pPr>
              <w:jc w:val="center"/>
            </w:pPr>
            <w:r/>
            <w:r>
              <w:rPr>
                <w:rFonts w:ascii="宋体" w:hAnsi="宋体" w:eastAsia="宋体"/>
                <w:b w:val="0"/>
                <w:sz w:val="17"/>
              </w:rPr>
              <w:t>较均衡折中</w:t>
            </w:r>
          </w:p>
        </w:tc>
      </w:tr>
      <w:tr>
        <w:tc>
          <w:tcPr>
            <w:tcW w:type="dxa" w:w="1560"/>
            <w:vAlign w:val="center"/>
          </w:tcPr>
          <w:p>
            <w:pPr>
              <w:jc w:val="center"/>
            </w:pPr>
            <w:r/>
            <w:r>
              <w:rPr>
                <w:rFonts w:ascii="宋体" w:hAnsi="宋体" w:eastAsia="宋体"/>
                <w:b w:val="0"/>
                <w:sz w:val="17"/>
              </w:rPr>
              <w:t>CAPE-Anchor K2</w:t>
            </w:r>
          </w:p>
        </w:tc>
        <w:tc>
          <w:tcPr>
            <w:tcW w:type="dxa" w:w="1560"/>
            <w:vAlign w:val="center"/>
          </w:tcPr>
          <w:p>
            <w:pPr>
              <w:jc w:val="center"/>
            </w:pPr>
            <w:r/>
            <w:r>
              <w:rPr>
                <w:rFonts w:ascii="宋体" w:hAnsi="宋体" w:eastAsia="宋体"/>
                <w:b w:val="0"/>
                <w:sz w:val="17"/>
              </w:rPr>
              <w:t>0.6357</w:t>
            </w:r>
          </w:p>
        </w:tc>
        <w:tc>
          <w:tcPr>
            <w:tcW w:type="dxa" w:w="1560"/>
            <w:vAlign w:val="center"/>
          </w:tcPr>
          <w:p>
            <w:pPr>
              <w:jc w:val="center"/>
            </w:pPr>
            <w:r/>
            <w:r>
              <w:rPr>
                <w:rFonts w:ascii="宋体" w:hAnsi="宋体" w:eastAsia="宋体"/>
                <w:b w:val="0"/>
                <w:sz w:val="17"/>
              </w:rPr>
              <w:t>0.5193</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0.6833</w:t>
            </w:r>
          </w:p>
        </w:tc>
        <w:tc>
          <w:tcPr>
            <w:tcW w:type="dxa" w:w="1560"/>
            <w:vAlign w:val="center"/>
          </w:tcPr>
          <w:p>
            <w:pPr>
              <w:jc w:val="center"/>
            </w:pPr>
            <w:r/>
            <w:r>
              <w:rPr>
                <w:rFonts w:ascii="宋体" w:hAnsi="宋体" w:eastAsia="宋体"/>
                <w:b w:val="0"/>
                <w:sz w:val="17"/>
              </w:rPr>
              <w:t>公开保持更高但隐私压制更弱</w:t>
            </w:r>
          </w:p>
        </w:tc>
      </w:tr>
    </w:tbl>
    <w:p/>
    <w:p>
      <w:pPr>
        <w:spacing w:line="276" w:lineRule="auto"/>
        <w:ind w:firstLine="420"/>
      </w:pPr>
      <w:r>
        <w:rPr>
          <w:rFonts w:ascii="宋体" w:hAnsi="宋体" w:eastAsia="宋体"/>
          <w:sz w:val="21"/>
        </w:rPr>
        <w:t>图4展示了 CAPE-Anchor 的折中变化。K1 通常是较合理的折中点：它比 PACE/CAPE 明显提高公开知识保持，同时隐私值包含率仍低于 ROME。K2 的公开保持更高，但隐私压制更弱。因此，本文采用 Claim A 的限定写法：CAPE-Anchor 形成有限有效改进，即相对于 naive PACE/CAPE 提供更合理的隐私压制—知识保持折中，而不是完全解决隐私清洗。</w:t>
      </w:r>
    </w:p>
    <w:p>
      <w:pPr>
        <w:spacing w:line="276" w:lineRule="auto"/>
        <w:ind w:firstLine="420"/>
      </w:pPr>
      <w:r>
        <w:rPr>
          <w:rFonts w:ascii="宋体" w:hAnsi="宋体" w:eastAsia="宋体"/>
          <w:sz w:val="21"/>
        </w:rPr>
        <w:t>图4 CAPE-Anchor 消融折中图</w:t>
      </w:r>
    </w:p>
    <w:p>
      <w:pPr>
        <w:jc w:val="center"/>
      </w:pPr>
      <w:r>
        <w:drawing>
          <wp:inline xmlns:a="http://schemas.openxmlformats.org/drawingml/2006/main" xmlns:pic="http://schemas.openxmlformats.org/drawingml/2006/picture">
            <wp:extent cx="5220000" cy="3478199"/>
            <wp:docPr id="4" name="Picture 4"/>
            <wp:cNvGraphicFramePr>
              <a:graphicFrameLocks noChangeAspect="1"/>
            </wp:cNvGraphicFramePr>
            <a:graphic>
              <a:graphicData uri="http://schemas.openxmlformats.org/drawingml/2006/picture">
                <pic:pic>
                  <pic:nvPicPr>
                    <pic:cNvPr id="0" name="fig4_cape_anchor_ablation_tradeoff.png"/>
                    <pic:cNvPicPr/>
                  </pic:nvPicPr>
                  <pic:blipFill>
                    <a:blip r:embed="rId12"/>
                    <a:stretch>
                      <a:fillRect/>
                    </a:stretch>
                  </pic:blipFill>
                  <pic:spPr>
                    <a:xfrm>
                      <a:off x="0" y="0"/>
                      <a:ext cx="5220000" cy="3478199"/>
                    </a:xfrm>
                    <a:prstGeom prst="rect"/>
                  </pic:spPr>
                </pic:pic>
              </a:graphicData>
            </a:graphic>
          </wp:inline>
        </w:drawing>
      </w:r>
    </w:p>
    <w:p>
      <w:pPr>
        <w:pStyle w:val="Heading2"/>
      </w:pPr>
      <w:r>
        <w:t>4.7 Qwen 公开事实编辑迁移验证</w:t>
      </w:r>
    </w:p>
    <w:p>
      <w:pPr>
        <w:spacing w:line="276" w:lineRule="auto"/>
        <w:ind w:firstLine="420"/>
      </w:pPr>
      <w:r>
        <w:rPr>
          <w:rFonts w:ascii="宋体" w:hAnsi="宋体" w:eastAsia="宋体"/>
          <w:sz w:val="21"/>
        </w:rPr>
        <w:t>CounterFact 和 zsRE 不是 PII 清洗任务。本文将其作为公开事实编辑迁移验证，用于观察 closed-loop request selection 在非隐私 factual editing 场景下的外部行为。表5显示，Qwen 上 ROME/FT 是较强 baseline，wrapper 可以迁移运行但效果中等。CounterFact 上 ROME+PACE-Edit 和 ROME+CAPE-Edit 的可靠性均为 0.5179；zsRE 上二者可靠性均为 0.3117。这说明 wrapper 不是公开事实编辑上的强正结果，只能作为迁移验证和边界说明。</w:t>
      </w:r>
    </w:p>
    <w:p>
      <w:pPr>
        <w:spacing w:line="276" w:lineRule="auto"/>
        <w:ind w:firstLine="420"/>
      </w:pPr>
      <w:r>
        <w:rPr>
          <w:rFonts w:ascii="宋体" w:hAnsi="宋体" w:eastAsia="宋体"/>
          <w:sz w:val="21"/>
        </w:rPr>
        <w:t>表5 Qwen public transfer 结果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E8EEF5"/>
          </w:tcPr>
          <w:p>
            <w:pPr>
              <w:jc w:val="center"/>
            </w:pPr>
            <w:r/>
            <w:r>
              <w:rPr>
                <w:rFonts w:ascii="宋体" w:hAnsi="宋体" w:eastAsia="宋体"/>
                <w:b/>
                <w:sz w:val="17"/>
              </w:rPr>
              <w:t>数据集</w:t>
            </w:r>
          </w:p>
        </w:tc>
        <w:tc>
          <w:tcPr>
            <w:tcW w:type="dxa" w:w="1872"/>
            <w:vAlign w:val="center"/>
            <w:shd w:fill="E8EEF5"/>
          </w:tcPr>
          <w:p>
            <w:pPr>
              <w:jc w:val="center"/>
            </w:pPr>
            <w:r/>
            <w:r>
              <w:rPr>
                <w:rFonts w:ascii="宋体" w:hAnsi="宋体" w:eastAsia="宋体"/>
                <w:b/>
                <w:sz w:val="17"/>
              </w:rPr>
              <w:t>方法</w:t>
            </w:r>
          </w:p>
        </w:tc>
        <w:tc>
          <w:tcPr>
            <w:tcW w:type="dxa" w:w="1872"/>
            <w:vAlign w:val="center"/>
            <w:shd w:fill="E8EEF5"/>
          </w:tcPr>
          <w:p>
            <w:pPr>
              <w:jc w:val="center"/>
            </w:pPr>
            <w:r/>
            <w:r>
              <w:rPr>
                <w:rFonts w:ascii="宋体" w:hAnsi="宋体" w:eastAsia="宋体"/>
                <w:b/>
                <w:sz w:val="17"/>
              </w:rPr>
              <w:t>样本数</w:t>
            </w:r>
          </w:p>
        </w:tc>
        <w:tc>
          <w:tcPr>
            <w:tcW w:type="dxa" w:w="1872"/>
            <w:vAlign w:val="center"/>
            <w:shd w:fill="E8EEF5"/>
          </w:tcPr>
          <w:p>
            <w:pPr>
              <w:jc w:val="center"/>
            </w:pPr>
            <w:r/>
            <w:r>
              <w:rPr>
                <w:rFonts w:ascii="宋体" w:hAnsi="宋体" w:eastAsia="宋体"/>
                <w:b/>
                <w:sz w:val="17"/>
              </w:rPr>
              <w:t>可靠性↑</w:t>
            </w:r>
          </w:p>
        </w:tc>
        <w:tc>
          <w:tcPr>
            <w:tcW w:type="dxa" w:w="1872"/>
            <w:vAlign w:val="center"/>
            <w:shd w:fill="E8EEF5"/>
          </w:tcPr>
          <w:p>
            <w:pPr>
              <w:jc w:val="center"/>
            </w:pPr>
            <w:r/>
            <w:r>
              <w:rPr>
                <w:rFonts w:ascii="宋体" w:hAnsi="宋体" w:eastAsia="宋体"/>
                <w:b/>
                <w:sz w:val="17"/>
              </w:rPr>
              <w:t>泛化性↑</w:t>
            </w:r>
          </w:p>
        </w:tc>
      </w:tr>
      <w:tr>
        <w:tc>
          <w:tcPr>
            <w:tcW w:type="dxa" w:w="1872"/>
            <w:vAlign w:val="center"/>
          </w:tcPr>
          <w:p>
            <w:pPr>
              <w:jc w:val="center"/>
            </w:pPr>
            <w:r/>
            <w:r>
              <w:rPr>
                <w:rFonts w:ascii="宋体" w:hAnsi="宋体" w:eastAsia="宋体"/>
                <w:b w:val="0"/>
                <w:sz w:val="17"/>
              </w:rPr>
              <w:t>CounterFact</w:t>
            </w:r>
          </w:p>
        </w:tc>
        <w:tc>
          <w:tcPr>
            <w:tcW w:type="dxa" w:w="1872"/>
            <w:vAlign w:val="center"/>
          </w:tcPr>
          <w:p>
            <w:pPr>
              <w:jc w:val="center"/>
            </w:pPr>
            <w:r/>
            <w:r>
              <w:rPr>
                <w:rFonts w:ascii="宋体" w:hAnsi="宋体" w:eastAsia="宋体"/>
                <w:b w:val="0"/>
                <w:sz w:val="17"/>
              </w:rPr>
              <w:t>FT</w:t>
            </w:r>
          </w:p>
        </w:tc>
        <w:tc>
          <w:tcPr>
            <w:tcW w:type="dxa" w:w="1872"/>
            <w:vAlign w:val="center"/>
          </w:tcPr>
          <w:p>
            <w:pPr>
              <w:jc w:val="center"/>
            </w:pPr>
            <w:r/>
            <w:r>
              <w:rPr>
                <w:rFonts w:ascii="宋体" w:hAnsi="宋体" w:eastAsia="宋体"/>
                <w:b w:val="0"/>
                <w:sz w:val="17"/>
              </w:rPr>
              <w:t>200</w:t>
            </w:r>
          </w:p>
        </w:tc>
        <w:tc>
          <w:tcPr>
            <w:tcW w:type="dxa" w:w="1872"/>
            <w:vAlign w:val="center"/>
          </w:tcPr>
          <w:p>
            <w:pPr>
              <w:jc w:val="center"/>
            </w:pPr>
            <w:r/>
            <w:r>
              <w:rPr>
                <w:rFonts w:ascii="宋体" w:hAnsi="宋体" w:eastAsia="宋体"/>
                <w:b w:val="0"/>
                <w:sz w:val="17"/>
              </w:rPr>
              <w:t>1.0000</w:t>
            </w:r>
          </w:p>
        </w:tc>
        <w:tc>
          <w:tcPr>
            <w:tcW w:type="dxa" w:w="1872"/>
            <w:vAlign w:val="center"/>
          </w:tcPr>
          <w:p>
            <w:pPr>
              <w:jc w:val="center"/>
            </w:pPr>
            <w:r/>
            <w:r>
              <w:rPr>
                <w:rFonts w:ascii="宋体" w:hAnsi="宋体" w:eastAsia="宋体"/>
                <w:b w:val="0"/>
                <w:sz w:val="17"/>
              </w:rPr>
              <w:t>1.0000</w:t>
            </w:r>
          </w:p>
        </w:tc>
      </w:tr>
      <w:tr>
        <w:tc>
          <w:tcPr>
            <w:tcW w:type="dxa" w:w="1872"/>
            <w:vAlign w:val="center"/>
          </w:tcPr>
          <w:p>
            <w:pPr>
              <w:jc w:val="center"/>
            </w:pPr>
            <w:r/>
            <w:r>
              <w:rPr>
                <w:rFonts w:ascii="宋体" w:hAnsi="宋体" w:eastAsia="宋体"/>
                <w:b w:val="0"/>
                <w:sz w:val="17"/>
              </w:rPr>
              <w:t>CounterFact</w:t>
            </w:r>
          </w:p>
        </w:tc>
        <w:tc>
          <w:tcPr>
            <w:tcW w:type="dxa" w:w="1872"/>
            <w:vAlign w:val="center"/>
          </w:tcPr>
          <w:p>
            <w:pPr>
              <w:jc w:val="center"/>
            </w:pPr>
            <w:r/>
            <w:r>
              <w:rPr>
                <w:rFonts w:ascii="宋体" w:hAnsi="宋体" w:eastAsia="宋体"/>
                <w:b w:val="0"/>
                <w:sz w:val="17"/>
              </w:rPr>
              <w:t>KN</w:t>
            </w:r>
          </w:p>
        </w:tc>
        <w:tc>
          <w:tcPr>
            <w:tcW w:type="dxa" w:w="1872"/>
            <w:vAlign w:val="center"/>
          </w:tcPr>
          <w:p>
            <w:pPr>
              <w:jc w:val="center"/>
            </w:pPr>
            <w:r/>
            <w:r>
              <w:rPr>
                <w:rFonts w:ascii="宋体" w:hAnsi="宋体" w:eastAsia="宋体"/>
                <w:b w:val="0"/>
                <w:sz w:val="17"/>
              </w:rPr>
              <w:t>200</w:t>
            </w:r>
          </w:p>
        </w:tc>
        <w:tc>
          <w:tcPr>
            <w:tcW w:type="dxa" w:w="1872"/>
            <w:vAlign w:val="center"/>
          </w:tcPr>
          <w:p>
            <w:pPr>
              <w:jc w:val="center"/>
            </w:pPr>
            <w:r/>
            <w:r>
              <w:rPr>
                <w:rFonts w:ascii="宋体" w:hAnsi="宋体" w:eastAsia="宋体"/>
                <w:b w:val="0"/>
                <w:sz w:val="17"/>
              </w:rPr>
              <w:t>0.0075</w:t>
            </w:r>
          </w:p>
        </w:tc>
        <w:tc>
          <w:tcPr>
            <w:tcW w:type="dxa" w:w="1872"/>
            <w:vAlign w:val="center"/>
          </w:tcPr>
          <w:p>
            <w:pPr>
              <w:jc w:val="center"/>
            </w:pPr>
            <w:r/>
            <w:r>
              <w:rPr>
                <w:rFonts w:ascii="宋体" w:hAnsi="宋体" w:eastAsia="宋体"/>
                <w:b w:val="0"/>
                <w:sz w:val="17"/>
              </w:rPr>
              <w:t>0.0075</w:t>
            </w:r>
          </w:p>
        </w:tc>
      </w:tr>
      <w:tr>
        <w:tc>
          <w:tcPr>
            <w:tcW w:type="dxa" w:w="1872"/>
            <w:vAlign w:val="center"/>
          </w:tcPr>
          <w:p>
            <w:pPr>
              <w:jc w:val="center"/>
            </w:pPr>
            <w:r/>
            <w:r>
              <w:rPr>
                <w:rFonts w:ascii="宋体" w:hAnsi="宋体" w:eastAsia="宋体"/>
                <w:b w:val="0"/>
                <w:sz w:val="17"/>
              </w:rPr>
              <w:t>CounterFact</w:t>
            </w:r>
          </w:p>
        </w:tc>
        <w:tc>
          <w:tcPr>
            <w:tcW w:type="dxa" w:w="1872"/>
            <w:vAlign w:val="center"/>
          </w:tcPr>
          <w:p>
            <w:pPr>
              <w:jc w:val="center"/>
            </w:pPr>
            <w:r/>
            <w:r>
              <w:rPr>
                <w:rFonts w:ascii="宋体" w:hAnsi="宋体" w:eastAsia="宋体"/>
                <w:b w:val="0"/>
                <w:sz w:val="17"/>
              </w:rPr>
              <w:t>ROME</w:t>
            </w:r>
          </w:p>
        </w:tc>
        <w:tc>
          <w:tcPr>
            <w:tcW w:type="dxa" w:w="1872"/>
            <w:vAlign w:val="center"/>
          </w:tcPr>
          <w:p>
            <w:pPr>
              <w:jc w:val="center"/>
            </w:pPr>
            <w:r/>
            <w:r>
              <w:rPr>
                <w:rFonts w:ascii="宋体" w:hAnsi="宋体" w:eastAsia="宋体"/>
                <w:b w:val="0"/>
                <w:sz w:val="17"/>
              </w:rPr>
              <w:t>200</w:t>
            </w:r>
          </w:p>
        </w:tc>
        <w:tc>
          <w:tcPr>
            <w:tcW w:type="dxa" w:w="1872"/>
            <w:vAlign w:val="center"/>
          </w:tcPr>
          <w:p>
            <w:pPr>
              <w:jc w:val="center"/>
            </w:pPr>
            <w:r/>
            <w:r>
              <w:rPr>
                <w:rFonts w:ascii="宋体" w:hAnsi="宋体" w:eastAsia="宋体"/>
                <w:b w:val="0"/>
                <w:sz w:val="17"/>
              </w:rPr>
              <w:t>0.9950</w:t>
            </w:r>
          </w:p>
        </w:tc>
        <w:tc>
          <w:tcPr>
            <w:tcW w:type="dxa" w:w="1872"/>
            <w:vAlign w:val="center"/>
          </w:tcPr>
          <w:p>
            <w:pPr>
              <w:jc w:val="center"/>
            </w:pPr>
            <w:r/>
            <w:r>
              <w:rPr>
                <w:rFonts w:ascii="宋体" w:hAnsi="宋体" w:eastAsia="宋体"/>
                <w:b w:val="0"/>
                <w:sz w:val="17"/>
              </w:rPr>
              <w:t>0.7550</w:t>
            </w:r>
          </w:p>
        </w:tc>
      </w:tr>
      <w:tr>
        <w:tc>
          <w:tcPr>
            <w:tcW w:type="dxa" w:w="1872"/>
            <w:vAlign w:val="center"/>
          </w:tcPr>
          <w:p>
            <w:pPr>
              <w:jc w:val="center"/>
            </w:pPr>
            <w:r/>
            <w:r>
              <w:rPr>
                <w:rFonts w:ascii="宋体" w:hAnsi="宋体" w:eastAsia="宋体"/>
                <w:b w:val="0"/>
                <w:sz w:val="17"/>
              </w:rPr>
              <w:t>zsRE</w:t>
            </w:r>
          </w:p>
        </w:tc>
        <w:tc>
          <w:tcPr>
            <w:tcW w:type="dxa" w:w="1872"/>
            <w:vAlign w:val="center"/>
          </w:tcPr>
          <w:p>
            <w:pPr>
              <w:jc w:val="center"/>
            </w:pPr>
            <w:r/>
            <w:r>
              <w:rPr>
                <w:rFonts w:ascii="宋体" w:hAnsi="宋体" w:eastAsia="宋体"/>
                <w:b w:val="0"/>
                <w:sz w:val="17"/>
              </w:rPr>
              <w:t>FT</w:t>
            </w:r>
          </w:p>
        </w:tc>
        <w:tc>
          <w:tcPr>
            <w:tcW w:type="dxa" w:w="1872"/>
            <w:vAlign w:val="center"/>
          </w:tcPr>
          <w:p>
            <w:pPr>
              <w:jc w:val="center"/>
            </w:pPr>
            <w:r/>
            <w:r>
              <w:rPr>
                <w:rFonts w:ascii="宋体" w:hAnsi="宋体" w:eastAsia="宋体"/>
                <w:b w:val="0"/>
                <w:sz w:val="17"/>
              </w:rPr>
              <w:t>200</w:t>
            </w:r>
          </w:p>
        </w:tc>
        <w:tc>
          <w:tcPr>
            <w:tcW w:type="dxa" w:w="1872"/>
            <w:vAlign w:val="center"/>
          </w:tcPr>
          <w:p>
            <w:pPr>
              <w:jc w:val="center"/>
            </w:pPr>
            <w:r/>
            <w:r>
              <w:rPr>
                <w:rFonts w:ascii="宋体" w:hAnsi="宋体" w:eastAsia="宋体"/>
                <w:b w:val="0"/>
                <w:sz w:val="17"/>
              </w:rPr>
              <w:t>0.7384</w:t>
            </w:r>
          </w:p>
        </w:tc>
        <w:tc>
          <w:tcPr>
            <w:tcW w:type="dxa" w:w="1872"/>
            <w:vAlign w:val="center"/>
          </w:tcPr>
          <w:p>
            <w:pPr>
              <w:jc w:val="center"/>
            </w:pPr>
            <w:r/>
            <w:r>
              <w:rPr>
                <w:rFonts w:ascii="宋体" w:hAnsi="宋体" w:eastAsia="宋体"/>
                <w:b w:val="0"/>
                <w:sz w:val="17"/>
              </w:rPr>
              <w:t>0.7469</w:t>
            </w:r>
          </w:p>
        </w:tc>
      </w:tr>
      <w:tr>
        <w:tc>
          <w:tcPr>
            <w:tcW w:type="dxa" w:w="1872"/>
            <w:vAlign w:val="center"/>
          </w:tcPr>
          <w:p>
            <w:pPr>
              <w:jc w:val="center"/>
            </w:pPr>
            <w:r/>
            <w:r>
              <w:rPr>
                <w:rFonts w:ascii="宋体" w:hAnsi="宋体" w:eastAsia="宋体"/>
                <w:b w:val="0"/>
                <w:sz w:val="17"/>
              </w:rPr>
              <w:t>zsRE</w:t>
            </w:r>
          </w:p>
        </w:tc>
        <w:tc>
          <w:tcPr>
            <w:tcW w:type="dxa" w:w="1872"/>
            <w:vAlign w:val="center"/>
          </w:tcPr>
          <w:p>
            <w:pPr>
              <w:jc w:val="center"/>
            </w:pPr>
            <w:r/>
            <w:r>
              <w:rPr>
                <w:rFonts w:ascii="宋体" w:hAnsi="宋体" w:eastAsia="宋体"/>
                <w:b w:val="0"/>
                <w:sz w:val="17"/>
              </w:rPr>
              <w:t>ROME</w:t>
            </w:r>
          </w:p>
        </w:tc>
        <w:tc>
          <w:tcPr>
            <w:tcW w:type="dxa" w:w="1872"/>
            <w:vAlign w:val="center"/>
          </w:tcPr>
          <w:p>
            <w:pPr>
              <w:jc w:val="center"/>
            </w:pPr>
            <w:r/>
            <w:r>
              <w:rPr>
                <w:rFonts w:ascii="宋体" w:hAnsi="宋体" w:eastAsia="宋体"/>
                <w:b w:val="0"/>
                <w:sz w:val="17"/>
              </w:rPr>
              <w:t>200</w:t>
            </w:r>
          </w:p>
        </w:tc>
        <w:tc>
          <w:tcPr>
            <w:tcW w:type="dxa" w:w="1872"/>
            <w:vAlign w:val="center"/>
          </w:tcPr>
          <w:p>
            <w:pPr>
              <w:jc w:val="center"/>
            </w:pPr>
            <w:r/>
            <w:r>
              <w:rPr>
                <w:rFonts w:ascii="宋体" w:hAnsi="宋体" w:eastAsia="宋体"/>
                <w:b w:val="0"/>
                <w:sz w:val="17"/>
              </w:rPr>
              <w:t>1.0000</w:t>
            </w:r>
          </w:p>
        </w:tc>
        <w:tc>
          <w:tcPr>
            <w:tcW w:type="dxa" w:w="1872"/>
            <w:vAlign w:val="center"/>
          </w:tcPr>
          <w:p>
            <w:pPr>
              <w:jc w:val="center"/>
            </w:pPr>
            <w:r/>
            <w:r>
              <w:rPr>
                <w:rFonts w:ascii="宋体" w:hAnsi="宋体" w:eastAsia="宋体"/>
                <w:b w:val="0"/>
                <w:sz w:val="17"/>
              </w:rPr>
              <w:t>0.9763</w:t>
            </w:r>
          </w:p>
        </w:tc>
      </w:tr>
      <w:tr>
        <w:tc>
          <w:tcPr>
            <w:tcW w:type="dxa" w:w="1872"/>
            <w:vAlign w:val="center"/>
          </w:tcPr>
          <w:p>
            <w:pPr>
              <w:jc w:val="center"/>
            </w:pPr>
            <w:r/>
            <w:r>
              <w:rPr>
                <w:rFonts w:ascii="宋体" w:hAnsi="宋体" w:eastAsia="宋体"/>
                <w:b w:val="0"/>
                <w:sz w:val="17"/>
              </w:rPr>
              <w:t>CounterFact</w:t>
            </w:r>
          </w:p>
        </w:tc>
        <w:tc>
          <w:tcPr>
            <w:tcW w:type="dxa" w:w="1872"/>
            <w:vAlign w:val="center"/>
          </w:tcPr>
          <w:p>
            <w:pPr>
              <w:jc w:val="center"/>
            </w:pPr>
            <w:r/>
            <w:r>
              <w:rPr>
                <w:rFonts w:ascii="宋体" w:hAnsi="宋体" w:eastAsia="宋体"/>
                <w:b w:val="0"/>
                <w:sz w:val="17"/>
              </w:rPr>
              <w:t>ROME+CAPE-Edit</w:t>
            </w:r>
          </w:p>
        </w:tc>
        <w:tc>
          <w:tcPr>
            <w:tcW w:type="dxa" w:w="1872"/>
            <w:vAlign w:val="center"/>
          </w:tcPr>
          <w:p>
            <w:pPr>
              <w:jc w:val="center"/>
            </w:pPr>
            <w:r/>
            <w:r>
              <w:rPr>
                <w:rFonts w:ascii="宋体" w:hAnsi="宋体" w:eastAsia="宋体"/>
                <w:b w:val="0"/>
                <w:sz w:val="17"/>
              </w:rPr>
              <w:t>224</w:t>
            </w:r>
          </w:p>
        </w:tc>
        <w:tc>
          <w:tcPr>
            <w:tcW w:type="dxa" w:w="1872"/>
            <w:vAlign w:val="center"/>
          </w:tcPr>
          <w:p>
            <w:pPr>
              <w:jc w:val="center"/>
            </w:pPr>
            <w:r/>
            <w:r>
              <w:rPr>
                <w:rFonts w:ascii="宋体" w:hAnsi="宋体" w:eastAsia="宋体"/>
                <w:b w:val="0"/>
                <w:sz w:val="17"/>
              </w:rPr>
              <w:t>0.5179</w:t>
            </w:r>
          </w:p>
        </w:tc>
        <w:tc>
          <w:tcPr>
            <w:tcW w:type="dxa" w:w="1872"/>
            <w:vAlign w:val="center"/>
          </w:tcPr>
          <w:p>
            <w:pPr>
              <w:jc w:val="center"/>
            </w:pPr>
            <w:r/>
            <w:r>
              <w:rPr>
                <w:rFonts w:ascii="宋体" w:hAnsi="宋体" w:eastAsia="宋体"/>
                <w:b w:val="0"/>
                <w:sz w:val="17"/>
              </w:rPr>
              <w:t>0.4196</w:t>
            </w:r>
          </w:p>
        </w:tc>
      </w:tr>
      <w:tr>
        <w:tc>
          <w:tcPr>
            <w:tcW w:type="dxa" w:w="1872"/>
            <w:vAlign w:val="center"/>
          </w:tcPr>
          <w:p>
            <w:pPr>
              <w:jc w:val="center"/>
            </w:pPr>
            <w:r/>
            <w:r>
              <w:rPr>
                <w:rFonts w:ascii="宋体" w:hAnsi="宋体" w:eastAsia="宋体"/>
                <w:b w:val="0"/>
                <w:sz w:val="17"/>
              </w:rPr>
              <w:t>CounterFact</w:t>
            </w:r>
          </w:p>
        </w:tc>
        <w:tc>
          <w:tcPr>
            <w:tcW w:type="dxa" w:w="1872"/>
            <w:vAlign w:val="center"/>
          </w:tcPr>
          <w:p>
            <w:pPr>
              <w:jc w:val="center"/>
            </w:pPr>
            <w:r/>
            <w:r>
              <w:rPr>
                <w:rFonts w:ascii="宋体" w:hAnsi="宋体" w:eastAsia="宋体"/>
                <w:b w:val="0"/>
                <w:sz w:val="17"/>
              </w:rPr>
              <w:t>ROME+PACE-Edit</w:t>
            </w:r>
          </w:p>
        </w:tc>
        <w:tc>
          <w:tcPr>
            <w:tcW w:type="dxa" w:w="1872"/>
            <w:vAlign w:val="center"/>
          </w:tcPr>
          <w:p>
            <w:pPr>
              <w:jc w:val="center"/>
            </w:pPr>
            <w:r/>
            <w:r>
              <w:rPr>
                <w:rFonts w:ascii="宋体" w:hAnsi="宋体" w:eastAsia="宋体"/>
                <w:b w:val="0"/>
                <w:sz w:val="17"/>
              </w:rPr>
              <w:t>224</w:t>
            </w:r>
          </w:p>
        </w:tc>
        <w:tc>
          <w:tcPr>
            <w:tcW w:type="dxa" w:w="1872"/>
            <w:vAlign w:val="center"/>
          </w:tcPr>
          <w:p>
            <w:pPr>
              <w:jc w:val="center"/>
            </w:pPr>
            <w:r/>
            <w:r>
              <w:rPr>
                <w:rFonts w:ascii="宋体" w:hAnsi="宋体" w:eastAsia="宋体"/>
                <w:b w:val="0"/>
                <w:sz w:val="17"/>
              </w:rPr>
              <w:t>0.5179</w:t>
            </w:r>
          </w:p>
        </w:tc>
        <w:tc>
          <w:tcPr>
            <w:tcW w:type="dxa" w:w="1872"/>
            <w:vAlign w:val="center"/>
          </w:tcPr>
          <w:p>
            <w:pPr>
              <w:jc w:val="center"/>
            </w:pPr>
            <w:r/>
            <w:r>
              <w:rPr>
                <w:rFonts w:ascii="宋体" w:hAnsi="宋体" w:eastAsia="宋体"/>
                <w:b w:val="0"/>
                <w:sz w:val="17"/>
              </w:rPr>
              <w:t>0.4196</w:t>
            </w:r>
          </w:p>
        </w:tc>
      </w:tr>
      <w:tr>
        <w:tc>
          <w:tcPr>
            <w:tcW w:type="dxa" w:w="1872"/>
            <w:vAlign w:val="center"/>
          </w:tcPr>
          <w:p>
            <w:pPr>
              <w:jc w:val="center"/>
            </w:pPr>
            <w:r/>
            <w:r>
              <w:rPr>
                <w:rFonts w:ascii="宋体" w:hAnsi="宋体" w:eastAsia="宋体"/>
                <w:b w:val="0"/>
                <w:sz w:val="17"/>
              </w:rPr>
              <w:t>zsRE</w:t>
            </w:r>
          </w:p>
        </w:tc>
        <w:tc>
          <w:tcPr>
            <w:tcW w:type="dxa" w:w="1872"/>
            <w:vAlign w:val="center"/>
          </w:tcPr>
          <w:p>
            <w:pPr>
              <w:jc w:val="center"/>
            </w:pPr>
            <w:r/>
            <w:r>
              <w:rPr>
                <w:rFonts w:ascii="宋体" w:hAnsi="宋体" w:eastAsia="宋体"/>
                <w:b w:val="0"/>
                <w:sz w:val="17"/>
              </w:rPr>
              <w:t>ROME+CAPE-Edit</w:t>
            </w:r>
          </w:p>
        </w:tc>
        <w:tc>
          <w:tcPr>
            <w:tcW w:type="dxa" w:w="1872"/>
            <w:vAlign w:val="center"/>
          </w:tcPr>
          <w:p>
            <w:pPr>
              <w:jc w:val="center"/>
            </w:pPr>
            <w:r/>
            <w:r>
              <w:rPr>
                <w:rFonts w:ascii="宋体" w:hAnsi="宋体" w:eastAsia="宋体"/>
                <w:b w:val="0"/>
                <w:sz w:val="17"/>
              </w:rPr>
              <w:t>206</w:t>
            </w:r>
          </w:p>
        </w:tc>
        <w:tc>
          <w:tcPr>
            <w:tcW w:type="dxa" w:w="1872"/>
            <w:vAlign w:val="center"/>
          </w:tcPr>
          <w:p>
            <w:pPr>
              <w:jc w:val="center"/>
            </w:pPr>
            <w:r/>
            <w:r>
              <w:rPr>
                <w:rFonts w:ascii="宋体" w:hAnsi="宋体" w:eastAsia="宋体"/>
                <w:b w:val="0"/>
                <w:sz w:val="17"/>
              </w:rPr>
              <w:t>0.3117</w:t>
            </w:r>
          </w:p>
        </w:tc>
        <w:tc>
          <w:tcPr>
            <w:tcW w:type="dxa" w:w="1872"/>
            <w:vAlign w:val="center"/>
          </w:tcPr>
          <w:p>
            <w:pPr>
              <w:jc w:val="center"/>
            </w:pPr>
            <w:r/>
            <w:r>
              <w:rPr>
                <w:rFonts w:ascii="宋体" w:hAnsi="宋体" w:eastAsia="宋体"/>
                <w:b w:val="0"/>
                <w:sz w:val="17"/>
              </w:rPr>
              <w:t>0.2953</w:t>
            </w:r>
          </w:p>
        </w:tc>
      </w:tr>
      <w:tr>
        <w:tc>
          <w:tcPr>
            <w:tcW w:type="dxa" w:w="1872"/>
            <w:vAlign w:val="center"/>
          </w:tcPr>
          <w:p>
            <w:pPr>
              <w:jc w:val="center"/>
            </w:pPr>
            <w:r/>
            <w:r>
              <w:rPr>
                <w:rFonts w:ascii="宋体" w:hAnsi="宋体" w:eastAsia="宋体"/>
                <w:b w:val="0"/>
                <w:sz w:val="17"/>
              </w:rPr>
              <w:t>zsRE</w:t>
            </w:r>
          </w:p>
        </w:tc>
        <w:tc>
          <w:tcPr>
            <w:tcW w:type="dxa" w:w="1872"/>
            <w:vAlign w:val="center"/>
          </w:tcPr>
          <w:p>
            <w:pPr>
              <w:jc w:val="center"/>
            </w:pPr>
            <w:r/>
            <w:r>
              <w:rPr>
                <w:rFonts w:ascii="宋体" w:hAnsi="宋体" w:eastAsia="宋体"/>
                <w:b w:val="0"/>
                <w:sz w:val="17"/>
              </w:rPr>
              <w:t>ROME+PACE-Edit</w:t>
            </w:r>
          </w:p>
        </w:tc>
        <w:tc>
          <w:tcPr>
            <w:tcW w:type="dxa" w:w="1872"/>
            <w:vAlign w:val="center"/>
          </w:tcPr>
          <w:p>
            <w:pPr>
              <w:jc w:val="center"/>
            </w:pPr>
            <w:r/>
            <w:r>
              <w:rPr>
                <w:rFonts w:ascii="宋体" w:hAnsi="宋体" w:eastAsia="宋体"/>
                <w:b w:val="0"/>
                <w:sz w:val="17"/>
              </w:rPr>
              <w:t>206</w:t>
            </w:r>
          </w:p>
        </w:tc>
        <w:tc>
          <w:tcPr>
            <w:tcW w:type="dxa" w:w="1872"/>
            <w:vAlign w:val="center"/>
          </w:tcPr>
          <w:p>
            <w:pPr>
              <w:jc w:val="center"/>
            </w:pPr>
            <w:r/>
            <w:r>
              <w:rPr>
                <w:rFonts w:ascii="宋体" w:hAnsi="宋体" w:eastAsia="宋体"/>
                <w:b w:val="0"/>
                <w:sz w:val="17"/>
              </w:rPr>
              <w:t>0.3117</w:t>
            </w:r>
          </w:p>
        </w:tc>
        <w:tc>
          <w:tcPr>
            <w:tcW w:type="dxa" w:w="1872"/>
            <w:vAlign w:val="center"/>
          </w:tcPr>
          <w:p>
            <w:pPr>
              <w:jc w:val="center"/>
            </w:pPr>
            <w:r/>
            <w:r>
              <w:rPr>
                <w:rFonts w:ascii="宋体" w:hAnsi="宋体" w:eastAsia="宋体"/>
                <w:b w:val="0"/>
                <w:sz w:val="17"/>
              </w:rPr>
              <w:t>0.2953</w:t>
            </w:r>
          </w:p>
        </w:tc>
      </w:tr>
    </w:tbl>
    <w:p/>
    <w:p>
      <w:pPr>
        <w:spacing w:line="276" w:lineRule="auto"/>
        <w:ind w:firstLine="420"/>
      </w:pPr>
      <w:r>
        <w:rPr>
          <w:rFonts w:ascii="宋体" w:hAnsi="宋体" w:eastAsia="宋体"/>
          <w:sz w:val="21"/>
        </w:rPr>
        <w:t>图5给出 Qwen public transfer 的可视化结果。该图应被解释为公开事实编辑压力测试，而不是隐私清洗成功证明。公开数据集结果与 synthetic privacy 主实验回答的是不同问题，不能混成同一排行榜。</w:t>
      </w:r>
    </w:p>
    <w:p>
      <w:pPr>
        <w:spacing w:line="276" w:lineRule="auto"/>
        <w:ind w:firstLine="420"/>
      </w:pPr>
      <w:r>
        <w:rPr>
          <w:rFonts w:ascii="宋体" w:hAnsi="宋体" w:eastAsia="宋体"/>
          <w:sz w:val="21"/>
        </w:rPr>
        <w:t>图5 Qwen public transfer 对比图</w:t>
      </w:r>
    </w:p>
    <w:p>
      <w:pPr>
        <w:jc w:val="center"/>
      </w:pPr>
      <w:r>
        <w:drawing>
          <wp:inline xmlns:a="http://schemas.openxmlformats.org/drawingml/2006/main" xmlns:pic="http://schemas.openxmlformats.org/drawingml/2006/picture">
            <wp:extent cx="5220000" cy="3395623"/>
            <wp:docPr id="5" name="Picture 5"/>
            <wp:cNvGraphicFramePr>
              <a:graphicFrameLocks noChangeAspect="1"/>
            </wp:cNvGraphicFramePr>
            <a:graphic>
              <a:graphicData uri="http://schemas.openxmlformats.org/drawingml/2006/picture">
                <pic:pic>
                  <pic:nvPicPr>
                    <pic:cNvPr id="0" name="fig5_public_transfer_qwen.png"/>
                    <pic:cNvPicPr/>
                  </pic:nvPicPr>
                  <pic:blipFill>
                    <a:blip r:embed="rId13"/>
                    <a:stretch>
                      <a:fillRect/>
                    </a:stretch>
                  </pic:blipFill>
                  <pic:spPr>
                    <a:xfrm>
                      <a:off x="0" y="0"/>
                      <a:ext cx="5220000" cy="3395623"/>
                    </a:xfrm>
                    <a:prstGeom prst="rect"/>
                  </pic:spPr>
                </pic:pic>
              </a:graphicData>
            </a:graphic>
          </wp:inline>
        </w:drawing>
      </w:r>
    </w:p>
    <w:p>
      <w:pPr>
        <w:pStyle w:val="Heading2"/>
      </w:pPr>
      <w:r>
        <w:t>4.8 GPT-J 第二模型边界验证</w:t>
      </w:r>
    </w:p>
    <w:p>
      <w:pPr>
        <w:spacing w:line="276" w:lineRule="auto"/>
        <w:ind w:firstLine="420"/>
      </w:pPr>
      <w:r>
        <w:rPr>
          <w:rFonts w:ascii="宋体" w:hAnsi="宋体" w:eastAsia="宋体"/>
          <w:sz w:val="21"/>
        </w:rPr>
        <w:t>GPT-J-6B 上的第二模型验证表明，ROME 与 FT baseline 在 CounterFact 和 zsRE 上均能正常运行，但未重新调参的 ROME-based PACE/CAPE wrapper 几乎完全失效。CounterFact 上 wrapper 的 rewrite 成功数为 0/220，zsRE 上为 1/216。该现象已经通过 per-case 文件复核，并非路径混用或汇总脚本误读，说明闭环请求扩展策略在跨模型迁移时对底层编辑器超参数和请求规模较为敏感。</w:t>
      </w:r>
    </w:p>
    <w:p>
      <w:pPr>
        <w:spacing w:line="276" w:lineRule="auto"/>
        <w:ind w:firstLine="420"/>
      </w:pPr>
      <w:r>
        <w:rPr>
          <w:rFonts w:ascii="宋体" w:hAnsi="宋体" w:eastAsia="宋体"/>
          <w:sz w:val="21"/>
        </w:rPr>
        <w:t>表6 GPT-J second-model boundary check</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E8EEF5"/>
          </w:tcPr>
          <w:p>
            <w:pPr>
              <w:jc w:val="center"/>
            </w:pPr>
            <w:r/>
            <w:r>
              <w:rPr>
                <w:rFonts w:ascii="宋体" w:hAnsi="宋体" w:eastAsia="宋体"/>
                <w:b/>
                <w:sz w:val="17"/>
              </w:rPr>
              <w:t>数据集</w:t>
            </w:r>
          </w:p>
        </w:tc>
        <w:tc>
          <w:tcPr>
            <w:tcW w:type="dxa" w:w="1560"/>
            <w:vAlign w:val="center"/>
            <w:shd w:fill="E8EEF5"/>
          </w:tcPr>
          <w:p>
            <w:pPr>
              <w:jc w:val="center"/>
            </w:pPr>
            <w:r/>
            <w:r>
              <w:rPr>
                <w:rFonts w:ascii="宋体" w:hAnsi="宋体" w:eastAsia="宋体"/>
                <w:b/>
                <w:sz w:val="17"/>
              </w:rPr>
              <w:t>方法</w:t>
            </w:r>
          </w:p>
        </w:tc>
        <w:tc>
          <w:tcPr>
            <w:tcW w:type="dxa" w:w="1560"/>
            <w:vAlign w:val="center"/>
            <w:shd w:fill="E8EEF5"/>
          </w:tcPr>
          <w:p>
            <w:pPr>
              <w:jc w:val="center"/>
            </w:pPr>
            <w:r/>
            <w:r>
              <w:rPr>
                <w:rFonts w:ascii="宋体" w:hAnsi="宋体" w:eastAsia="宋体"/>
                <w:b/>
                <w:sz w:val="17"/>
              </w:rPr>
              <w:t>可靠性↑</w:t>
            </w:r>
          </w:p>
        </w:tc>
        <w:tc>
          <w:tcPr>
            <w:tcW w:type="dxa" w:w="1560"/>
            <w:vAlign w:val="center"/>
            <w:shd w:fill="E8EEF5"/>
          </w:tcPr>
          <w:p>
            <w:pPr>
              <w:jc w:val="center"/>
            </w:pPr>
            <w:r/>
            <w:r>
              <w:rPr>
                <w:rFonts w:ascii="宋体" w:hAnsi="宋体" w:eastAsia="宋体"/>
                <w:b/>
                <w:sz w:val="17"/>
              </w:rPr>
              <w:t>泛化性↑</w:t>
            </w:r>
          </w:p>
        </w:tc>
        <w:tc>
          <w:tcPr>
            <w:tcW w:type="dxa" w:w="1560"/>
            <w:vAlign w:val="center"/>
            <w:shd w:fill="E8EEF5"/>
          </w:tcPr>
          <w:p>
            <w:pPr>
              <w:jc w:val="center"/>
            </w:pPr>
            <w:r/>
            <w:r>
              <w:rPr>
                <w:rFonts w:ascii="宋体" w:hAnsi="宋体" w:eastAsia="宋体"/>
                <w:b/>
                <w:sz w:val="17"/>
              </w:rPr>
              <w:t>逐样本rewrite</w:t>
            </w:r>
          </w:p>
        </w:tc>
        <w:tc>
          <w:tcPr>
            <w:tcW w:type="dxa" w:w="1560"/>
            <w:vAlign w:val="center"/>
            <w:shd w:fill="E8EEF5"/>
          </w:tcPr>
          <w:p>
            <w:pPr>
              <w:jc w:val="center"/>
            </w:pPr>
            <w:r/>
            <w:r>
              <w:rPr>
                <w:rFonts w:ascii="宋体" w:hAnsi="宋体" w:eastAsia="宋体"/>
                <w:b/>
                <w:sz w:val="17"/>
              </w:rPr>
              <w:t>解释</w:t>
            </w:r>
          </w:p>
        </w:tc>
      </w:tr>
      <w:tr>
        <w:tc>
          <w:tcPr>
            <w:tcW w:type="dxa" w:w="1560"/>
            <w:vAlign w:val="center"/>
          </w:tcPr>
          <w:p>
            <w:pPr>
              <w:jc w:val="center"/>
            </w:pPr>
            <w:r/>
            <w:r>
              <w:rPr>
                <w:rFonts w:ascii="宋体" w:hAnsi="宋体" w:eastAsia="宋体"/>
                <w:b w:val="0"/>
                <w:sz w:val="17"/>
              </w:rPr>
              <w:t>CounterFact</w:t>
            </w:r>
          </w:p>
        </w:tc>
        <w:tc>
          <w:tcPr>
            <w:tcW w:type="dxa" w:w="1560"/>
            <w:vAlign w:val="center"/>
          </w:tcPr>
          <w:p>
            <w:pPr>
              <w:jc w:val="center"/>
            </w:pPr>
            <w:r/>
            <w:r>
              <w:rPr>
                <w:rFonts w:ascii="宋体" w:hAnsi="宋体" w:eastAsia="宋体"/>
                <w:b w:val="0"/>
                <w:sz w:val="17"/>
              </w:rPr>
              <w:t>ROME</w:t>
            </w:r>
          </w:p>
        </w:tc>
        <w:tc>
          <w:tcPr>
            <w:tcW w:type="dxa" w:w="1560"/>
            <w:vAlign w:val="center"/>
          </w:tcPr>
          <w:p>
            <w:pPr>
              <w:jc w:val="center"/>
            </w:pPr>
            <w:r/>
            <w:r>
              <w:rPr>
                <w:rFonts w:ascii="宋体" w:hAnsi="宋体" w:eastAsia="宋体"/>
                <w:b w:val="0"/>
                <w:sz w:val="17"/>
              </w:rPr>
              <w:t>0.9950</w:t>
            </w:r>
          </w:p>
        </w:tc>
        <w:tc>
          <w:tcPr>
            <w:tcW w:type="dxa" w:w="1560"/>
            <w:vAlign w:val="center"/>
          </w:tcPr>
          <w:p>
            <w:pPr>
              <w:jc w:val="center"/>
            </w:pPr>
            <w:r/>
            <w:r>
              <w:rPr>
                <w:rFonts w:ascii="宋体" w:hAnsi="宋体" w:eastAsia="宋体"/>
                <w:b w:val="0"/>
                <w:sz w:val="17"/>
              </w:rPr>
              <w:t>0.8200</w:t>
            </w:r>
          </w:p>
        </w:tc>
        <w:tc>
          <w:tcPr>
            <w:tcW w:type="dxa" w:w="1560"/>
            <w:vAlign w:val="center"/>
          </w:tcPr>
          <w:p>
            <w:pPr>
              <w:jc w:val="center"/>
            </w:pPr>
            <w:r/>
            <w:r>
              <w:rPr>
                <w:rFonts w:ascii="宋体" w:hAnsi="宋体" w:eastAsia="宋体"/>
                <w:b w:val="0"/>
                <w:sz w:val="17"/>
              </w:rPr>
              <w:t>199/200</w:t>
            </w:r>
          </w:p>
        </w:tc>
        <w:tc>
          <w:tcPr>
            <w:tcW w:type="dxa" w:w="1560"/>
            <w:vAlign w:val="center"/>
          </w:tcPr>
          <w:p>
            <w:pPr>
              <w:jc w:val="center"/>
            </w:pPr>
            <w:r/>
            <w:r>
              <w:rPr>
                <w:rFonts w:ascii="宋体" w:hAnsi="宋体" w:eastAsia="宋体"/>
                <w:b w:val="0"/>
                <w:sz w:val="17"/>
              </w:rPr>
              <w:t>基础编辑正常</w:t>
            </w:r>
          </w:p>
        </w:tc>
      </w:tr>
      <w:tr>
        <w:tc>
          <w:tcPr>
            <w:tcW w:type="dxa" w:w="1560"/>
            <w:vAlign w:val="center"/>
          </w:tcPr>
          <w:p>
            <w:pPr>
              <w:jc w:val="center"/>
            </w:pPr>
            <w:r/>
            <w:r>
              <w:rPr>
                <w:rFonts w:ascii="宋体" w:hAnsi="宋体" w:eastAsia="宋体"/>
                <w:b w:val="0"/>
                <w:sz w:val="17"/>
              </w:rPr>
              <w:t>CounterFact</w:t>
            </w:r>
          </w:p>
        </w:tc>
        <w:tc>
          <w:tcPr>
            <w:tcW w:type="dxa" w:w="1560"/>
            <w:vAlign w:val="center"/>
          </w:tcPr>
          <w:p>
            <w:pPr>
              <w:jc w:val="center"/>
            </w:pPr>
            <w:r/>
            <w:r>
              <w:rPr>
                <w:rFonts w:ascii="宋体" w:hAnsi="宋体" w:eastAsia="宋体"/>
                <w:b w:val="0"/>
                <w:sz w:val="17"/>
              </w:rPr>
              <w:t>FT</w:t>
            </w:r>
          </w:p>
        </w:tc>
        <w:tc>
          <w:tcPr>
            <w:tcW w:type="dxa" w:w="1560"/>
            <w:vAlign w:val="center"/>
          </w:tcPr>
          <w:p>
            <w:pPr>
              <w:jc w:val="center"/>
            </w:pPr>
            <w:r/>
            <w:r>
              <w:rPr>
                <w:rFonts w:ascii="宋体" w:hAnsi="宋体" w:eastAsia="宋体"/>
                <w:b w:val="0"/>
                <w:sz w:val="17"/>
              </w:rPr>
              <w:t>1.0000</w:t>
            </w:r>
          </w:p>
        </w:tc>
        <w:tc>
          <w:tcPr>
            <w:tcW w:type="dxa" w:w="1560"/>
            <w:vAlign w:val="center"/>
          </w:tcPr>
          <w:p>
            <w:pPr>
              <w:jc w:val="center"/>
            </w:pPr>
            <w:r/>
            <w:r>
              <w:rPr>
                <w:rFonts w:ascii="宋体" w:hAnsi="宋体" w:eastAsia="宋体"/>
                <w:b w:val="0"/>
                <w:sz w:val="17"/>
              </w:rPr>
              <w:t>0.7250</w:t>
            </w:r>
          </w:p>
        </w:tc>
        <w:tc>
          <w:tcPr>
            <w:tcW w:type="dxa" w:w="1560"/>
            <w:vAlign w:val="center"/>
          </w:tcPr>
          <w:p>
            <w:pPr>
              <w:jc w:val="center"/>
            </w:pPr>
            <w:r/>
            <w:r>
              <w:rPr>
                <w:rFonts w:ascii="宋体" w:hAnsi="宋体" w:eastAsia="宋体"/>
                <w:b w:val="0"/>
                <w:sz w:val="17"/>
              </w:rPr>
              <w:t>未统计</w:t>
            </w:r>
          </w:p>
        </w:tc>
        <w:tc>
          <w:tcPr>
            <w:tcW w:type="dxa" w:w="1560"/>
            <w:vAlign w:val="center"/>
          </w:tcPr>
          <w:p>
            <w:pPr>
              <w:jc w:val="center"/>
            </w:pPr>
            <w:r/>
            <w:r>
              <w:rPr>
                <w:rFonts w:ascii="宋体" w:hAnsi="宋体" w:eastAsia="宋体"/>
                <w:b w:val="0"/>
                <w:sz w:val="17"/>
              </w:rPr>
              <w:t>基础编辑正常</w:t>
            </w:r>
          </w:p>
        </w:tc>
      </w:tr>
      <w:tr>
        <w:tc>
          <w:tcPr>
            <w:tcW w:type="dxa" w:w="1560"/>
            <w:vAlign w:val="center"/>
          </w:tcPr>
          <w:p>
            <w:pPr>
              <w:jc w:val="center"/>
            </w:pPr>
            <w:r/>
            <w:r>
              <w:rPr>
                <w:rFonts w:ascii="宋体" w:hAnsi="宋体" w:eastAsia="宋体"/>
                <w:b w:val="0"/>
                <w:sz w:val="17"/>
              </w:rPr>
              <w:t>CounterFact</w:t>
            </w:r>
          </w:p>
        </w:tc>
        <w:tc>
          <w:tcPr>
            <w:tcW w:type="dxa" w:w="1560"/>
            <w:vAlign w:val="center"/>
          </w:tcPr>
          <w:p>
            <w:pPr>
              <w:jc w:val="center"/>
            </w:pPr>
            <w:r/>
            <w:r>
              <w:rPr>
                <w:rFonts w:ascii="宋体" w:hAnsi="宋体" w:eastAsia="宋体"/>
                <w:b w:val="0"/>
                <w:sz w:val="17"/>
              </w:rPr>
              <w:t>ROME+PACE-Edit</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0/220</w:t>
            </w:r>
          </w:p>
        </w:tc>
        <w:tc>
          <w:tcPr>
            <w:tcW w:type="dxa" w:w="1560"/>
            <w:vAlign w:val="center"/>
          </w:tcPr>
          <w:p>
            <w:pPr>
              <w:jc w:val="center"/>
            </w:pPr>
            <w:r/>
            <w:r>
              <w:rPr>
                <w:rFonts w:ascii="宋体" w:hAnsi="宋体" w:eastAsia="宋体"/>
                <w:b w:val="0"/>
                <w:sz w:val="17"/>
              </w:rPr>
              <w:t>wrapper塌缩</w:t>
            </w:r>
          </w:p>
        </w:tc>
      </w:tr>
      <w:tr>
        <w:tc>
          <w:tcPr>
            <w:tcW w:type="dxa" w:w="1560"/>
            <w:vAlign w:val="center"/>
          </w:tcPr>
          <w:p>
            <w:pPr>
              <w:jc w:val="center"/>
            </w:pPr>
            <w:r/>
            <w:r>
              <w:rPr>
                <w:rFonts w:ascii="宋体" w:hAnsi="宋体" w:eastAsia="宋体"/>
                <w:b w:val="0"/>
                <w:sz w:val="17"/>
              </w:rPr>
              <w:t>CounterFact</w:t>
            </w:r>
          </w:p>
        </w:tc>
        <w:tc>
          <w:tcPr>
            <w:tcW w:type="dxa" w:w="1560"/>
            <w:vAlign w:val="center"/>
          </w:tcPr>
          <w:p>
            <w:pPr>
              <w:jc w:val="center"/>
            </w:pPr>
            <w:r/>
            <w:r>
              <w:rPr>
                <w:rFonts w:ascii="宋体" w:hAnsi="宋体" w:eastAsia="宋体"/>
                <w:b w:val="0"/>
                <w:sz w:val="17"/>
              </w:rPr>
              <w:t>ROME+CAPE-Edit</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0/220</w:t>
            </w:r>
          </w:p>
        </w:tc>
        <w:tc>
          <w:tcPr>
            <w:tcW w:type="dxa" w:w="1560"/>
            <w:vAlign w:val="center"/>
          </w:tcPr>
          <w:p>
            <w:pPr>
              <w:jc w:val="center"/>
            </w:pPr>
            <w:r/>
            <w:r>
              <w:rPr>
                <w:rFonts w:ascii="宋体" w:hAnsi="宋体" w:eastAsia="宋体"/>
                <w:b w:val="0"/>
                <w:sz w:val="17"/>
              </w:rPr>
              <w:t>wrapper塌缩</w:t>
            </w:r>
          </w:p>
        </w:tc>
      </w:tr>
      <w:tr>
        <w:tc>
          <w:tcPr>
            <w:tcW w:type="dxa" w:w="1560"/>
            <w:vAlign w:val="center"/>
          </w:tcPr>
          <w:p>
            <w:pPr>
              <w:jc w:val="center"/>
            </w:pPr>
            <w:r/>
            <w:r>
              <w:rPr>
                <w:rFonts w:ascii="宋体" w:hAnsi="宋体" w:eastAsia="宋体"/>
                <w:b w:val="0"/>
                <w:sz w:val="17"/>
              </w:rPr>
              <w:t>zsRE</w:t>
            </w:r>
          </w:p>
        </w:tc>
        <w:tc>
          <w:tcPr>
            <w:tcW w:type="dxa" w:w="1560"/>
            <w:vAlign w:val="center"/>
          </w:tcPr>
          <w:p>
            <w:pPr>
              <w:jc w:val="center"/>
            </w:pPr>
            <w:r/>
            <w:r>
              <w:rPr>
                <w:rFonts w:ascii="宋体" w:hAnsi="宋体" w:eastAsia="宋体"/>
                <w:b w:val="0"/>
                <w:sz w:val="17"/>
              </w:rPr>
              <w:t>ROME</w:t>
            </w:r>
          </w:p>
        </w:tc>
        <w:tc>
          <w:tcPr>
            <w:tcW w:type="dxa" w:w="1560"/>
            <w:vAlign w:val="center"/>
          </w:tcPr>
          <w:p>
            <w:pPr>
              <w:jc w:val="center"/>
            </w:pPr>
            <w:r/>
            <w:r>
              <w:rPr>
                <w:rFonts w:ascii="宋体" w:hAnsi="宋体" w:eastAsia="宋体"/>
                <w:b w:val="0"/>
                <w:sz w:val="17"/>
              </w:rPr>
              <w:t>0.9975</w:t>
            </w:r>
          </w:p>
        </w:tc>
        <w:tc>
          <w:tcPr>
            <w:tcW w:type="dxa" w:w="1560"/>
            <w:vAlign w:val="center"/>
          </w:tcPr>
          <w:p>
            <w:pPr>
              <w:jc w:val="center"/>
            </w:pPr>
            <w:r/>
            <w:r>
              <w:rPr>
                <w:rFonts w:ascii="宋体" w:hAnsi="宋体" w:eastAsia="宋体"/>
                <w:b w:val="0"/>
                <w:sz w:val="17"/>
              </w:rPr>
              <w:t>0.9451</w:t>
            </w:r>
          </w:p>
        </w:tc>
        <w:tc>
          <w:tcPr>
            <w:tcW w:type="dxa" w:w="1560"/>
            <w:vAlign w:val="center"/>
          </w:tcPr>
          <w:p>
            <w:pPr>
              <w:jc w:val="center"/>
            </w:pPr>
            <w:r/>
            <w:r>
              <w:rPr>
                <w:rFonts w:ascii="宋体" w:hAnsi="宋体" w:eastAsia="宋体"/>
                <w:b w:val="0"/>
                <w:sz w:val="17"/>
              </w:rPr>
              <w:t>200/200</w:t>
            </w:r>
          </w:p>
        </w:tc>
        <w:tc>
          <w:tcPr>
            <w:tcW w:type="dxa" w:w="1560"/>
            <w:vAlign w:val="center"/>
          </w:tcPr>
          <w:p>
            <w:pPr>
              <w:jc w:val="center"/>
            </w:pPr>
            <w:r/>
            <w:r>
              <w:rPr>
                <w:rFonts w:ascii="宋体" w:hAnsi="宋体" w:eastAsia="宋体"/>
                <w:b w:val="0"/>
                <w:sz w:val="17"/>
              </w:rPr>
              <w:t>基础编辑正常</w:t>
            </w:r>
          </w:p>
        </w:tc>
      </w:tr>
      <w:tr>
        <w:tc>
          <w:tcPr>
            <w:tcW w:type="dxa" w:w="1560"/>
            <w:vAlign w:val="center"/>
          </w:tcPr>
          <w:p>
            <w:pPr>
              <w:jc w:val="center"/>
            </w:pPr>
            <w:r/>
            <w:r>
              <w:rPr>
                <w:rFonts w:ascii="宋体" w:hAnsi="宋体" w:eastAsia="宋体"/>
                <w:b w:val="0"/>
                <w:sz w:val="17"/>
              </w:rPr>
              <w:t>zsRE</w:t>
            </w:r>
          </w:p>
        </w:tc>
        <w:tc>
          <w:tcPr>
            <w:tcW w:type="dxa" w:w="1560"/>
            <w:vAlign w:val="center"/>
          </w:tcPr>
          <w:p>
            <w:pPr>
              <w:jc w:val="center"/>
            </w:pPr>
            <w:r/>
            <w:r>
              <w:rPr>
                <w:rFonts w:ascii="宋体" w:hAnsi="宋体" w:eastAsia="宋体"/>
                <w:b w:val="0"/>
                <w:sz w:val="17"/>
              </w:rPr>
              <w:t>FT</w:t>
            </w:r>
          </w:p>
        </w:tc>
        <w:tc>
          <w:tcPr>
            <w:tcW w:type="dxa" w:w="1560"/>
            <w:vAlign w:val="center"/>
          </w:tcPr>
          <w:p>
            <w:pPr>
              <w:jc w:val="center"/>
            </w:pPr>
            <w:r/>
            <w:r>
              <w:rPr>
                <w:rFonts w:ascii="宋体" w:hAnsi="宋体" w:eastAsia="宋体"/>
                <w:b w:val="0"/>
                <w:sz w:val="17"/>
              </w:rPr>
              <w:t>0.7930</w:t>
            </w:r>
          </w:p>
        </w:tc>
        <w:tc>
          <w:tcPr>
            <w:tcW w:type="dxa" w:w="1560"/>
            <w:vAlign w:val="center"/>
          </w:tcPr>
          <w:p>
            <w:pPr>
              <w:jc w:val="center"/>
            </w:pPr>
            <w:r/>
            <w:r>
              <w:rPr>
                <w:rFonts w:ascii="宋体" w:hAnsi="宋体" w:eastAsia="宋体"/>
                <w:b w:val="0"/>
                <w:sz w:val="17"/>
              </w:rPr>
              <w:t>0.8084</w:t>
            </w:r>
          </w:p>
        </w:tc>
        <w:tc>
          <w:tcPr>
            <w:tcW w:type="dxa" w:w="1560"/>
            <w:vAlign w:val="center"/>
          </w:tcPr>
          <w:p>
            <w:pPr>
              <w:jc w:val="center"/>
            </w:pPr>
            <w:r/>
            <w:r>
              <w:rPr>
                <w:rFonts w:ascii="宋体" w:hAnsi="宋体" w:eastAsia="宋体"/>
                <w:b w:val="0"/>
                <w:sz w:val="17"/>
              </w:rPr>
              <w:t>未统计</w:t>
            </w:r>
          </w:p>
        </w:tc>
        <w:tc>
          <w:tcPr>
            <w:tcW w:type="dxa" w:w="1560"/>
            <w:vAlign w:val="center"/>
          </w:tcPr>
          <w:p>
            <w:pPr>
              <w:jc w:val="center"/>
            </w:pPr>
            <w:r/>
            <w:r>
              <w:rPr>
                <w:rFonts w:ascii="宋体" w:hAnsi="宋体" w:eastAsia="宋体"/>
                <w:b w:val="0"/>
                <w:sz w:val="17"/>
              </w:rPr>
              <w:t>基础编辑正常</w:t>
            </w:r>
          </w:p>
        </w:tc>
      </w:tr>
      <w:tr>
        <w:tc>
          <w:tcPr>
            <w:tcW w:type="dxa" w:w="1560"/>
            <w:vAlign w:val="center"/>
          </w:tcPr>
          <w:p>
            <w:pPr>
              <w:jc w:val="center"/>
            </w:pPr>
            <w:r/>
            <w:r>
              <w:rPr>
                <w:rFonts w:ascii="宋体" w:hAnsi="宋体" w:eastAsia="宋体"/>
                <w:b w:val="0"/>
                <w:sz w:val="17"/>
              </w:rPr>
              <w:t>zsRE</w:t>
            </w:r>
          </w:p>
        </w:tc>
        <w:tc>
          <w:tcPr>
            <w:tcW w:type="dxa" w:w="1560"/>
            <w:vAlign w:val="center"/>
          </w:tcPr>
          <w:p>
            <w:pPr>
              <w:jc w:val="center"/>
            </w:pPr>
            <w:r/>
            <w:r>
              <w:rPr>
                <w:rFonts w:ascii="宋体" w:hAnsi="宋体" w:eastAsia="宋体"/>
                <w:b w:val="0"/>
                <w:sz w:val="17"/>
              </w:rPr>
              <w:t>ROME+PACE-Edit</w:t>
            </w:r>
          </w:p>
        </w:tc>
        <w:tc>
          <w:tcPr>
            <w:tcW w:type="dxa" w:w="1560"/>
            <w:vAlign w:val="center"/>
          </w:tcPr>
          <w:p>
            <w:pPr>
              <w:jc w:val="center"/>
            </w:pPr>
            <w:r/>
            <w:r>
              <w:rPr>
                <w:rFonts w:ascii="宋体" w:hAnsi="宋体" w:eastAsia="宋体"/>
                <w:b w:val="0"/>
                <w:sz w:val="17"/>
              </w:rPr>
              <w:t>0.0015</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1/216</w:t>
            </w:r>
          </w:p>
        </w:tc>
        <w:tc>
          <w:tcPr>
            <w:tcW w:type="dxa" w:w="1560"/>
            <w:vAlign w:val="center"/>
          </w:tcPr>
          <w:p>
            <w:pPr>
              <w:jc w:val="center"/>
            </w:pPr>
            <w:r/>
            <w:r>
              <w:rPr>
                <w:rFonts w:ascii="宋体" w:hAnsi="宋体" w:eastAsia="宋体"/>
                <w:b w:val="0"/>
                <w:sz w:val="17"/>
              </w:rPr>
              <w:t>wrapper塌缩</w:t>
            </w:r>
          </w:p>
        </w:tc>
      </w:tr>
      <w:tr>
        <w:tc>
          <w:tcPr>
            <w:tcW w:type="dxa" w:w="1560"/>
            <w:vAlign w:val="center"/>
          </w:tcPr>
          <w:p>
            <w:pPr>
              <w:jc w:val="center"/>
            </w:pPr>
            <w:r/>
            <w:r>
              <w:rPr>
                <w:rFonts w:ascii="宋体" w:hAnsi="宋体" w:eastAsia="宋体"/>
                <w:b w:val="0"/>
                <w:sz w:val="17"/>
              </w:rPr>
              <w:t>zsRE</w:t>
            </w:r>
          </w:p>
        </w:tc>
        <w:tc>
          <w:tcPr>
            <w:tcW w:type="dxa" w:w="1560"/>
            <w:vAlign w:val="center"/>
          </w:tcPr>
          <w:p>
            <w:pPr>
              <w:jc w:val="center"/>
            </w:pPr>
            <w:r/>
            <w:r>
              <w:rPr>
                <w:rFonts w:ascii="宋体" w:hAnsi="宋体" w:eastAsia="宋体"/>
                <w:b w:val="0"/>
                <w:sz w:val="17"/>
              </w:rPr>
              <w:t>ROME+CAPE-Edit</w:t>
            </w:r>
          </w:p>
        </w:tc>
        <w:tc>
          <w:tcPr>
            <w:tcW w:type="dxa" w:w="1560"/>
            <w:vAlign w:val="center"/>
          </w:tcPr>
          <w:p>
            <w:pPr>
              <w:jc w:val="center"/>
            </w:pPr>
            <w:r/>
            <w:r>
              <w:rPr>
                <w:rFonts w:ascii="宋体" w:hAnsi="宋体" w:eastAsia="宋体"/>
                <w:b w:val="0"/>
                <w:sz w:val="17"/>
              </w:rPr>
              <w:t>0.0015</w:t>
            </w:r>
          </w:p>
        </w:tc>
        <w:tc>
          <w:tcPr>
            <w:tcW w:type="dxa" w:w="1560"/>
            <w:vAlign w:val="center"/>
          </w:tcPr>
          <w:p>
            <w:pPr>
              <w:jc w:val="center"/>
            </w:pPr>
            <w:r/>
            <w:r>
              <w:rPr>
                <w:rFonts w:ascii="宋体" w:hAnsi="宋体" w:eastAsia="宋体"/>
                <w:b w:val="0"/>
                <w:sz w:val="17"/>
              </w:rPr>
              <w:t>0.0000</w:t>
            </w:r>
          </w:p>
        </w:tc>
        <w:tc>
          <w:tcPr>
            <w:tcW w:type="dxa" w:w="1560"/>
            <w:vAlign w:val="center"/>
          </w:tcPr>
          <w:p>
            <w:pPr>
              <w:jc w:val="center"/>
            </w:pPr>
            <w:r/>
            <w:r>
              <w:rPr>
                <w:rFonts w:ascii="宋体" w:hAnsi="宋体" w:eastAsia="宋体"/>
                <w:b w:val="0"/>
                <w:sz w:val="17"/>
              </w:rPr>
              <w:t>1/216</w:t>
            </w:r>
          </w:p>
        </w:tc>
        <w:tc>
          <w:tcPr>
            <w:tcW w:type="dxa" w:w="1560"/>
            <w:vAlign w:val="center"/>
          </w:tcPr>
          <w:p>
            <w:pPr>
              <w:jc w:val="center"/>
            </w:pPr>
            <w:r/>
            <w:r>
              <w:rPr>
                <w:rFonts w:ascii="宋体" w:hAnsi="宋体" w:eastAsia="宋体"/>
                <w:b w:val="0"/>
                <w:sz w:val="17"/>
              </w:rPr>
              <w:t>wrapper塌缩</w:t>
            </w:r>
          </w:p>
        </w:tc>
      </w:tr>
    </w:tbl>
    <w:p/>
    <w:p>
      <w:pPr>
        <w:spacing w:line="276" w:lineRule="auto"/>
        <w:ind w:firstLine="420"/>
      </w:pPr>
      <w:r>
        <w:rPr>
          <w:rFonts w:ascii="宋体" w:hAnsi="宋体" w:eastAsia="宋体"/>
          <w:sz w:val="21"/>
        </w:rPr>
        <w:t>图6直观展示了 GPT-J 的边界现象：ROME/FT baseline 保持较高可靠性，而未调参 wrapper 接近 0。这一结果不能写成跨模型成功，但对论文有价值，因为它明确了方法边界，并提示后续需要 model-specific calibration、locality-aware constraint 或 retain-aware objective。</w:t>
      </w:r>
    </w:p>
    <w:p>
      <w:pPr>
        <w:spacing w:line="276" w:lineRule="auto"/>
        <w:ind w:firstLine="420"/>
      </w:pPr>
      <w:r>
        <w:rPr>
          <w:rFonts w:ascii="宋体" w:hAnsi="宋体" w:eastAsia="宋体"/>
          <w:sz w:val="21"/>
        </w:rPr>
        <w:t>图6 GPT-J wrapper boundary check 图</w:t>
      </w:r>
    </w:p>
    <w:p>
      <w:pPr>
        <w:jc w:val="center"/>
      </w:pPr>
      <w:r>
        <w:drawing>
          <wp:inline xmlns:a="http://schemas.openxmlformats.org/drawingml/2006/main" xmlns:pic="http://schemas.openxmlformats.org/drawingml/2006/picture">
            <wp:extent cx="5220000" cy="3537049"/>
            <wp:docPr id="6" name="Picture 6"/>
            <wp:cNvGraphicFramePr>
              <a:graphicFrameLocks noChangeAspect="1"/>
            </wp:cNvGraphicFramePr>
            <a:graphic>
              <a:graphicData uri="http://schemas.openxmlformats.org/drawingml/2006/picture">
                <pic:pic>
                  <pic:nvPicPr>
                    <pic:cNvPr id="0" name="fig6_gptj_wrapper_boundary_check.png"/>
                    <pic:cNvPicPr/>
                  </pic:nvPicPr>
                  <pic:blipFill>
                    <a:blip r:embed="rId14"/>
                    <a:stretch>
                      <a:fillRect/>
                    </a:stretch>
                  </pic:blipFill>
                  <pic:spPr>
                    <a:xfrm>
                      <a:off x="0" y="0"/>
                      <a:ext cx="5220000" cy="3537049"/>
                    </a:xfrm>
                    <a:prstGeom prst="rect"/>
                  </pic:spPr>
                </pic:pic>
              </a:graphicData>
            </a:graphic>
          </wp:inline>
        </w:drawing>
      </w:r>
    </w:p>
    <w:p>
      <w:pPr>
        <w:pStyle w:val="Heading2"/>
      </w:pPr>
      <w:r>
        <w:t>4.9 失败项与资源限制分析</w:t>
      </w:r>
    </w:p>
    <w:p>
      <w:pPr>
        <w:spacing w:line="276" w:lineRule="auto"/>
        <w:ind w:firstLine="420"/>
      </w:pPr>
      <w:r>
        <w:rPr>
          <w:rFonts w:ascii="宋体" w:hAnsi="宋体" w:eastAsia="宋体"/>
          <w:sz w:val="21"/>
        </w:rPr>
        <w:t>表7列出失败项和资源限制。KN 在部分设置中因显存压力失败或结果极弱；IKE 因缺少 SentenceTransformer 依赖未形成有效结果；GPT-J wrapper 虽然运行完成，但作为负向边界结果处理。这些内容不应被隐藏，也不应写成工程事故，而应作为资源边界和方法边界说明。</w:t>
      </w:r>
    </w:p>
    <w:p>
      <w:pPr>
        <w:spacing w:line="276" w:lineRule="auto"/>
        <w:ind w:firstLine="420"/>
      </w:pPr>
      <w:r>
        <w:rPr>
          <w:rFonts w:ascii="宋体" w:hAnsi="宋体" w:eastAsia="宋体"/>
          <w:sz w:val="21"/>
        </w:rPr>
        <w:t>表7 Failure and resource limitation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E8EEF5"/>
          </w:tcPr>
          <w:p>
            <w:pPr>
              <w:jc w:val="center"/>
            </w:pPr>
            <w:r/>
            <w:r>
              <w:rPr>
                <w:rFonts w:ascii="宋体" w:hAnsi="宋体" w:eastAsia="宋体"/>
                <w:b/>
                <w:sz w:val="17"/>
              </w:rPr>
              <w:t>范围</w:t>
            </w:r>
          </w:p>
        </w:tc>
        <w:tc>
          <w:tcPr>
            <w:tcW w:type="dxa" w:w="1872"/>
            <w:vAlign w:val="center"/>
            <w:shd w:fill="E8EEF5"/>
          </w:tcPr>
          <w:p>
            <w:pPr>
              <w:jc w:val="center"/>
            </w:pPr>
            <w:r/>
            <w:r>
              <w:rPr>
                <w:rFonts w:ascii="宋体" w:hAnsi="宋体" w:eastAsia="宋体"/>
                <w:b/>
                <w:sz w:val="17"/>
              </w:rPr>
              <w:t>方法/现象</w:t>
            </w:r>
          </w:p>
        </w:tc>
        <w:tc>
          <w:tcPr>
            <w:tcW w:type="dxa" w:w="1872"/>
            <w:vAlign w:val="center"/>
            <w:shd w:fill="E8EEF5"/>
          </w:tcPr>
          <w:p>
            <w:pPr>
              <w:jc w:val="center"/>
            </w:pPr>
            <w:r/>
            <w:r>
              <w:rPr>
                <w:rFonts w:ascii="宋体" w:hAnsi="宋体" w:eastAsia="宋体"/>
                <w:b/>
                <w:sz w:val="17"/>
              </w:rPr>
              <w:t>状态</w:t>
            </w:r>
          </w:p>
        </w:tc>
        <w:tc>
          <w:tcPr>
            <w:tcW w:type="dxa" w:w="1872"/>
            <w:vAlign w:val="center"/>
            <w:shd w:fill="E8EEF5"/>
          </w:tcPr>
          <w:p>
            <w:pPr>
              <w:jc w:val="center"/>
            </w:pPr>
            <w:r/>
            <w:r>
              <w:rPr>
                <w:rFonts w:ascii="宋体" w:hAnsi="宋体" w:eastAsia="宋体"/>
                <w:b/>
                <w:sz w:val="17"/>
              </w:rPr>
              <w:t>原因</w:t>
            </w:r>
          </w:p>
        </w:tc>
        <w:tc>
          <w:tcPr>
            <w:tcW w:type="dxa" w:w="1872"/>
            <w:vAlign w:val="center"/>
            <w:shd w:fill="E8EEF5"/>
          </w:tcPr>
          <w:p>
            <w:pPr>
              <w:jc w:val="center"/>
            </w:pPr>
            <w:r/>
            <w:r>
              <w:rPr>
                <w:rFonts w:ascii="宋体" w:hAnsi="宋体" w:eastAsia="宋体"/>
                <w:b/>
                <w:sz w:val="17"/>
              </w:rPr>
              <w:t>论文处理</w:t>
            </w:r>
          </w:p>
        </w:tc>
      </w:tr>
      <w:tr>
        <w:tc>
          <w:tcPr>
            <w:tcW w:type="dxa" w:w="1872"/>
            <w:vAlign w:val="center"/>
          </w:tcPr>
          <w:p>
            <w:pPr>
              <w:jc w:val="left"/>
            </w:pPr>
            <w:r/>
            <w:r>
              <w:rPr>
                <w:rFonts w:ascii="宋体" w:hAnsi="宋体" w:eastAsia="宋体"/>
                <w:b w:val="0"/>
                <w:sz w:val="17"/>
              </w:rPr>
              <w:t>Qwen synthetic privacy</w:t>
            </w:r>
          </w:p>
        </w:tc>
        <w:tc>
          <w:tcPr>
            <w:tcW w:type="dxa" w:w="1872"/>
            <w:vAlign w:val="center"/>
          </w:tcPr>
          <w:p>
            <w:pPr>
              <w:jc w:val="center"/>
            </w:pPr>
            <w:r/>
            <w:r>
              <w:rPr>
                <w:rFonts w:ascii="宋体" w:hAnsi="宋体" w:eastAsia="宋体"/>
                <w:b w:val="0"/>
                <w:sz w:val="17"/>
              </w:rPr>
              <w:t>KN</w:t>
            </w:r>
          </w:p>
        </w:tc>
        <w:tc>
          <w:tcPr>
            <w:tcW w:type="dxa" w:w="1872"/>
            <w:vAlign w:val="center"/>
          </w:tcPr>
          <w:p>
            <w:pPr>
              <w:jc w:val="center"/>
            </w:pPr>
            <w:r/>
            <w:r>
              <w:rPr>
                <w:rFonts w:ascii="宋体" w:hAnsi="宋体" w:eastAsia="宋体"/>
                <w:b w:val="0"/>
                <w:sz w:val="17"/>
              </w:rPr>
              <w:t>failed</w:t>
            </w:r>
          </w:p>
        </w:tc>
        <w:tc>
          <w:tcPr>
            <w:tcW w:type="dxa" w:w="1872"/>
            <w:vAlign w:val="center"/>
          </w:tcPr>
          <w:p>
            <w:pPr>
              <w:jc w:val="center"/>
            </w:pPr>
            <w:r/>
            <w:r>
              <w:rPr>
                <w:rFonts w:ascii="宋体" w:hAnsi="宋体" w:eastAsia="宋体"/>
                <w:b w:val="0"/>
                <w:sz w:val="17"/>
              </w:rPr>
              <w:t>OOM on 48GB GPU</w:t>
            </w:r>
          </w:p>
        </w:tc>
        <w:tc>
          <w:tcPr>
            <w:tcW w:type="dxa" w:w="1872"/>
            <w:vAlign w:val="center"/>
          </w:tcPr>
          <w:p>
            <w:pPr>
              <w:jc w:val="left"/>
            </w:pPr>
            <w:r/>
            <w:r>
              <w:rPr>
                <w:rFonts w:ascii="宋体" w:hAnsi="宋体" w:eastAsia="宋体"/>
                <w:b w:val="0"/>
                <w:sz w:val="17"/>
              </w:rPr>
              <w:t>record and do not rerun</w:t>
            </w:r>
          </w:p>
        </w:tc>
      </w:tr>
      <w:tr>
        <w:tc>
          <w:tcPr>
            <w:tcW w:type="dxa" w:w="1872"/>
            <w:vAlign w:val="center"/>
          </w:tcPr>
          <w:p>
            <w:pPr>
              <w:jc w:val="left"/>
            </w:pPr>
            <w:r/>
            <w:r>
              <w:rPr>
                <w:rFonts w:ascii="宋体" w:hAnsi="宋体" w:eastAsia="宋体"/>
                <w:b w:val="0"/>
                <w:sz w:val="17"/>
              </w:rPr>
              <w:t>Qwen synthetic privacy</w:t>
            </w:r>
          </w:p>
        </w:tc>
        <w:tc>
          <w:tcPr>
            <w:tcW w:type="dxa" w:w="1872"/>
            <w:vAlign w:val="center"/>
          </w:tcPr>
          <w:p>
            <w:pPr>
              <w:jc w:val="center"/>
            </w:pPr>
            <w:r/>
            <w:r>
              <w:rPr>
                <w:rFonts w:ascii="宋体" w:hAnsi="宋体" w:eastAsia="宋体"/>
                <w:b w:val="0"/>
                <w:sz w:val="17"/>
              </w:rPr>
              <w:t>IKE</w:t>
            </w:r>
          </w:p>
        </w:tc>
        <w:tc>
          <w:tcPr>
            <w:tcW w:type="dxa" w:w="1872"/>
            <w:vAlign w:val="center"/>
          </w:tcPr>
          <w:p>
            <w:pPr>
              <w:jc w:val="center"/>
            </w:pPr>
            <w:r/>
            <w:r>
              <w:rPr>
                <w:rFonts w:ascii="宋体" w:hAnsi="宋体" w:eastAsia="宋体"/>
                <w:b w:val="0"/>
                <w:sz w:val="17"/>
              </w:rPr>
              <w:t>failed</w:t>
            </w:r>
          </w:p>
        </w:tc>
        <w:tc>
          <w:tcPr>
            <w:tcW w:type="dxa" w:w="1872"/>
            <w:vAlign w:val="center"/>
          </w:tcPr>
          <w:p>
            <w:pPr>
              <w:jc w:val="left"/>
            </w:pPr>
            <w:r/>
            <w:r>
              <w:rPr>
                <w:rFonts w:ascii="宋体" w:hAnsi="宋体" w:eastAsia="宋体"/>
                <w:b w:val="0"/>
                <w:sz w:val="17"/>
              </w:rPr>
              <w:t>missing SentenceTransformer dependency</w:t>
            </w:r>
          </w:p>
        </w:tc>
        <w:tc>
          <w:tcPr>
            <w:tcW w:type="dxa" w:w="1872"/>
            <w:vAlign w:val="center"/>
          </w:tcPr>
          <w:p>
            <w:pPr>
              <w:jc w:val="left"/>
            </w:pPr>
            <w:r/>
            <w:r>
              <w:rPr>
                <w:rFonts w:ascii="宋体" w:hAnsi="宋体" w:eastAsia="宋体"/>
                <w:b w:val="0"/>
                <w:sz w:val="17"/>
              </w:rPr>
              <w:t>record and do not rerun</w:t>
            </w:r>
          </w:p>
        </w:tc>
      </w:tr>
      <w:tr>
        <w:tc>
          <w:tcPr>
            <w:tcW w:type="dxa" w:w="1872"/>
            <w:vAlign w:val="center"/>
          </w:tcPr>
          <w:p>
            <w:pPr>
              <w:jc w:val="left"/>
            </w:pPr>
            <w:r/>
            <w:r>
              <w:rPr>
                <w:rFonts w:ascii="宋体" w:hAnsi="宋体" w:eastAsia="宋体"/>
                <w:b w:val="0"/>
                <w:sz w:val="17"/>
              </w:rPr>
              <w:t>Qwen public counterfact</w:t>
            </w:r>
          </w:p>
        </w:tc>
        <w:tc>
          <w:tcPr>
            <w:tcW w:type="dxa" w:w="1872"/>
            <w:vAlign w:val="center"/>
          </w:tcPr>
          <w:p>
            <w:pPr>
              <w:jc w:val="center"/>
            </w:pPr>
            <w:r/>
            <w:r>
              <w:rPr>
                <w:rFonts w:ascii="宋体" w:hAnsi="宋体" w:eastAsia="宋体"/>
                <w:b w:val="0"/>
                <w:sz w:val="17"/>
              </w:rPr>
              <w:t>IKE</w:t>
            </w:r>
          </w:p>
        </w:tc>
        <w:tc>
          <w:tcPr>
            <w:tcW w:type="dxa" w:w="1872"/>
            <w:vAlign w:val="center"/>
          </w:tcPr>
          <w:p>
            <w:pPr>
              <w:jc w:val="center"/>
            </w:pPr>
            <w:r/>
            <w:r>
              <w:rPr>
                <w:rFonts w:ascii="宋体" w:hAnsi="宋体" w:eastAsia="宋体"/>
                <w:b w:val="0"/>
                <w:sz w:val="17"/>
              </w:rPr>
              <w:t>failed</w:t>
            </w:r>
          </w:p>
        </w:tc>
        <w:tc>
          <w:tcPr>
            <w:tcW w:type="dxa" w:w="1872"/>
            <w:vAlign w:val="center"/>
          </w:tcPr>
          <w:p>
            <w:pPr>
              <w:jc w:val="left"/>
            </w:pPr>
            <w:r/>
            <w:r>
              <w:rPr>
                <w:rFonts w:ascii="宋体" w:hAnsi="宋体" w:eastAsia="宋体"/>
                <w:b w:val="0"/>
                <w:sz w:val="17"/>
              </w:rPr>
              <w:t>missing SentenceTransformer dependency</w:t>
            </w:r>
          </w:p>
        </w:tc>
        <w:tc>
          <w:tcPr>
            <w:tcW w:type="dxa" w:w="1872"/>
            <w:vAlign w:val="center"/>
          </w:tcPr>
          <w:p>
            <w:pPr>
              <w:jc w:val="left"/>
            </w:pPr>
            <w:r/>
            <w:r>
              <w:rPr>
                <w:rFonts w:ascii="宋体" w:hAnsi="宋体" w:eastAsia="宋体"/>
                <w:b w:val="0"/>
                <w:sz w:val="17"/>
              </w:rPr>
              <w:t>record as resource/dependency limit</w:t>
            </w:r>
          </w:p>
        </w:tc>
      </w:tr>
      <w:tr>
        <w:tc>
          <w:tcPr>
            <w:tcW w:type="dxa" w:w="1872"/>
            <w:vAlign w:val="center"/>
          </w:tcPr>
          <w:p>
            <w:pPr>
              <w:jc w:val="center"/>
            </w:pPr>
            <w:r/>
            <w:r>
              <w:rPr>
                <w:rFonts w:ascii="宋体" w:hAnsi="宋体" w:eastAsia="宋体"/>
                <w:b w:val="0"/>
                <w:sz w:val="17"/>
              </w:rPr>
              <w:t>Qwen public zsre</w:t>
            </w:r>
          </w:p>
        </w:tc>
        <w:tc>
          <w:tcPr>
            <w:tcW w:type="dxa" w:w="1872"/>
            <w:vAlign w:val="center"/>
          </w:tcPr>
          <w:p>
            <w:pPr>
              <w:jc w:val="center"/>
            </w:pPr>
            <w:r/>
            <w:r>
              <w:rPr>
                <w:rFonts w:ascii="宋体" w:hAnsi="宋体" w:eastAsia="宋体"/>
                <w:b w:val="0"/>
                <w:sz w:val="17"/>
              </w:rPr>
              <w:t>KN</w:t>
            </w:r>
          </w:p>
        </w:tc>
        <w:tc>
          <w:tcPr>
            <w:tcW w:type="dxa" w:w="1872"/>
            <w:vAlign w:val="center"/>
          </w:tcPr>
          <w:p>
            <w:pPr>
              <w:jc w:val="center"/>
            </w:pPr>
            <w:r/>
            <w:r>
              <w:rPr>
                <w:rFonts w:ascii="宋体" w:hAnsi="宋体" w:eastAsia="宋体"/>
                <w:b w:val="0"/>
                <w:sz w:val="17"/>
              </w:rPr>
              <w:t>failed</w:t>
            </w:r>
          </w:p>
        </w:tc>
        <w:tc>
          <w:tcPr>
            <w:tcW w:type="dxa" w:w="1872"/>
            <w:vAlign w:val="center"/>
          </w:tcPr>
          <w:p>
            <w:pPr>
              <w:jc w:val="center"/>
            </w:pPr>
            <w:r/>
            <w:r>
              <w:rPr>
                <w:rFonts w:ascii="宋体" w:hAnsi="宋体" w:eastAsia="宋体"/>
                <w:b w:val="0"/>
                <w:sz w:val="17"/>
              </w:rPr>
              <w:t>OOM on 48GB GPU</w:t>
            </w:r>
          </w:p>
        </w:tc>
        <w:tc>
          <w:tcPr>
            <w:tcW w:type="dxa" w:w="1872"/>
            <w:vAlign w:val="center"/>
          </w:tcPr>
          <w:p>
            <w:pPr>
              <w:jc w:val="left"/>
            </w:pPr>
            <w:r/>
            <w:r>
              <w:rPr>
                <w:rFonts w:ascii="宋体" w:hAnsi="宋体" w:eastAsia="宋体"/>
                <w:b w:val="0"/>
                <w:sz w:val="17"/>
              </w:rPr>
              <w:t>record as resource/dependency limit</w:t>
            </w:r>
          </w:p>
        </w:tc>
      </w:tr>
      <w:tr>
        <w:tc>
          <w:tcPr>
            <w:tcW w:type="dxa" w:w="1872"/>
            <w:vAlign w:val="center"/>
          </w:tcPr>
          <w:p>
            <w:pPr>
              <w:jc w:val="left"/>
            </w:pPr>
            <w:r/>
            <w:r>
              <w:rPr>
                <w:rFonts w:ascii="宋体" w:hAnsi="宋体" w:eastAsia="宋体"/>
                <w:b w:val="0"/>
                <w:sz w:val="17"/>
              </w:rPr>
              <w:t>GPT-J public wrapper</w:t>
            </w:r>
          </w:p>
        </w:tc>
        <w:tc>
          <w:tcPr>
            <w:tcW w:type="dxa" w:w="1872"/>
            <w:vAlign w:val="center"/>
          </w:tcPr>
          <w:p>
            <w:pPr>
              <w:jc w:val="left"/>
            </w:pPr>
            <w:r/>
            <w:r>
              <w:rPr>
                <w:rFonts w:ascii="宋体" w:hAnsi="宋体" w:eastAsia="宋体"/>
                <w:b w:val="0"/>
                <w:sz w:val="17"/>
              </w:rPr>
              <w:t>ROME_PACE_EDIT / ROME_CAPE_EDIT</w:t>
            </w:r>
          </w:p>
        </w:tc>
        <w:tc>
          <w:tcPr>
            <w:tcW w:type="dxa" w:w="1872"/>
            <w:vAlign w:val="center"/>
          </w:tcPr>
          <w:p>
            <w:pPr>
              <w:jc w:val="left"/>
            </w:pPr>
            <w:r/>
            <w:r>
              <w:rPr>
                <w:rFonts w:ascii="宋体" w:hAnsi="宋体" w:eastAsia="宋体"/>
                <w:b w:val="0"/>
                <w:sz w:val="17"/>
              </w:rPr>
              <w:t>ok run, negative result</w:t>
            </w:r>
          </w:p>
        </w:tc>
        <w:tc>
          <w:tcPr>
            <w:tcW w:type="dxa" w:w="1872"/>
            <w:vAlign w:val="center"/>
          </w:tcPr>
          <w:p>
            <w:pPr>
              <w:jc w:val="left"/>
            </w:pPr>
            <w:r/>
            <w:r>
              <w:rPr>
                <w:rFonts w:ascii="宋体" w:hAnsi="宋体" w:eastAsia="宋体"/>
                <w:b w:val="0"/>
                <w:sz w:val="17"/>
              </w:rPr>
              <w:t>per-case audit confirms wrapper collapse, not path mixup</w:t>
            </w:r>
          </w:p>
        </w:tc>
        <w:tc>
          <w:tcPr>
            <w:tcW w:type="dxa" w:w="1872"/>
            <w:vAlign w:val="center"/>
          </w:tcPr>
          <w:p>
            <w:pPr>
              <w:jc w:val="left"/>
            </w:pPr>
            <w:r/>
            <w:r>
              <w:rPr>
                <w:rFonts w:ascii="宋体" w:hAnsi="宋体" w:eastAsia="宋体"/>
                <w:b w:val="0"/>
                <w:sz w:val="17"/>
              </w:rPr>
              <w:t>boundary analysis, no GPU rerun</w:t>
            </w:r>
          </w:p>
        </w:tc>
      </w:tr>
    </w:tbl>
    <w:p/>
    <w:p>
      <w:pPr>
        <w:spacing w:line="276" w:lineRule="auto"/>
        <w:ind w:firstLine="420"/>
      </w:pPr>
      <w:r>
        <w:rPr>
          <w:rFonts w:ascii="宋体" w:hAnsi="宋体" w:eastAsia="宋体"/>
          <w:sz w:val="21"/>
        </w:rPr>
        <w:t>图7总结了主要失败和边界项。该图的作用是保证论文结果口径透明：failed/missing 不伪造成 0，negative result 不伪造成 success。</w:t>
      </w:r>
    </w:p>
    <w:p>
      <w:pPr>
        <w:spacing w:line="276" w:lineRule="auto"/>
        <w:ind w:firstLine="420"/>
      </w:pPr>
      <w:r>
        <w:rPr>
          <w:rFonts w:ascii="宋体" w:hAnsi="宋体" w:eastAsia="宋体"/>
          <w:sz w:val="21"/>
        </w:rPr>
        <w:t>图7 Failure/resource limitation summary</w:t>
      </w:r>
    </w:p>
    <w:p>
      <w:pPr>
        <w:jc w:val="center"/>
      </w:pPr>
      <w:r>
        <w:drawing>
          <wp:inline xmlns:a="http://schemas.openxmlformats.org/drawingml/2006/main" xmlns:pic="http://schemas.openxmlformats.org/drawingml/2006/picture">
            <wp:extent cx="5220000" cy="2247908"/>
            <wp:docPr id="7" name="Picture 7"/>
            <wp:cNvGraphicFramePr>
              <a:graphicFrameLocks noChangeAspect="1"/>
            </wp:cNvGraphicFramePr>
            <a:graphic>
              <a:graphicData uri="http://schemas.openxmlformats.org/drawingml/2006/picture">
                <pic:pic>
                  <pic:nvPicPr>
                    <pic:cNvPr id="0" name="fig7_failure_matrix_summary.png"/>
                    <pic:cNvPicPr/>
                  </pic:nvPicPr>
                  <pic:blipFill>
                    <a:blip r:embed="rId15"/>
                    <a:stretch>
                      <a:fillRect/>
                    </a:stretch>
                  </pic:blipFill>
                  <pic:spPr>
                    <a:xfrm>
                      <a:off x="0" y="0"/>
                      <a:ext cx="5220000" cy="2247908"/>
                    </a:xfrm>
                    <a:prstGeom prst="rect"/>
                  </pic:spPr>
                </pic:pic>
              </a:graphicData>
            </a:graphic>
          </wp:inline>
        </w:drawing>
      </w:r>
    </w:p>
    <w:p>
      <w:pPr>
        <w:pStyle w:val="Heading2"/>
      </w:pPr>
      <w:r>
        <w:t>4.10 案例分析</w:t>
      </w:r>
    </w:p>
    <w:p>
      <w:pPr>
        <w:spacing w:line="276" w:lineRule="auto"/>
        <w:ind w:firstLine="420"/>
      </w:pPr>
      <w:r>
        <w:rPr>
          <w:rFonts w:ascii="宋体" w:hAnsi="宋体" w:eastAsia="宋体"/>
          <w:sz w:val="21"/>
        </w:rPr>
        <w:t>典型案例可以从三个现象理解本文结果。第一，提示拒答并不能可靠消除模型内部记忆，模型仍可能在补全或改写提示下输出敏感值。第二，PACE/CAPE 的强隐私压制往往伴随公开问题拒答扩散，说明残余泄露驱动再编辑不能脱离公开知识约束。第三，CAPE-Anchor 通过加入公开锚点，把方法从强拒答端点拉回到更可用的折中区域，但公开保持提高并不意味着隐私压制没有代价。</w:t>
      </w:r>
    </w:p>
    <w:p>
      <w:pPr>
        <w:spacing w:line="276" w:lineRule="auto"/>
        <w:ind w:firstLine="420"/>
      </w:pPr>
      <w:r>
        <w:rPr>
          <w:rFonts w:ascii="宋体" w:hAnsi="宋体" w:eastAsia="宋体"/>
          <w:sz w:val="21"/>
        </w:rPr>
        <w:t>对于 GPT-J，案例层面的关键信息是：相同模型上的 ROME/FT baseline 正常，只有未调参 wrapper 塌缩。因此该结果更适合放在边界分析中，而不是作为否定主实验价值的证据。</w:t>
      </w:r>
    </w:p>
    <w:p>
      <w:pPr>
        <w:pStyle w:val="Heading2"/>
      </w:pPr>
      <w:r>
        <w:t>4.11 本章小结</w:t>
      </w:r>
    </w:p>
    <w:p>
      <w:pPr>
        <w:spacing w:line="276" w:lineRule="auto"/>
        <w:ind w:firstLine="420"/>
      </w:pPr>
      <w:r>
        <w:rPr>
          <w:rFonts w:ascii="宋体" w:hAnsi="宋体" w:eastAsia="宋体"/>
          <w:sz w:val="21"/>
        </w:rPr>
        <w:t>实验结果支持本文的限定主张：CAPE-Anchor 在 Qwen synthetic privacy 主任务上形成有限有效改进，表现为更合理的隐私压制—知识保持折中。公开 Qwen 实验提供中性迁移验证，GPT-J 实验提供负向边界证据。整体结论不是“某一方法全面最优”，而是隐私清洗必须同时分析泄露、公开保持和过度拒答。</w:t>
      </w:r>
    </w:p>
    <w:p>
      <w:pPr>
        <w:pStyle w:val="Heading1"/>
      </w:pPr>
      <w:r>
        <w:t>第5章 系统设计与软件实现</w:t>
      </w:r>
    </w:p>
    <w:p>
      <w:pPr>
        <w:pStyle w:val="Heading2"/>
      </w:pPr>
      <w:r>
        <w:t>5.1 系统总体结构</w:t>
      </w:r>
    </w:p>
    <w:p>
      <w:pPr>
        <w:spacing w:line="276" w:lineRule="auto"/>
        <w:ind w:firstLine="420"/>
      </w:pPr>
      <w:r>
        <w:rPr>
          <w:rFonts w:ascii="宋体" w:hAnsi="宋体" w:eastAsia="宋体"/>
          <w:sz w:val="21"/>
        </w:rPr>
        <w:t>系统包含数据构造、LoRA 注入、编辑请求构造、模型编辑运行、隐私生成评估、公开知识评估和结果汇总模块。各模块通过 JSON、JSONL、CSV 和 Markdown artifact 连接，便于复查输入输出。</w:t>
      </w:r>
    </w:p>
    <w:p>
      <w:pPr>
        <w:pStyle w:val="Heading2"/>
      </w:pPr>
      <w:r>
        <w:t>5.2 数据构造模块</w:t>
      </w:r>
    </w:p>
    <w:p>
      <w:pPr>
        <w:spacing w:line="276" w:lineRule="auto"/>
        <w:ind w:firstLine="420"/>
      </w:pPr>
      <w:r>
        <w:rPr>
          <w:rFonts w:ascii="宋体" w:hAnsi="宋体" w:eastAsia="宋体"/>
          <w:sz w:val="21"/>
        </w:rPr>
        <w:t>数据构造模块生成虚拟人物、隐私事实、公开事实和多种攻击提示。每条样本保留 case_id、attack_type、template_id 和目标值，确保后续生成结果能够追溯到具体人物和提示类型。</w:t>
      </w:r>
    </w:p>
    <w:p>
      <w:pPr>
        <w:pStyle w:val="Heading2"/>
      </w:pPr>
      <w:r>
        <w:t>5.3 隐私注入模块</w:t>
      </w:r>
    </w:p>
    <w:p>
      <w:pPr>
        <w:spacing w:line="276" w:lineRule="auto"/>
        <w:ind w:firstLine="420"/>
      </w:pPr>
      <w:r>
        <w:rPr>
          <w:rFonts w:ascii="宋体" w:hAnsi="宋体" w:eastAsia="宋体"/>
          <w:sz w:val="21"/>
        </w:rPr>
        <w:t>隐私注入模块通过 LoRA 训练数据构造和 adapter merge 形成统一待编辑模型。该模块只负责构造可控泄露对象，不参与后续编辑效果评价，避免把注入效果和清洗效果混淆。</w:t>
      </w:r>
    </w:p>
    <w:p>
      <w:pPr>
        <w:pStyle w:val="Heading2"/>
      </w:pPr>
      <w:r>
        <w:t>5.4 模型编辑模块</w:t>
      </w:r>
    </w:p>
    <w:p>
      <w:pPr>
        <w:spacing w:line="276" w:lineRule="auto"/>
        <w:ind w:firstLine="420"/>
      </w:pPr>
      <w:r>
        <w:rPr>
          <w:rFonts w:ascii="宋体" w:hAnsi="宋体" w:eastAsia="宋体"/>
          <w:sz w:val="21"/>
        </w:rPr>
        <w:t>模型编辑模块基于 EasyEdit 调用 ROME、MEMIT、FT 等方法，并通过 PACE/CAPE/CAPE-Anchor 构造不同请求集合。底层编辑器与外层请求选择分离，使实验能够回答“编辑器能力”和“请求选择副作用”两个问题。</w:t>
      </w:r>
    </w:p>
    <w:p>
      <w:pPr>
        <w:pStyle w:val="Heading2"/>
      </w:pPr>
      <w:r>
        <w:t>5.5 评估与结果分析模块</w:t>
      </w:r>
    </w:p>
    <w:p>
      <w:pPr>
        <w:spacing w:line="276" w:lineRule="auto"/>
        <w:ind w:firstLine="420"/>
      </w:pPr>
      <w:r>
        <w:rPr>
          <w:rFonts w:ascii="宋体" w:hAnsi="宋体" w:eastAsia="宋体"/>
          <w:sz w:val="21"/>
        </w:rPr>
        <w:t>评估模块对 private attacks 和 public retain prompts 分别生成并统计指标。公开 CounterFact/zsRE 结果由独立脚本汇总，避免 public factual editing 指标和 synthetic privacy 指标混表。最终论文资产由冻结 CSV 生成，确保每个表格和图都能追溯到具体 artifact。</w:t>
      </w:r>
    </w:p>
    <w:p>
      <w:pPr>
        <w:pStyle w:val="Heading2"/>
      </w:pPr>
      <w:r>
        <w:t>5.6 实验平台与运行环境</w:t>
      </w:r>
    </w:p>
    <w:p>
      <w:pPr>
        <w:spacing w:line="276" w:lineRule="auto"/>
        <w:ind w:firstLine="420"/>
      </w:pPr>
      <w:r>
        <w:rPr>
          <w:rFonts w:ascii="宋体" w:hAnsi="宋体" w:eastAsia="宋体"/>
          <w:sz w:val="21"/>
        </w:rPr>
        <w:t>大模型实验在 Linux GPU 环境中运行，本地 Windows 环境负责代码维护、结果整理和论文生成。模型权重、HF 缓存和大规模生成中间文件不纳入最终论文仓库；仓库保留脚本、小型 summary、CSV、图表和文档。</w:t>
      </w:r>
    </w:p>
    <w:p>
      <w:pPr>
        <w:pStyle w:val="Heading2"/>
      </w:pPr>
      <w:r>
        <w:t>5.7 代码组织与软件使用说明</w:t>
      </w:r>
    </w:p>
    <w:p>
      <w:pPr>
        <w:spacing w:line="276" w:lineRule="auto"/>
        <w:ind w:firstLine="420"/>
      </w:pPr>
      <w:r>
        <w:rPr>
          <w:rFonts w:ascii="宋体" w:hAnsi="宋体" w:eastAsia="宋体"/>
          <w:sz w:val="21"/>
        </w:rPr>
        <w:t>主要脚本分布在 scripts 目录中，包括 synthetic privacy 数据生成、LoRA 训练数据构造、隐私拒答编辑、PACE/CAPE 请求构造、公开 benchmark 运行、结果抽取和最终论文资产生成。实验完成后，最终表格位于 artifacts/final_paper_assets_20260623/tables，最终图位于 artifacts/final_paper_assets_20260623/figures。</w:t>
      </w:r>
    </w:p>
    <w:p>
      <w:pPr>
        <w:pStyle w:val="Heading2"/>
      </w:pPr>
      <w:r>
        <w:t>5.8 本章小结</w:t>
      </w:r>
    </w:p>
    <w:p>
      <w:pPr>
        <w:spacing w:line="276" w:lineRule="auto"/>
        <w:ind w:firstLine="420"/>
      </w:pPr>
      <w:r>
        <w:rPr>
          <w:rFonts w:ascii="宋体" w:hAnsi="宋体" w:eastAsia="宋体"/>
          <w:sz w:val="21"/>
        </w:rPr>
        <w:t>系统实现强调可审计性和可复现性。通过保存请求、评估、summary、failure matrix 和最终表图，论文中的主要结论可以在不重新运行 GPU 实验的情况下复核。</w:t>
      </w:r>
    </w:p>
    <w:p>
      <w:pPr>
        <w:pStyle w:val="Heading1"/>
      </w:pPr>
      <w:r>
        <w:t>第6章 总结与展望</w:t>
      </w:r>
    </w:p>
    <w:p>
      <w:pPr>
        <w:pStyle w:val="Heading2"/>
      </w:pPr>
      <w:r>
        <w:t>6.1 工作总结</w:t>
      </w:r>
    </w:p>
    <w:p>
      <w:pPr>
        <w:spacing w:line="276" w:lineRule="auto"/>
        <w:ind w:firstLine="420"/>
      </w:pPr>
      <w:r>
        <w:rPr>
          <w:rFonts w:ascii="宋体" w:hAnsi="宋体" w:eastAsia="宋体"/>
          <w:sz w:val="21"/>
        </w:rPr>
        <w:t>本文围绕基于模型编辑的大语言模型隐私知识清洗问题，构建了从合成隐私评测基准、LoRA 可控隐私注入、模型编辑执行到副作用审计的完整实验闭环。该流程使待清洗隐私事实、需要保留的公开事实以及多类攻击提示均具有明确 ground truth，从而能够在统一协议下比较不同编辑策略。</w:t>
      </w:r>
    </w:p>
    <w:p>
      <w:pPr>
        <w:pStyle w:val="Heading2"/>
      </w:pPr>
      <w:r>
        <w:t>6.2 主要结论</w:t>
      </w:r>
    </w:p>
    <w:p>
      <w:pPr>
        <w:spacing w:line="276" w:lineRule="auto"/>
        <w:ind w:firstLine="420"/>
      </w:pPr>
      <w:r>
        <w:rPr>
          <w:rFonts w:ascii="宋体" w:hAnsi="宋体" w:eastAsia="宋体"/>
          <w:sz w:val="21"/>
        </w:rPr>
        <w:t>实验表明，不同编辑策略在隐私压制和知识保持两个目标上呈现差异化端点。Prompt Refusal 基本不能改变模型内部记忆；MEMIT 表现出较强公开知识保持能力，但压制强度有限；ROME 形成中间区域；FT、PACE 和 CAPE 构成强隐私压制但公开保持较弱的端点；CAPE-Anchor 通过公开锚点把 naive PACE/CAPE 的 public collapse 拉回到更合理区域。公开 Qwen 结果说明 wrapper 可以迁移运行但效果中等，GPT-J 结果揭示跨模型迁移边界。</w:t>
      </w:r>
    </w:p>
    <w:p>
      <w:pPr>
        <w:pStyle w:val="Heading2"/>
      </w:pPr>
      <w:r>
        <w:t>6.3 局限性分析</w:t>
      </w:r>
    </w:p>
    <w:p>
      <w:pPr>
        <w:spacing w:line="276" w:lineRule="auto"/>
        <w:ind w:firstLine="420"/>
      </w:pPr>
      <w:r>
        <w:rPr>
          <w:rFonts w:ascii="宋体" w:hAnsi="宋体" w:eastAsia="宋体"/>
          <w:sz w:val="21"/>
        </w:rPr>
        <w:t>本文的合成隐私基准提供可控 ground truth，但不能覆盖真实世界 PII 的全部语义复杂性。自动 contains 和 regex 指标适合稳定比较，但不能替代人工语义评估。CAPE-Anchor 当前仍是请求层约束，尚未在底层编辑目标中显式加入 retain loss。GPT-J wrapper collapse 也表明，闭环请求扩展对模型结构、ROME 超参数和请求集合规模敏感。</w:t>
      </w:r>
    </w:p>
    <w:p>
      <w:pPr>
        <w:pStyle w:val="Heading2"/>
      </w:pPr>
      <w:r>
        <w:t>6.4 后续工作</w:t>
      </w:r>
    </w:p>
    <w:p>
      <w:pPr>
        <w:spacing w:line="276" w:lineRule="auto"/>
        <w:ind w:firstLine="420"/>
      </w:pPr>
      <w:r>
        <w:rPr>
          <w:rFonts w:ascii="宋体" w:hAnsi="宋体" w:eastAsia="宋体"/>
          <w:sz w:val="21"/>
        </w:rPr>
        <w:t>后续研究可以从三个方向推进。第一，引入模型特定校准和 locality-aware constraint，使闭环 wrapper 在不同模型上更稳定。第二，在编辑目标中加入 retain-aware objective，把公开知识锚点从请求构造扩展为显式优化约束。第三，结合人工评估和更多真实场景数据，对拒答合理性、公开回答质量和多轮攻击鲁棒性进行更细粒度分析。</w:t>
      </w:r>
    </w:p>
    <w:p>
      <w:pPr>
        <w:pStyle w:val="Heading1"/>
      </w:pPr>
      <w:r>
        <w:t>参考文献</w:t>
      </w:r>
    </w:p>
    <w:p>
      <w:pPr>
        <w:spacing w:line="276" w:lineRule="auto"/>
        <w:ind w:firstLine="420"/>
      </w:pPr>
      <w:r>
        <w:rPr>
          <w:rFonts w:ascii="宋体" w:hAnsi="宋体" w:eastAsia="宋体"/>
          <w:sz w:val="21"/>
        </w:rPr>
        <w:t>[1] Carlini N., Tramer F., Wallace E., et al. Extracting Training Data from Large Language Models. USENIX Security Symposium, 2021.</w:t>
      </w:r>
    </w:p>
    <w:p>
      <w:pPr>
        <w:spacing w:line="276" w:lineRule="auto"/>
        <w:ind w:firstLine="420"/>
      </w:pPr>
      <w:r>
        <w:rPr>
          <w:rFonts w:ascii="宋体" w:hAnsi="宋体" w:eastAsia="宋体"/>
          <w:sz w:val="21"/>
        </w:rPr>
        <w:t>[2] Carlini N., Ippolito D., Jagielski M., et al. Quantifying Memorization Across Neural Language Models. ICLR, 2023.</w:t>
      </w:r>
    </w:p>
    <w:p>
      <w:pPr>
        <w:spacing w:line="276" w:lineRule="auto"/>
        <w:ind w:firstLine="420"/>
      </w:pPr>
      <w:r>
        <w:rPr>
          <w:rFonts w:ascii="宋体" w:hAnsi="宋体" w:eastAsia="宋体"/>
          <w:sz w:val="21"/>
        </w:rPr>
        <w:t>[3] Kandpal N., Wallace E., Raffel C. Deduplicating Training Data Mitigates Privacy Risks in Language Models. ICML, 2022.</w:t>
      </w:r>
    </w:p>
    <w:p>
      <w:pPr>
        <w:spacing w:line="276" w:lineRule="auto"/>
        <w:ind w:firstLine="420"/>
      </w:pPr>
      <w:r>
        <w:rPr>
          <w:rFonts w:ascii="宋体" w:hAnsi="宋体" w:eastAsia="宋体"/>
          <w:sz w:val="21"/>
        </w:rPr>
        <w:t>[4] Dwork C., Roth A. The Algorithmic Foundations of Differential Privacy. Foundations and Trends in Theoretical Computer Science, 2014.</w:t>
      </w:r>
    </w:p>
    <w:p>
      <w:pPr>
        <w:spacing w:line="276" w:lineRule="auto"/>
        <w:ind w:firstLine="420"/>
      </w:pPr>
      <w:r>
        <w:rPr>
          <w:rFonts w:ascii="宋体" w:hAnsi="宋体" w:eastAsia="宋体"/>
          <w:sz w:val="21"/>
        </w:rPr>
        <w:t>[5] Bourtoule L., Chandrasekaran V., Choquette-Choo C. A., et al. Machine Unlearning. IEEE Symposium on Security and Privacy, 2021.</w:t>
      </w:r>
    </w:p>
    <w:p>
      <w:pPr>
        <w:spacing w:line="276" w:lineRule="auto"/>
        <w:ind w:firstLine="420"/>
      </w:pPr>
      <w:r>
        <w:rPr>
          <w:rFonts w:ascii="宋体" w:hAnsi="宋体" w:eastAsia="宋体"/>
          <w:sz w:val="21"/>
        </w:rPr>
        <w:t>[6] Hu E. J., Shen Y., Wallis P., et al. LoRA: Low-Rank Adaptation of Large Language Models. ICLR, 2022.</w:t>
      </w:r>
    </w:p>
    <w:p>
      <w:pPr>
        <w:spacing w:line="276" w:lineRule="auto"/>
        <w:ind w:firstLine="420"/>
      </w:pPr>
      <w:r>
        <w:rPr>
          <w:rFonts w:ascii="宋体" w:hAnsi="宋体" w:eastAsia="宋体"/>
          <w:sz w:val="21"/>
        </w:rPr>
        <w:t>[7] Meng K., Bau D., Andonian A., Belinkov Y. Locating and Editing Factual Associations in GPT. NeurIPS, 2022.</w:t>
      </w:r>
    </w:p>
    <w:p>
      <w:pPr>
        <w:spacing w:line="276" w:lineRule="auto"/>
        <w:ind w:firstLine="420"/>
      </w:pPr>
      <w:r>
        <w:rPr>
          <w:rFonts w:ascii="宋体" w:hAnsi="宋体" w:eastAsia="宋体"/>
          <w:sz w:val="21"/>
        </w:rPr>
        <w:t>[8] Meng K., Sharma A. S., Andonian A., Belinkov Y., Bau D. Mass-Editing Memory in a Transformer. ICLR, 2023.</w:t>
      </w:r>
    </w:p>
    <w:p>
      <w:pPr>
        <w:spacing w:line="276" w:lineRule="auto"/>
        <w:ind w:firstLine="420"/>
      </w:pPr>
      <w:r>
        <w:rPr>
          <w:rFonts w:ascii="宋体" w:hAnsi="宋体" w:eastAsia="宋体"/>
          <w:sz w:val="21"/>
        </w:rPr>
        <w:t>[9] Mitchell E., Lin C., Bosselut A., Manning C. D., Finn C. Fast Model Editing at Scale. ICLR, 2022.</w:t>
      </w:r>
    </w:p>
    <w:p>
      <w:pPr>
        <w:spacing w:line="276" w:lineRule="auto"/>
        <w:ind w:firstLine="420"/>
      </w:pPr>
      <w:r>
        <w:rPr>
          <w:rFonts w:ascii="宋体" w:hAnsi="宋体" w:eastAsia="宋体"/>
          <w:sz w:val="21"/>
        </w:rPr>
        <w:t>[10] Mitchell E., Lin C., Bosselut A., Finn C., Manning C. D. Memory-Based Model Editing at Scale. ICML, 2022.</w:t>
      </w:r>
    </w:p>
    <w:p>
      <w:pPr>
        <w:spacing w:line="276" w:lineRule="auto"/>
        <w:ind w:firstLine="420"/>
      </w:pPr>
      <w:r>
        <w:rPr>
          <w:rFonts w:ascii="宋体" w:hAnsi="宋体" w:eastAsia="宋体"/>
          <w:sz w:val="21"/>
        </w:rPr>
        <w:t>[11] De Cao N., Aziz W., Titov I. Editing Factual Knowledge in Language Models. EMNLP, 2021.</w:t>
      </w:r>
    </w:p>
    <w:p>
      <w:pPr>
        <w:spacing w:line="276" w:lineRule="auto"/>
        <w:ind w:firstLine="420"/>
      </w:pPr>
      <w:r>
        <w:rPr>
          <w:rFonts w:ascii="宋体" w:hAnsi="宋体" w:eastAsia="宋体"/>
          <w:sz w:val="21"/>
        </w:rPr>
        <w:t>[12] Dai D., Dong L., Hao Y., Sui Z., Chang B., Wei F. Knowledge Neurons in Pretrained Transformers. ACL, 2022.</w:t>
      </w:r>
    </w:p>
    <w:p>
      <w:pPr>
        <w:spacing w:line="276" w:lineRule="auto"/>
        <w:ind w:firstLine="420"/>
      </w:pPr>
      <w:r>
        <w:rPr>
          <w:rFonts w:ascii="宋体" w:hAnsi="宋体" w:eastAsia="宋体"/>
          <w:sz w:val="21"/>
        </w:rPr>
        <w:t>[13] Geva M., Schuster R., Berant J., Levy O. Transformer Feed-Forward Layers Are Key-Value Memories. EMNLP, 2021.</w:t>
      </w:r>
    </w:p>
    <w:p>
      <w:pPr>
        <w:spacing w:line="276" w:lineRule="auto"/>
        <w:ind w:firstLine="420"/>
      </w:pPr>
      <w:r>
        <w:rPr>
          <w:rFonts w:ascii="宋体" w:hAnsi="宋体" w:eastAsia="宋体"/>
          <w:sz w:val="21"/>
        </w:rPr>
        <w:t>[14] Wang P., Zhang N., Tian B., et al. EasyEdit: An Easy-to-use Knowledge Editing Framework for Large Language Models. ACL Demo, 2024.</w:t>
      </w:r>
    </w:p>
    <w:p>
      <w:pPr>
        <w:spacing w:line="276" w:lineRule="auto"/>
        <w:ind w:firstLine="420"/>
      </w:pPr>
      <w:r>
        <w:rPr>
          <w:rFonts w:ascii="宋体" w:hAnsi="宋体" w:eastAsia="宋体"/>
          <w:sz w:val="21"/>
        </w:rPr>
        <w:t>[15] Yao Y., Wang P., Tian B., et al. Editing Large Language Models: Problems, Methods, and Opportunities. EMNLP Findings, 2023.</w:t>
      </w:r>
    </w:p>
    <w:p>
      <w:pPr>
        <w:spacing w:line="276" w:lineRule="auto"/>
        <w:ind w:firstLine="420"/>
      </w:pPr>
      <w:r>
        <w:rPr>
          <w:rFonts w:ascii="宋体" w:hAnsi="宋体" w:eastAsia="宋体"/>
          <w:sz w:val="21"/>
        </w:rPr>
        <w:t>[16] Petroni F., Rocktaschel T., Riedel S., et al. Language Models as Knowledge Bases? EMNLP-IJCNLP, 2019.</w:t>
      </w:r>
    </w:p>
    <w:p>
      <w:pPr>
        <w:spacing w:line="276" w:lineRule="auto"/>
        <w:ind w:firstLine="420"/>
      </w:pPr>
      <w:r>
        <w:rPr>
          <w:rFonts w:ascii="宋体" w:hAnsi="宋体" w:eastAsia="宋体"/>
          <w:sz w:val="21"/>
        </w:rPr>
        <w:t>[17] Levy O., Seo M., Choi E., Zettlemoyer L. Zero-Shot Relation Extraction via Reading Comprehension. CoNLL, 2017.</w:t>
      </w:r>
    </w:p>
    <w:p>
      <w:pPr>
        <w:spacing w:line="276" w:lineRule="auto"/>
        <w:ind w:firstLine="420"/>
      </w:pPr>
      <w:r>
        <w:rPr>
          <w:rFonts w:ascii="宋体" w:hAnsi="宋体" w:eastAsia="宋体"/>
          <w:sz w:val="21"/>
        </w:rPr>
        <w:t>[18] Biderman S., Schoelkopf H., Anthony Q., et al. Pythia: A Suite for Analyzing Large Language Models Across Training and Scaling. ICML, 2023.</w:t>
      </w:r>
    </w:p>
    <w:p>
      <w:pPr>
        <w:spacing w:line="276" w:lineRule="auto"/>
        <w:ind w:firstLine="420"/>
      </w:pPr>
      <w:r>
        <w:rPr>
          <w:rFonts w:ascii="宋体" w:hAnsi="宋体" w:eastAsia="宋体"/>
          <w:sz w:val="21"/>
        </w:rPr>
        <w:t>[19] Gao L., Biderman S., Black S., et al. The Pile: An 800GB Dataset of Diverse Text for Language Modeling. arXiv:2101.00027, 2020.</w:t>
      </w:r>
    </w:p>
    <w:p>
      <w:pPr>
        <w:spacing w:line="276" w:lineRule="auto"/>
        <w:ind w:firstLine="420"/>
      </w:pPr>
      <w:r>
        <w:rPr>
          <w:rFonts w:ascii="宋体" w:hAnsi="宋体" w:eastAsia="宋体"/>
          <w:sz w:val="21"/>
        </w:rPr>
        <w:t>[20] Klimt B., Yang Y. The Enron Corpus: A New Dataset for Email Classification Research. ECML, 2004.</w:t>
      </w:r>
    </w:p>
    <w:p>
      <w:pPr>
        <w:spacing w:line="276" w:lineRule="auto"/>
        <w:ind w:firstLine="420"/>
      </w:pPr>
      <w:r>
        <w:rPr>
          <w:rFonts w:ascii="宋体" w:hAnsi="宋体" w:eastAsia="宋体"/>
          <w:sz w:val="21"/>
        </w:rPr>
        <w:t>[21] Eldan R., Russinovich M. Who's Harry Potter? Approximate Unlearning in LLMs. arXiv:2310.02238, 2023.</w:t>
      </w:r>
    </w:p>
    <w:p>
      <w:pPr>
        <w:spacing w:line="276" w:lineRule="auto"/>
        <w:ind w:firstLine="420"/>
      </w:pPr>
      <w:r>
        <w:rPr>
          <w:rFonts w:ascii="宋体" w:hAnsi="宋体" w:eastAsia="宋体"/>
          <w:sz w:val="21"/>
        </w:rPr>
        <w:t>[22] Maini P., Feng Z., Schwarzschild A., et al. TOFU: A Task of Fictitious Unlearning for LLMs. arXiv:2401.06121, 2024.</w:t>
      </w:r>
    </w:p>
    <w:p>
      <w:pPr>
        <w:spacing w:line="276" w:lineRule="auto"/>
        <w:ind w:firstLine="420"/>
      </w:pPr>
      <w:r>
        <w:rPr>
          <w:rFonts w:ascii="宋体" w:hAnsi="宋体" w:eastAsia="宋体"/>
          <w:sz w:val="21"/>
        </w:rPr>
        <w:t>[23] Wu X., Li J., Xu M., et al. DEPN: Detecting and Editing Privacy Neurons in Pretrained Language Models. EMNLP, 2023.</w:t>
      </w:r>
    </w:p>
    <w:p>
      <w:pPr>
        <w:pStyle w:val="Heading1"/>
      </w:pPr>
      <w:r>
        <w:t>附录</w:t>
      </w:r>
    </w:p>
    <w:p>
      <w:pPr>
        <w:spacing w:line="276" w:lineRule="auto"/>
        <w:ind w:firstLine="420"/>
      </w:pPr>
      <w:r>
        <w:rPr>
          <w:rFonts w:ascii="宋体" w:hAnsi="宋体" w:eastAsia="宋体"/>
          <w:sz w:val="21"/>
        </w:rPr>
        <w:t>附录A列出最终结果资产位置：`artifacts/final_paper_assets_20260623/`。附录B列出 GPT-J per-case 审计文件：`artifacts/final_comparison_20260623_complete/gptj_per_case_audit.csv`。附录C列出 failure/resource limitation 表，用于说明未扩展 GPU 实验的原因。</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