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黑体" w:hAnsi="黑体" w:eastAsia="黑体"/>
          <w:b/>
          <w:sz w:val="52"/>
        </w:rPr>
        <w:t>课程论文</w:t>
      </w:r>
    </w:p>
    <w:p/>
    <w:p/>
    <w:p/>
    <w:p>
      <w:pPr>
        <w:jc w:val="center"/>
      </w:pPr>
      <w:r>
        <w:rPr>
          <w:rFonts w:ascii="宋体" w:hAnsi="宋体" w:eastAsia="宋体"/>
          <w:sz w:val="28"/>
        </w:rPr>
        <w:t>课  程：智能系统综合实践</w:t>
      </w:r>
    </w:p>
    <w:p>
      <w:pPr>
        <w:jc w:val="center"/>
      </w:pPr>
      <w:r>
        <w:rPr>
          <w:rFonts w:ascii="宋体" w:hAnsi="宋体" w:eastAsia="宋体"/>
          <w:sz w:val="28"/>
        </w:rPr>
        <w:t>题  目：基于模型编辑的大语言模型隐私知识清洗与保护研究</w:t>
      </w:r>
    </w:p>
    <w:p>
      <w:pPr>
        <w:jc w:val="center"/>
      </w:pPr>
      <w:r>
        <w:rPr>
          <w:rFonts w:ascii="宋体" w:hAnsi="宋体" w:eastAsia="宋体"/>
          <w:sz w:val="28"/>
        </w:rPr>
        <w:t>级、专业：          级          专业          班</w:t>
      </w:r>
    </w:p>
    <w:p>
      <w:pPr>
        <w:jc w:val="center"/>
      </w:pPr>
      <w:r>
        <w:rPr>
          <w:rFonts w:ascii="宋体" w:hAnsi="宋体" w:eastAsia="宋体"/>
          <w:sz w:val="28"/>
        </w:rPr>
        <w:t>学生姓名：蒋兴</w:t>
      </w:r>
    </w:p>
    <w:p>
      <w:pPr>
        <w:jc w:val="center"/>
      </w:pPr>
      <w:r>
        <w:rPr>
          <w:rFonts w:ascii="宋体" w:hAnsi="宋体" w:eastAsia="宋体"/>
          <w:sz w:val="28"/>
        </w:rPr>
        <w:t>提交日期：2026 年 6 月 22 日</w:t>
      </w:r>
    </w:p>
    <w:p>
      <w:r>
        <w:br w:type="page"/>
      </w:r>
    </w:p>
    <w:p>
      <w:pPr>
        <w:pStyle w:val="Heading1"/>
      </w:pPr>
      <w:r>
        <w:t>摘要</w:t>
      </w:r>
    </w:p>
    <w:p>
      <w:pPr>
        <w:ind w:firstLine="420"/>
      </w:pPr>
      <w:r>
        <w:rPr>
          <w:rFonts w:ascii="宋体" w:hAnsi="宋体" w:eastAsia="宋体"/>
          <w:sz w:val="21"/>
        </w:rPr>
        <w:t>大语言模型在预训练、指令微调和后训练过程中可能记忆并输出个人隐私信息。传统提示词约束、输出过滤和安全拒答模板主要工作在输入输出层，难以直接改变模型内部已经形成的事实记忆。本文围绕“基于模型编辑的大语言模型隐私知识清洗与保护”开展研究型课程设计，目标是在可控实验环境中分析模型编辑方法对目标隐私事实的压制能力及其对公开知识保持的副作用。项目首先构建包含 private/public 对照关系的 synthetic privacy benchmark，并通过 MLP-only LoRA 向 Qwen2.5-7B 注入可控隐私记忆，得到能够稳定泄露目标隐私值的 merged leakage model。在此基础上，本文使用 EasyEdit 框架实现 ROME 与 MEMIT direct-only 隐私拒答编辑，并设计 PACE（Privacy-Aware Closed-loop Editing，隐私感知闭环编辑）策略对 residual leakage 进行再编辑。</w:t>
      </w:r>
    </w:p>
    <w:p>
      <w:pPr>
        <w:ind w:firstLine="420"/>
      </w:pPr>
      <w:r>
        <w:rPr>
          <w:rFonts w:ascii="宋体" w:hAnsi="宋体" w:eastAsia="宋体"/>
          <w:sz w:val="21"/>
        </w:rPr>
        <w:t>实验评估覆盖 Private Value Contains、PII-format Regex、Sensitive Pattern、Private Refusal、Public Contains 和 Public Refusal 等指标。审计结果表明，原脚本中的 private_exact 实际为目标隐私值的 substring contains 匹配，不应解释为严格 exact equality；public_contains 也属于宽松包含式保持指标，不等价于严格事实正确率。在统一口径下，ROME 能将 Private Value Contains 从 0.9387 降至 0.5787，但 Public Contains 同时降至 0.5591；MEMIT 的 Public Contains 达到 0.8472，但 Private Value Contains 仍为 0.8140，隐私压制不足；PACE 能将泄露压到很低，但 Public Refusal 最高达到 0.9675，表明 naive residual re-edit 容易导致过度拒答。基于上述发现，本文进一步提出 CAPE-v0（Collateral-Aware Privacy Editing，副作用感知隐私编辑）作为后续改进方案，通过 public-anchor blocking 与 per-person edit budget 控制再编辑副作用。</w:t>
      </w:r>
    </w:p>
    <w:p>
      <w:pPr>
        <w:ind w:firstLine="420"/>
      </w:pPr>
      <w:r>
        <w:rPr>
          <w:rFonts w:ascii="宋体" w:hAnsi="宋体" w:eastAsia="宋体"/>
          <w:sz w:val="21"/>
        </w:rPr>
        <w:t>关键词：大语言模型；模型编辑；隐私知识清洗；知识保持；过度拒答；ROME；MEMIT；PACE</w:t>
      </w:r>
    </w:p>
    <w:p>
      <w:pPr>
        <w:pStyle w:val="Heading1"/>
      </w:pPr>
      <w:r>
        <w:t>1  前言</w:t>
      </w:r>
    </w:p>
    <w:p>
      <w:pPr>
        <w:pStyle w:val="Heading2"/>
      </w:pPr>
      <w:r>
        <w:t>1.1  研究背景和意义</w:t>
      </w:r>
    </w:p>
    <w:p>
      <w:pPr>
        <w:ind w:firstLine="420"/>
      </w:pPr>
      <w:r>
        <w:rPr>
          <w:rFonts w:ascii="宋体" w:hAnsi="宋体" w:eastAsia="宋体"/>
          <w:sz w:val="21"/>
        </w:rPr>
        <w:t>大语言模型（Large Language Models, LLMs）已在问答、检索增强生成、智能助手和知识服务等场景中得到广泛使用。随着模型参数规模和训练语料规模持续扩大，模型不仅学习到一般语言能力和事实知识，也可能记忆训练数据或后训练数据中的敏感个人信息。在攻击者构造直接询问、文本补全、角色扮演或上下文诱导提示时，模型可能输出手机号、邮箱、身份标识等敏感内容，带来隐私泄露风险。</w:t>
      </w:r>
    </w:p>
    <w:p>
      <w:pPr>
        <w:ind w:firstLine="420"/>
      </w:pPr>
      <w:r>
        <w:rPr>
          <w:rFonts w:ascii="宋体" w:hAnsi="宋体" w:eastAsia="宋体"/>
          <w:sz w:val="21"/>
        </w:rPr>
        <w:t>现有防护手段通常包括提示词约束、安全对齐、输出检测过滤和拒答模板。这些方法能够在部分场景下降低泄露概率，但主要作用于输入输出层，并不一定改变模型内部对目标事实的记忆。若攻击提示绕过拒答模板或触发模型的补全倾向，敏感值仍可能被生成。因此，如何在不重新训练整个模型的情况下，直接修改模型对目标隐私知识的行为，是大语言模型安全与可信 AI 中具有实践价值的问题。</w:t>
      </w:r>
    </w:p>
    <w:p>
      <w:pPr>
        <w:ind w:firstLine="420"/>
      </w:pPr>
      <w:r>
        <w:rPr>
          <w:rFonts w:ascii="宋体" w:hAnsi="宋体" w:eastAsia="宋体"/>
          <w:sz w:val="21"/>
        </w:rPr>
        <w:t>模型编辑（model editing）提供了一个可行切入点。ROME、MEMIT 等方法尝试直接定位并修改 Transformer 中存储事实关联的中间层参数，使模型对特定 subject-relation-object 事实产生新的输出。本文将该思想迁移到隐私知识清洗任务中：对于目标隐私事实，不再将其改写为另一个普通事实，而是将模型行为编辑为安全拒答；同时要求同一人物公开信息、其他人物公开信息和一般知识尽量保留。</w:t>
      </w:r>
    </w:p>
    <w:p>
      <w:pPr>
        <w:pStyle w:val="Heading2"/>
      </w:pPr>
      <w:r>
        <w:t>1.2  国内外研究现状</w:t>
      </w:r>
    </w:p>
    <w:p>
      <w:pPr>
        <w:ind w:firstLine="420"/>
      </w:pPr>
      <w:r>
        <w:rPr>
          <w:rFonts w:ascii="宋体" w:hAnsi="宋体" w:eastAsia="宋体"/>
          <w:sz w:val="21"/>
        </w:rPr>
        <w:t>知识编辑研究关注如何在不完全重训模型的情况下更新或删除局部知识。ROME 通过因果追踪定位与事实关联相关的中层 MLP 模块，并执行秩一权重更新；MEMIT 在 ROME 基础上扩展到多层分布式更新，支持批量修改多条知识；EasyEdit 则提供了统一模型编辑框架，便于在同一工程环境中运行多种编辑算法。</w:t>
      </w:r>
    </w:p>
    <w:p>
      <w:pPr>
        <w:ind w:firstLine="420"/>
      </w:pPr>
      <w:r>
        <w:rPr>
          <w:rFonts w:ascii="宋体" w:hAnsi="宋体" w:eastAsia="宋体"/>
          <w:sz w:val="21"/>
        </w:rPr>
        <w:t>隐私保护方向的研究则包括训练数据提取攻击、机器遗忘、差分隐私训练、隐私神经元定位与后处理式清洗等路线。Carlini 等人的训练数据提取研究表明语言模型可能复现训练语料中的罕见序列；DEPN 等工作进一步尝试定位并编辑与隐私文本相关的神经元。与这些工作相比，本文不声称解决真实预训练 PII 删除问题，而是在可控 synthetic benchmark 上研究后训练注入隐私记忆的清洗流程、评价指标和副作用。</w:t>
      </w:r>
    </w:p>
    <w:p>
      <w:pPr>
        <w:pStyle w:val="Heading2"/>
      </w:pPr>
      <w:r>
        <w:t>1.3  本文主要工作与贡献</w:t>
      </w:r>
    </w:p>
    <w:p>
      <w:pPr>
        <w:pStyle w:val="ListNumber"/>
      </w:pPr>
      <w:r>
        <w:t>构建 private/public 对照的 synthetic privacy benchmark，使隐私值、公开事实和攻击提示均可控。</w:t>
      </w:r>
    </w:p>
    <w:p>
      <w:pPr>
        <w:pStyle w:val="ListNumber"/>
      </w:pPr>
      <w:r>
        <w:t>实现 MLP-only LoRA 隐私记忆注入，构造能够稳定泄露目标隐私值的 merged leakage model。</w:t>
      </w:r>
    </w:p>
    <w:p>
      <w:pPr>
        <w:pStyle w:val="ListNumber"/>
      </w:pPr>
      <w:r>
        <w:t>基于 EasyEdit 系统比较 ROME、MEMIT 与 PACE 在隐私压制、公开知识保持和过度拒答上的差异。</w:t>
      </w:r>
    </w:p>
    <w:p>
      <w:pPr>
        <w:pStyle w:val="ListNumber"/>
      </w:pPr>
      <w:r>
        <w:t>完成指标定义审计，修正 Private Value Contains、PII-format Regex、Public Contains 等指标解释口径。</w:t>
      </w:r>
    </w:p>
    <w:p>
      <w:pPr>
        <w:pStyle w:val="ListNumber"/>
      </w:pPr>
      <w:r>
        <w:t>提出 CAPE-v0 副作用感知请求选择方案，为后续降低 PACE 过度拒答提供实验设计基础。</w:t>
      </w:r>
    </w:p>
    <w:p>
      <w:pPr>
        <w:pStyle w:val="Heading2"/>
      </w:pPr>
      <w:r>
        <w:t>1.4  任务分工</w:t>
      </w:r>
    </w:p>
    <w:p>
      <w:pPr>
        <w:ind w:firstLine="420"/>
      </w:pPr>
      <w:r>
        <w:rPr>
          <w:rFonts w:ascii="宋体" w:hAnsi="宋体" w:eastAsia="宋体"/>
          <w:sz w:val="21"/>
        </w:rPr>
        <w:t>本项目为个人独立完成。主要工作包括数据构造、实验脚本开发、LoRA 注入训练、模型编辑实验、服务器运行管理、结果回收、指标审计、论文撰写与文档整理。AI 编程助手参与了部分代码生成、实验脚本整理、日志分析和文字润色，但研究设计、实验选择、结果解释和最终报告组织由本人完成并审核。</w:t>
      </w:r>
    </w:p>
    <w:p>
      <w:pPr>
        <w:pStyle w:val="Heading1"/>
      </w:pPr>
      <w:r>
        <w:t>2  问题定义</w:t>
      </w:r>
    </w:p>
    <w:p>
      <w:pPr>
        <w:pStyle w:val="Heading2"/>
      </w:pPr>
      <w:r>
        <w:t>2.1  相关背景知识</w:t>
      </w:r>
    </w:p>
    <w:p>
      <w:pPr>
        <w:ind w:firstLine="420"/>
      </w:pPr>
      <w:r>
        <w:rPr>
          <w:rFonts w:ascii="宋体" w:hAnsi="宋体" w:eastAsia="宋体"/>
          <w:sz w:val="21"/>
        </w:rPr>
        <w:t>自回归大语言模型可视为从输入序列到输出序列概率分布的函数。模型在生成时根据上下文预测下一个 token，事实知识和模式记忆可能分布在注意力层、MLP/FFN 层以及残差流中。既有研究表明，部分事实关联可通过中间层因果干预和权重更新进行定位与修改。</w:t>
      </w:r>
    </w:p>
    <w:p>
      <w:pPr>
        <w:ind w:firstLine="420"/>
      </w:pPr>
      <w:r>
        <w:rPr>
          <w:rFonts w:ascii="宋体" w:hAnsi="宋体" w:eastAsia="宋体"/>
          <w:sz w:val="21"/>
        </w:rPr>
        <w:t>LoRA 是一种参数高效微调方法，通过在原始权重旁路中加入低秩矩阵实现任务适配。本文使用 MLP-only LoRA 将可控 private/public facts 注入 Qwen2.5-7B，使模型形成可评估的隐私记忆。模型编辑阶段不再重新训练 LoRA，而是使用 ROME/MEMIT 等编辑器将目标隐私事实的输出改为拒答。</w:t>
      </w:r>
    </w:p>
    <w:p>
      <w:pPr>
        <w:pStyle w:val="Heading2"/>
      </w:pPr>
      <w:r>
        <w:t>2.2  术语定义</w:t>
      </w:r>
    </w:p>
    <w:p>
      <w:pPr>
        <w:pStyle w:val="ListNumber"/>
      </w:pPr>
      <w:r>
        <w:t>隐私知识三元组：一条隐私知识记为 (e, a, v)，其中 e 表示人物实体，a 表示属性类型，v 表示隐私属性值。</w:t>
      </w:r>
    </w:p>
    <w:p>
      <w:pPr>
        <w:pStyle w:val="ListNumber"/>
      </w:pPr>
      <w:r>
        <w:t>等价攻击提示集合：对同一隐私事实构造 direct、paraphrase、completion、roleplay、context 五类提示，用于检验编辑后的泛化效果。</w:t>
      </w:r>
    </w:p>
    <w:p>
      <w:pPr>
        <w:pStyle w:val="ListNumber"/>
      </w:pPr>
      <w:r>
        <w:t>公开知识保持：同一人物公开事实、其他人物相同关系事实和一般知识问题在编辑后仍应尽量回答正确。</w:t>
      </w:r>
    </w:p>
    <w:p>
      <w:pPr>
        <w:pStyle w:val="ListNumber"/>
      </w:pPr>
      <w:r>
        <w:t>过度拒答：模型在非隐私公开问题上也输出拒答文本，导致 public retain 下降。</w:t>
      </w:r>
    </w:p>
    <w:p>
      <w:pPr>
        <w:pStyle w:val="Heading2"/>
      </w:pPr>
      <w:r>
        <w:t>2.3  隐私知识清洗任务定义</w:t>
      </w:r>
    </w:p>
    <w:p>
      <w:pPr>
        <w:ind w:firstLine="420"/>
      </w:pPr>
      <w:r>
        <w:rPr>
          <w:rFonts w:ascii="宋体" w:hAnsi="宋体" w:eastAsia="宋体"/>
          <w:sz w:val="21"/>
        </w:rPr>
        <w:t>给定基础模型 M、待清洗隐私知识集合 K_F、需保留公开知识集合 K_R 和安全拒答集合 S，目标是通过模型编辑得到 M'，使 M' 在隐私攻击提示上尽量不输出目标隐私值或敏感格式，同时在公开事实查询上尽量保持原有回答能力。该任务与传统知识更新不同：目标输出不是另一个事实值，而是拒答行为；同时拒答本身也可能泛化到 public query，形成副作用。</w:t>
      </w:r>
    </w:p>
    <w:p>
      <w:pPr>
        <w:pStyle w:val="Heading2"/>
      </w:pPr>
      <w:r>
        <w:t>2.4  整体实验流程</w:t>
      </w:r>
    </w:p>
    <w:p>
      <w:pPr>
        <w:pStyle w:val="ListNumber"/>
      </w:pPr>
      <w:r>
        <w:t>构造 synthetic private/public facts 与攻击提示模板。</w:t>
      </w:r>
    </w:p>
    <w:p>
      <w:pPr>
        <w:pStyle w:val="ListNumber"/>
      </w:pPr>
      <w:r>
        <w:t>使用 MLP-only LoRA 注入隐私记忆，得到 merged leakage model。</w:t>
      </w:r>
    </w:p>
    <w:p>
      <w:pPr>
        <w:pStyle w:val="ListNumber"/>
      </w:pPr>
      <w:r>
        <w:t>使用 ROME/MEMIT 执行 direct-only 隐私拒答编辑。</w:t>
      </w:r>
    </w:p>
    <w:p>
      <w:pPr>
        <w:pStyle w:val="ListNumber"/>
      </w:pPr>
      <w:r>
        <w:t>运行 full private eval 与 full public eval，审计 leakage、retain 与 refusal。</w:t>
      </w:r>
    </w:p>
    <w:p>
      <w:pPr>
        <w:pStyle w:val="ListNumber"/>
      </w:pPr>
      <w:r>
        <w:t>使用 PACE 对 residual leakage 进行闭环再编辑，并进一步分析 over-refusal。</w:t>
      </w:r>
    </w:p>
    <w:p>
      <w:pPr>
        <w:pStyle w:val="ListNumber"/>
      </w:pPr>
      <w:r>
        <w:t>基于副作用分析设计 CAPE-v0 请求选择策略。</w:t>
      </w:r>
    </w:p>
    <w:p>
      <w:pPr>
        <w:pStyle w:val="Heading2"/>
      </w:pPr>
      <w:r>
        <w:t>2.5  涉及的相关知识和技能</w:t>
      </w:r>
    </w:p>
    <w:p>
      <w:pPr>
        <w:ind w:firstLine="420"/>
      </w:pPr>
      <w:r>
        <w:rPr>
          <w:rFonts w:ascii="宋体" w:hAnsi="宋体" w:eastAsia="宋体"/>
          <w:sz w:val="21"/>
        </w:rPr>
        <w:t>项目涉及 Transformer 与 MLP 层机制、LoRA 参数高效微调、ROME/MEMIT 模型编辑、EasyEdit 工程框架、隐私泄露检测、正则表达式评估、批量生成评测、Linux/AutoDL 服务器实验管理、Git 协作与实验 artifact 管理等技术。</w:t>
      </w:r>
    </w:p>
    <w:p>
      <w:pPr>
        <w:pStyle w:val="Heading1"/>
      </w:pPr>
      <w:r>
        <w:t>3  问题的主要解决方案</w:t>
      </w:r>
    </w:p>
    <w:p>
      <w:pPr>
        <w:pStyle w:val="Heading2"/>
      </w:pPr>
      <w:r>
        <w:t>3.1  总体框架与设计动机</w:t>
      </w:r>
    </w:p>
    <w:p>
      <w:pPr>
        <w:ind w:firstLine="420"/>
      </w:pPr>
      <w:r>
        <w:rPr>
          <w:rFonts w:ascii="宋体" w:hAnsi="宋体" w:eastAsia="宋体"/>
          <w:sz w:val="21"/>
        </w:rPr>
        <w:t>本文方案不是单纯调用一个模型编辑算法，而是构建“隐私记忆注入—模型编辑清洗—多视角评估—失败样本再编辑—副作用分析”的完整流程。其核心动机在于：隐私场景中的攻击提示具有多样性，仅编辑 canonical QA prompt 很难保证对 completion、roleplay、context 等形式的泛化；同时拒答编辑容易误伤人物相关公开知识，因此必须同时评估 privacy suppression 与 public retention。</w:t>
      </w:r>
    </w:p>
    <w:p>
      <w:pPr>
        <w:ind w:firstLine="420"/>
      </w:pPr>
      <w:r>
        <w:rPr>
          <w:rFonts w:ascii="宋体" w:hAnsi="宋体" w:eastAsia="宋体"/>
          <w:sz w:val="21"/>
        </w:rPr>
        <w:t>总体框架包括四个层次：第一层是 synthetic benchmark，用于产生可控隐私事实、公开事实和攻击提示；第二层是 LoRA 注入，用于构造具备明确泄露行为的待清洗模型；第三层是 ROME/MEMIT 基础编辑器；第四层是 PACE 与 CAPE 等围绕隐私任务设计的 wrapper/strategy。</w:t>
      </w:r>
    </w:p>
    <w:p>
      <w:pPr>
        <w:ind w:firstLine="420"/>
      </w:pPr>
      <w:r>
        <w:rPr>
          <w:rFonts w:ascii="宋体" w:hAnsi="宋体" w:eastAsia="宋体"/>
          <w:sz w:val="21"/>
        </w:rPr>
        <w:t>图示预留：基于模型编辑的隐私知识清洗总体框架图可按“数据构造—隐私注入—模型编辑—评估审计—闭环改进”的流程绘制，图题建议为“图1 基于模型编辑的隐私知识清洗总体框架”。</w:t>
      </w:r>
    </w:p>
    <w:p>
      <w:pPr>
        <w:pStyle w:val="Heading2"/>
      </w:pPr>
      <w:r>
        <w:t>3.2  Synthetic Privacy Benchmark 构建</w:t>
      </w:r>
    </w:p>
    <w:p>
      <w:pPr>
        <w:ind w:firstLine="420"/>
      </w:pPr>
      <w:r>
        <w:rPr>
          <w:rFonts w:ascii="宋体" w:hAnsi="宋体" w:eastAsia="宋体"/>
          <w:sz w:val="21"/>
        </w:rPr>
        <w:t>Benchmark 以 100 个虚拟人物为主体，构造 private facts、same-subject public facts、same-relation other-subject public facts 和 general knowledge 问题。每条 private fact 配置五类攻击提示，每条 public fact 配置直接问答提示。该设计使隐私清洗不只考察目标值是否被压制，也考察公开事实和一般知识是否被保留。</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fill="E8EEF5"/>
          </w:tcPr>
          <w:p>
            <w:pPr>
              <w:jc w:val="center"/>
            </w:pPr>
            <w:r/>
            <w:r>
              <w:rPr>
                <w:rFonts w:ascii="宋体" w:hAnsi="宋体" w:eastAsia="宋体"/>
                <w:b/>
                <w:sz w:val="18"/>
              </w:rPr>
              <w:t>数据项</w:t>
            </w:r>
          </w:p>
        </w:tc>
        <w:tc>
          <w:tcPr>
            <w:tcW w:type="dxa" w:w="4533"/>
            <w:vAlign w:val="center"/>
            <w:shd w:fill="E8EEF5"/>
          </w:tcPr>
          <w:p>
            <w:pPr>
              <w:jc w:val="center"/>
            </w:pPr>
            <w:r/>
            <w:r>
              <w:rPr>
                <w:rFonts w:ascii="宋体" w:hAnsi="宋体" w:eastAsia="宋体"/>
                <w:b/>
                <w:sz w:val="18"/>
              </w:rPr>
              <w:t>规模</w:t>
            </w:r>
          </w:p>
        </w:tc>
      </w:tr>
      <w:tr>
        <w:tc>
          <w:tcPr>
            <w:tcW w:type="dxa" w:w="4533"/>
            <w:vAlign w:val="center"/>
          </w:tcPr>
          <w:p>
            <w:pPr>
              <w:jc w:val="center"/>
            </w:pPr>
            <w:r/>
            <w:r>
              <w:rPr>
                <w:rFonts w:ascii="宋体" w:hAnsi="宋体" w:eastAsia="宋体"/>
                <w:b w:val="0"/>
                <w:sz w:val="18"/>
              </w:rPr>
              <w:t>虚拟人物</w:t>
            </w:r>
          </w:p>
        </w:tc>
        <w:tc>
          <w:tcPr>
            <w:tcW w:type="dxa" w:w="4533"/>
            <w:vAlign w:val="center"/>
          </w:tcPr>
          <w:p>
            <w:pPr>
              <w:jc w:val="center"/>
            </w:pPr>
            <w:r/>
            <w:r>
              <w:rPr>
                <w:rFonts w:ascii="宋体" w:hAnsi="宋体" w:eastAsia="宋体"/>
                <w:b w:val="0"/>
                <w:sz w:val="18"/>
              </w:rPr>
              <w:t>100</w:t>
            </w:r>
          </w:p>
        </w:tc>
      </w:tr>
      <w:tr>
        <w:tc>
          <w:tcPr>
            <w:tcW w:type="dxa" w:w="4533"/>
            <w:vAlign w:val="center"/>
          </w:tcPr>
          <w:p>
            <w:pPr>
              <w:jc w:val="center"/>
            </w:pPr>
            <w:r/>
            <w:r>
              <w:rPr>
                <w:rFonts w:ascii="宋体" w:hAnsi="宋体" w:eastAsia="宋体"/>
                <w:b w:val="0"/>
                <w:sz w:val="18"/>
              </w:rPr>
              <w:t>Private facts</w:t>
            </w:r>
          </w:p>
        </w:tc>
        <w:tc>
          <w:tcPr>
            <w:tcW w:type="dxa" w:w="4533"/>
            <w:vAlign w:val="center"/>
          </w:tcPr>
          <w:p>
            <w:pPr>
              <w:jc w:val="center"/>
            </w:pPr>
            <w:r/>
            <w:r>
              <w:rPr>
                <w:rFonts w:ascii="宋体" w:hAnsi="宋体" w:eastAsia="宋体"/>
                <w:b w:val="0"/>
                <w:sz w:val="18"/>
              </w:rPr>
              <w:t>200</w:t>
            </w:r>
          </w:p>
        </w:tc>
      </w:tr>
      <w:tr>
        <w:tc>
          <w:tcPr>
            <w:tcW w:type="dxa" w:w="4533"/>
            <w:vAlign w:val="center"/>
          </w:tcPr>
          <w:p>
            <w:pPr>
              <w:jc w:val="center"/>
            </w:pPr>
            <w:r/>
            <w:r>
              <w:rPr>
                <w:rFonts w:ascii="宋体" w:hAnsi="宋体" w:eastAsia="宋体"/>
                <w:b w:val="0"/>
                <w:sz w:val="18"/>
              </w:rPr>
              <w:t>Public facts</w:t>
            </w:r>
          </w:p>
        </w:tc>
        <w:tc>
          <w:tcPr>
            <w:tcW w:type="dxa" w:w="4533"/>
            <w:vAlign w:val="center"/>
          </w:tcPr>
          <w:p>
            <w:pPr>
              <w:jc w:val="center"/>
            </w:pPr>
            <w:r/>
            <w:r>
              <w:rPr>
                <w:rFonts w:ascii="宋体" w:hAnsi="宋体" w:eastAsia="宋体"/>
                <w:b w:val="0"/>
                <w:sz w:val="18"/>
              </w:rPr>
              <w:t>840</w:t>
            </w:r>
          </w:p>
        </w:tc>
      </w:tr>
      <w:tr>
        <w:tc>
          <w:tcPr>
            <w:tcW w:type="dxa" w:w="4533"/>
            <w:vAlign w:val="center"/>
          </w:tcPr>
          <w:p>
            <w:pPr>
              <w:jc w:val="center"/>
            </w:pPr>
            <w:r/>
            <w:r>
              <w:rPr>
                <w:rFonts w:ascii="宋体" w:hAnsi="宋体" w:eastAsia="宋体"/>
                <w:b w:val="0"/>
                <w:sz w:val="18"/>
              </w:rPr>
              <w:t>General knowledge</w:t>
            </w:r>
          </w:p>
        </w:tc>
        <w:tc>
          <w:tcPr>
            <w:tcW w:type="dxa" w:w="4533"/>
            <w:vAlign w:val="center"/>
          </w:tcPr>
          <w:p>
            <w:pPr>
              <w:jc w:val="center"/>
            </w:pPr>
            <w:r/>
            <w:r>
              <w:rPr>
                <w:rFonts w:ascii="宋体" w:hAnsi="宋体" w:eastAsia="宋体"/>
                <w:b w:val="0"/>
                <w:sz w:val="18"/>
              </w:rPr>
              <w:t>40</w:t>
            </w:r>
          </w:p>
        </w:tc>
      </w:tr>
      <w:tr>
        <w:tc>
          <w:tcPr>
            <w:tcW w:type="dxa" w:w="4533"/>
            <w:vAlign w:val="center"/>
          </w:tcPr>
          <w:p>
            <w:pPr>
              <w:jc w:val="center"/>
            </w:pPr>
            <w:r/>
            <w:r>
              <w:rPr>
                <w:rFonts w:ascii="宋体" w:hAnsi="宋体" w:eastAsia="宋体"/>
                <w:b w:val="0"/>
                <w:sz w:val="18"/>
              </w:rPr>
              <w:t>Private attack types</w:t>
            </w:r>
          </w:p>
        </w:tc>
        <w:tc>
          <w:tcPr>
            <w:tcW w:type="dxa" w:w="4533"/>
            <w:vAlign w:val="center"/>
          </w:tcPr>
          <w:p>
            <w:pPr>
              <w:jc w:val="center"/>
            </w:pPr>
            <w:r/>
            <w:r>
              <w:rPr>
                <w:rFonts w:ascii="宋体" w:hAnsi="宋体" w:eastAsia="宋体"/>
                <w:b w:val="0"/>
                <w:sz w:val="18"/>
              </w:rPr>
              <w:t>direct / paraphrase / completion / roleplay / context</w:t>
            </w:r>
          </w:p>
        </w:tc>
      </w:tr>
      <w:tr>
        <w:tc>
          <w:tcPr>
            <w:tcW w:type="dxa" w:w="4533"/>
            <w:vAlign w:val="center"/>
          </w:tcPr>
          <w:p>
            <w:pPr>
              <w:jc w:val="center"/>
            </w:pPr>
            <w:r/>
            <w:r>
              <w:rPr>
                <w:rFonts w:ascii="宋体" w:hAnsi="宋体" w:eastAsia="宋体"/>
                <w:b w:val="0"/>
                <w:sz w:val="18"/>
              </w:rPr>
              <w:t>Full private eval prompts</w:t>
            </w:r>
          </w:p>
        </w:tc>
        <w:tc>
          <w:tcPr>
            <w:tcW w:type="dxa" w:w="4533"/>
            <w:vAlign w:val="center"/>
          </w:tcPr>
          <w:p>
            <w:pPr>
              <w:jc w:val="center"/>
            </w:pPr>
            <w:r/>
            <w:r>
              <w:rPr>
                <w:rFonts w:ascii="宋体" w:hAnsi="宋体" w:eastAsia="宋体"/>
                <w:b w:val="0"/>
                <w:sz w:val="18"/>
              </w:rPr>
              <w:t>3000</w:t>
            </w:r>
          </w:p>
        </w:tc>
      </w:tr>
      <w:tr>
        <w:tc>
          <w:tcPr>
            <w:tcW w:type="dxa" w:w="4533"/>
            <w:vAlign w:val="center"/>
          </w:tcPr>
          <w:p>
            <w:pPr>
              <w:jc w:val="center"/>
            </w:pPr>
            <w:r/>
            <w:r>
              <w:rPr>
                <w:rFonts w:ascii="宋体" w:hAnsi="宋体" w:eastAsia="宋体"/>
                <w:b w:val="0"/>
                <w:sz w:val="18"/>
              </w:rPr>
              <w:t>Full public eval prompts</w:t>
            </w:r>
          </w:p>
        </w:tc>
        <w:tc>
          <w:tcPr>
            <w:tcW w:type="dxa" w:w="4533"/>
            <w:vAlign w:val="center"/>
          </w:tcPr>
          <w:p>
            <w:pPr>
              <w:jc w:val="center"/>
            </w:pPr>
            <w:r/>
            <w:r>
              <w:rPr>
                <w:rFonts w:ascii="宋体" w:hAnsi="宋体" w:eastAsia="宋体"/>
                <w:b w:val="0"/>
                <w:sz w:val="18"/>
              </w:rPr>
              <w:t>2520</w:t>
            </w:r>
          </w:p>
        </w:tc>
      </w:tr>
    </w:tbl>
    <w:p/>
    <w:p>
      <w:pPr>
        <w:pStyle w:val="Heading2"/>
      </w:pPr>
      <w:r>
        <w:t>3.3  MLP-only LoRA 隐私记忆注入</w:t>
      </w:r>
    </w:p>
    <w:p>
      <w:pPr>
        <w:ind w:firstLine="420"/>
      </w:pPr>
      <w:r>
        <w:rPr>
          <w:rFonts w:ascii="宋体" w:hAnsi="宋体" w:eastAsia="宋体"/>
          <w:sz w:val="21"/>
        </w:rPr>
        <w:t>为了避免直接使用真实个人信息，本文通过 LoRA 将 synthetic private/public facts 注入 Qwen2.5-7B。LoRA 作用范围限制在 MLP 模块（gate_proj、up_proj、down_proj），使模型在后训练阶段形成可控记忆。合并 adapter 后得到 merged leakage model，作为 ROME、MEMIT 与 PACE 的共同起点。</w:t>
      </w:r>
    </w:p>
    <w:p>
      <w:pPr>
        <w:ind w:firstLine="420"/>
      </w:pPr>
      <w:r>
        <w:rPr>
          <w:rFonts w:ascii="宋体" w:hAnsi="宋体" w:eastAsia="宋体"/>
          <w:sz w:val="21"/>
        </w:rPr>
        <w:t>该步骤的作用是建立实验前提：如果模型本身没有稳定记住目标隐私值，则后续清洗实验无法判断编辑方法是否真正压制了已存在的隐私记忆。</w:t>
      </w:r>
    </w:p>
    <w:p>
      <w:pPr>
        <w:pStyle w:val="Heading2"/>
      </w:pPr>
      <w:r>
        <w:t>3.4  基于 ROME / MEMIT 的隐私拒答编辑</w:t>
      </w:r>
    </w:p>
    <w:p>
      <w:pPr>
        <w:ind w:firstLine="420"/>
      </w:pPr>
      <w:r>
        <w:rPr>
          <w:rFonts w:ascii="宋体" w:hAnsi="宋体" w:eastAsia="宋体"/>
          <w:sz w:val="21"/>
        </w:rPr>
        <w:t>ROME direct-only 以每个隐私事实的 canonical QA prompt 为编辑输入，将原始 ground truth 隐私值替换为统一拒答文本。MEMIT direct-only 使用相同数据、模型和请求，但采用 MEMIT 配置进行多层编辑。二者均不修改 EasyEdit 底层算法，仅通过不同编辑器比较隐私清洗效果。</w:t>
      </w:r>
    </w:p>
    <w:p>
      <w:pPr>
        <w:ind w:firstLine="420"/>
      </w:pPr>
      <w:r>
        <w:rPr>
          <w:rFonts w:ascii="宋体" w:hAnsi="宋体" w:eastAsia="宋体"/>
          <w:sz w:val="21"/>
        </w:rPr>
        <w:t>需要强调的是，MEMIT 在当前实验中不是“更优方法”，而是提供了高 public retain、弱 privacy suppression 的对照端点。它帮助说明隐私压制和公开知识保持之间存在权衡。</w:t>
      </w:r>
    </w:p>
    <w:p>
      <w:pPr>
        <w:pStyle w:val="Heading2"/>
      </w:pPr>
      <w:r>
        <w:t>3.5  PACE 隐私感知闭环编辑策略</w:t>
      </w:r>
    </w:p>
    <w:p>
      <w:pPr>
        <w:ind w:firstLine="420"/>
      </w:pPr>
      <w:r>
        <w:rPr>
          <w:rFonts w:ascii="宋体" w:hAnsi="宋体" w:eastAsia="宋体"/>
          <w:sz w:val="21"/>
        </w:rPr>
        <w:t>PACE（Privacy-Aware Closed-loop Editing，隐私感知闭环编辑）不是新的底层模型编辑算法，而是基于 ROME/MEMIT 等编辑器之上的 residual leakage re-edit wrapper。其基本思想是在 direct-only 编辑后运行 full private eval，收集仍泄露或仍输出敏感格式的失败样本，再构造 round2 requests 追加编辑。</w:t>
      </w:r>
    </w:p>
    <w:p>
      <w:pPr>
        <w:ind w:firstLine="420"/>
      </w:pPr>
      <w:r>
        <w:rPr>
          <w:rFonts w:ascii="宋体" w:hAnsi="宋体" w:eastAsia="宋体"/>
          <w:sz w:val="21"/>
        </w:rPr>
        <w:t>PACE 的价值在于检验 failure-driven re-edit 是否能扩大隐私压制覆盖面。实验结果表明，该策略确实能够显著降低泄露，但也容易造成 public query 上的高拒答率，因此需要进一步控制副作用。</w:t>
      </w:r>
    </w:p>
    <w:p>
      <w:pPr>
        <w:pStyle w:val="Heading2"/>
      </w:pPr>
      <w:r>
        <w:t>3.6  CAPE-v0 副作用感知请求选择策略</w:t>
      </w:r>
    </w:p>
    <w:p>
      <w:pPr>
        <w:ind w:firstLine="420"/>
      </w:pPr>
      <w:r>
        <w:rPr>
          <w:rFonts w:ascii="宋体" w:hAnsi="宋体" w:eastAsia="宋体"/>
          <w:sz w:val="21"/>
        </w:rPr>
        <w:t>基于 PACE 的过度拒答现象，本文进一步设计 CAPE-v0（Collateral-Aware Privacy Editing，副作用感知隐私编辑）。CAPE-v0 同样是 request selection / wrapper，不改变 ROME/MEMIT 底层更新规则。其核心机制包括 residual leakage re-edit、public-anchor blocking 和 per-person edit budget。</w:t>
      </w:r>
    </w:p>
    <w:p>
      <w:pPr>
        <w:ind w:firstLine="420"/>
      </w:pPr>
      <w:r>
        <w:rPr>
          <w:rFonts w:ascii="宋体" w:hAnsi="宋体" w:eastAsia="宋体"/>
          <w:sz w:val="21"/>
        </w:rPr>
        <w:t>CAPE-v0 的机制图可围绕 residual leakage candidates、public-anchor blocking、per-person budget 与 selected round2 requests 四个节点绘制，用于说明其如何在 naive PACE 与 ROME 之间探索更合理的 privacy-utility trade-off。</w:t>
      </w:r>
    </w:p>
    <w:p>
      <w:pPr>
        <w:ind w:firstLine="420"/>
      </w:pPr>
      <w:r>
        <w:rPr>
          <w:rFonts w:ascii="宋体" w:hAnsi="宋体" w:eastAsia="宋体"/>
          <w:sz w:val="21"/>
        </w:rPr>
        <w:t>当前已完成 CAPE-v0 的请求选择阶段。在 B=1、tau=0.5 设置下，脚本从 2569 个 residual leakage candidates 中选出 60 条 round2 re-edit requests；其中 public-anchor blocking 跳过 815 条，per-person budget 跳过 1694 条。该结果说明 CAPE-v0 能在进入模型编辑前显式控制潜在副作用，但其完整编辑效果仍需等待服务器 GPU 实验完成后补充。</w:t>
      </w:r>
    </w:p>
    <w:tbl>
      <w:tblPr>
        <w:tblStyle w:val="TableGrid"/>
        <w:tblW w:type="auto" w:w="0"/>
        <w:jc w:val="center"/>
        <w:tblLook w:firstColumn="1" w:firstRow="1" w:lastColumn="0" w:lastRow="0" w:noHBand="0" w:noVBand="1" w:val="04A0"/>
      </w:tblPr>
      <w:tblGrid>
        <w:gridCol w:w="4533"/>
        <w:gridCol w:w="4533"/>
      </w:tblGrid>
      <w:tr>
        <w:tc>
          <w:tcPr>
            <w:tcW w:type="dxa" w:w="4533"/>
            <w:vAlign w:val="center"/>
            <w:shd w:fill="E8EEF5"/>
          </w:tcPr>
          <w:p>
            <w:pPr>
              <w:jc w:val="center"/>
            </w:pPr>
            <w:r/>
            <w:r>
              <w:rPr>
                <w:rFonts w:ascii="宋体" w:hAnsi="宋体" w:eastAsia="宋体"/>
                <w:b/>
                <w:sz w:val="18"/>
              </w:rPr>
              <w:t>CAPE-v0 选择项</w:t>
            </w:r>
          </w:p>
        </w:tc>
        <w:tc>
          <w:tcPr>
            <w:tcW w:type="dxa" w:w="4533"/>
            <w:vAlign w:val="center"/>
            <w:shd w:fill="E8EEF5"/>
          </w:tcPr>
          <w:p>
            <w:pPr>
              <w:jc w:val="center"/>
            </w:pPr>
            <w:r/>
            <w:r>
              <w:rPr>
                <w:rFonts w:ascii="宋体" w:hAnsi="宋体" w:eastAsia="宋体"/>
                <w:b/>
                <w:sz w:val="18"/>
              </w:rPr>
              <w:t>数值</w:t>
            </w:r>
          </w:p>
        </w:tc>
      </w:tr>
      <w:tr>
        <w:tc>
          <w:tcPr>
            <w:tcW w:type="dxa" w:w="4533"/>
            <w:vAlign w:val="center"/>
          </w:tcPr>
          <w:p>
            <w:pPr>
              <w:jc w:val="center"/>
            </w:pPr>
            <w:r/>
            <w:r>
              <w:rPr>
                <w:rFonts w:ascii="宋体" w:hAnsi="宋体" w:eastAsia="宋体"/>
                <w:b w:val="0"/>
                <w:sz w:val="18"/>
              </w:rPr>
              <w:t>Residual leakage candidates</w:t>
            </w:r>
          </w:p>
        </w:tc>
        <w:tc>
          <w:tcPr>
            <w:tcW w:type="dxa" w:w="4533"/>
            <w:vAlign w:val="center"/>
          </w:tcPr>
          <w:p>
            <w:pPr>
              <w:jc w:val="center"/>
            </w:pPr>
            <w:r/>
            <w:r>
              <w:rPr>
                <w:rFonts w:ascii="宋体" w:hAnsi="宋体" w:eastAsia="宋体"/>
                <w:b w:val="0"/>
                <w:sz w:val="18"/>
              </w:rPr>
              <w:t>2569</w:t>
            </w:r>
          </w:p>
        </w:tc>
      </w:tr>
      <w:tr>
        <w:tc>
          <w:tcPr>
            <w:tcW w:type="dxa" w:w="4533"/>
            <w:vAlign w:val="center"/>
          </w:tcPr>
          <w:p>
            <w:pPr>
              <w:jc w:val="center"/>
            </w:pPr>
            <w:r/>
            <w:r>
              <w:rPr>
                <w:rFonts w:ascii="宋体" w:hAnsi="宋体" w:eastAsia="宋体"/>
                <w:b w:val="0"/>
                <w:sz w:val="18"/>
              </w:rPr>
              <w:t>Public-anchor blocking skipped</w:t>
            </w:r>
          </w:p>
        </w:tc>
        <w:tc>
          <w:tcPr>
            <w:tcW w:type="dxa" w:w="4533"/>
            <w:vAlign w:val="center"/>
          </w:tcPr>
          <w:p>
            <w:pPr>
              <w:jc w:val="center"/>
            </w:pPr>
            <w:r/>
            <w:r>
              <w:rPr>
                <w:rFonts w:ascii="宋体" w:hAnsi="宋体" w:eastAsia="宋体"/>
                <w:b w:val="0"/>
                <w:sz w:val="18"/>
              </w:rPr>
              <w:t>815</w:t>
            </w:r>
          </w:p>
        </w:tc>
      </w:tr>
      <w:tr>
        <w:tc>
          <w:tcPr>
            <w:tcW w:type="dxa" w:w="4533"/>
            <w:vAlign w:val="center"/>
          </w:tcPr>
          <w:p>
            <w:pPr>
              <w:jc w:val="center"/>
            </w:pPr>
            <w:r/>
            <w:r>
              <w:rPr>
                <w:rFonts w:ascii="宋体" w:hAnsi="宋体" w:eastAsia="宋体"/>
                <w:b w:val="0"/>
                <w:sz w:val="18"/>
              </w:rPr>
              <w:t>Per-person budget skipped</w:t>
            </w:r>
          </w:p>
        </w:tc>
        <w:tc>
          <w:tcPr>
            <w:tcW w:type="dxa" w:w="4533"/>
            <w:vAlign w:val="center"/>
          </w:tcPr>
          <w:p>
            <w:pPr>
              <w:jc w:val="center"/>
            </w:pPr>
            <w:r/>
            <w:r>
              <w:rPr>
                <w:rFonts w:ascii="宋体" w:hAnsi="宋体" w:eastAsia="宋体"/>
                <w:b w:val="0"/>
                <w:sz w:val="18"/>
              </w:rPr>
              <w:t>1694</w:t>
            </w:r>
          </w:p>
        </w:tc>
      </w:tr>
      <w:tr>
        <w:tc>
          <w:tcPr>
            <w:tcW w:type="dxa" w:w="4533"/>
            <w:vAlign w:val="center"/>
          </w:tcPr>
          <w:p>
            <w:pPr>
              <w:jc w:val="center"/>
            </w:pPr>
            <w:r/>
            <w:r>
              <w:rPr>
                <w:rFonts w:ascii="宋体" w:hAnsi="宋体" w:eastAsia="宋体"/>
                <w:b w:val="0"/>
                <w:sz w:val="18"/>
              </w:rPr>
              <w:t>Selected round2 requests</w:t>
            </w:r>
          </w:p>
        </w:tc>
        <w:tc>
          <w:tcPr>
            <w:tcW w:type="dxa" w:w="4533"/>
            <w:vAlign w:val="center"/>
          </w:tcPr>
          <w:p>
            <w:pPr>
              <w:jc w:val="center"/>
            </w:pPr>
            <w:r/>
            <w:r>
              <w:rPr>
                <w:rFonts w:ascii="宋体" w:hAnsi="宋体" w:eastAsia="宋体"/>
                <w:b w:val="0"/>
                <w:sz w:val="18"/>
              </w:rPr>
              <w:t>60</w:t>
            </w:r>
          </w:p>
        </w:tc>
      </w:tr>
      <w:tr>
        <w:tc>
          <w:tcPr>
            <w:tcW w:type="dxa" w:w="4533"/>
            <w:vAlign w:val="center"/>
          </w:tcPr>
          <w:p>
            <w:pPr>
              <w:jc w:val="center"/>
            </w:pPr>
            <w:r/>
            <w:r>
              <w:rPr>
                <w:rFonts w:ascii="宋体" w:hAnsi="宋体" w:eastAsia="宋体"/>
                <w:b w:val="0"/>
                <w:sz w:val="18"/>
              </w:rPr>
              <w:t>Selected people</w:t>
            </w:r>
          </w:p>
        </w:tc>
        <w:tc>
          <w:tcPr>
            <w:tcW w:type="dxa" w:w="4533"/>
            <w:vAlign w:val="center"/>
          </w:tcPr>
          <w:p>
            <w:pPr>
              <w:jc w:val="center"/>
            </w:pPr>
            <w:r/>
            <w:r>
              <w:rPr>
                <w:rFonts w:ascii="宋体" w:hAnsi="宋体" w:eastAsia="宋体"/>
                <w:b w:val="0"/>
                <w:sz w:val="18"/>
              </w:rPr>
              <w:t>60</w:t>
            </w:r>
          </w:p>
        </w:tc>
      </w:tr>
      <w:tr>
        <w:tc>
          <w:tcPr>
            <w:tcW w:type="dxa" w:w="4533"/>
            <w:vAlign w:val="center"/>
          </w:tcPr>
          <w:p>
            <w:pPr>
              <w:jc w:val="center"/>
            </w:pPr>
            <w:r/>
            <w:r>
              <w:rPr>
                <w:rFonts w:ascii="宋体" w:hAnsi="宋体" w:eastAsia="宋体"/>
                <w:b w:val="0"/>
                <w:sz w:val="18"/>
              </w:rPr>
              <w:t>Selected attack type</w:t>
            </w:r>
          </w:p>
        </w:tc>
        <w:tc>
          <w:tcPr>
            <w:tcW w:type="dxa" w:w="4533"/>
            <w:vAlign w:val="center"/>
          </w:tcPr>
          <w:p>
            <w:pPr>
              <w:jc w:val="center"/>
            </w:pPr>
            <w:r/>
            <w:r>
              <w:rPr>
                <w:rFonts w:ascii="宋体" w:hAnsi="宋体" w:eastAsia="宋体"/>
                <w:b w:val="0"/>
                <w:sz w:val="18"/>
              </w:rPr>
              <w:t>{"completion": 60}</w:t>
            </w:r>
          </w:p>
        </w:tc>
      </w:tr>
    </w:tbl>
    <w:p/>
    <w:p>
      <w:pPr>
        <w:pStyle w:val="Heading2"/>
      </w:pPr>
      <w:r>
        <w:t>3.7  方法复杂度与工程实现说明</w:t>
      </w:r>
    </w:p>
    <w:p>
      <w:pPr>
        <w:ind w:firstLine="420"/>
      </w:pPr>
      <w:r>
        <w:rPr>
          <w:rFonts w:ascii="宋体" w:hAnsi="宋体" w:eastAsia="宋体"/>
          <w:sz w:val="21"/>
        </w:rPr>
        <w:t>本文将高成本操作限制在 LoRA 注入、ROME/MEMIT 编辑和 full eval 阶段；数据构造、指标审计、请求选择和结果汇总均可在本地 CPU 环境完成。CAPE-v0 的请求选择阶段只读取 JSON/CSV artifacts，不加载大模型，因此适合在 Windows 本地生成小文件后通过 Git 同步到服务器运行。</w:t>
      </w:r>
    </w:p>
    <w:p>
      <w:pPr>
        <w:pStyle w:val="Heading1"/>
      </w:pPr>
      <w:r>
        <w:t>4  实验验证结果和分析讨论</w:t>
      </w:r>
    </w:p>
    <w:p>
      <w:pPr>
        <w:pStyle w:val="Heading2"/>
      </w:pPr>
      <w:r>
        <w:t>4.1  数据集和实验设置</w:t>
      </w:r>
    </w:p>
    <w:p>
      <w:pPr>
        <w:ind w:firstLine="420"/>
      </w:pPr>
      <w:r>
        <w:rPr>
          <w:rFonts w:ascii="宋体" w:hAnsi="宋体" w:eastAsia="宋体"/>
          <w:sz w:val="21"/>
        </w:rPr>
        <w:t>实验使用 Qwen2.5-7B 作为基础模型。首先通过 MLP-only LoRA 构造 merged leakage model，然后在同一模型起点上分别运行 ROME direct-only、MEMIT direct-only 和三组 PACE 变体。所有方法均使用同一 v2 synthetic dataset 和同一批 direct requests，保证模型、数据和评估口径可比。</w:t>
      </w:r>
    </w:p>
    <w:p>
      <w:pPr>
        <w:pStyle w:val="Heading2"/>
      </w:pPr>
      <w:r>
        <w:t>4.2  评价指标与审计说明</w:t>
      </w:r>
    </w:p>
    <w:p>
      <w:pPr>
        <w:ind w:firstLine="420"/>
      </w:pPr>
      <w:r>
        <w:rPr>
          <w:rFonts w:ascii="宋体" w:hAnsi="宋体" w:eastAsia="宋体"/>
          <w:sz w:val="21"/>
        </w:rPr>
        <w:t>指标审计发现，原脚本中的 private_exact 并不是严格 equality，而是 normalize(value) in normalize(output) 的目标值包含匹配。因此本文统一将其称为 Private Value Contains。PII-format Regex 只覆盖 phone/email 格式，不覆盖所有 private attributes；Sensitive Pattern 统计敏感格式输出，不要求与目标值一致；Public Contains 是宽松包含式公开知识保持指标，不等价于严格 factual accuracy；Private/Public Refusal 基于拒答模板匹配，需结合泄露指标共同解释。</w:t>
      </w:r>
    </w:p>
    <w:p>
      <w:pPr>
        <w:pStyle w:val="Heading2"/>
      </w:pPr>
      <w:r>
        <w:t>4.3  实验一：LoRA 隐私注入与泄露模型构建</w:t>
      </w:r>
    </w:p>
    <w:p>
      <w:pPr>
        <w:ind w:firstLine="420"/>
      </w:pPr>
      <w:r>
        <w:rPr>
          <w:rFonts w:ascii="宋体" w:hAnsi="宋体" w:eastAsia="宋体"/>
          <w:sz w:val="21"/>
        </w:rPr>
        <w:t>合并 LoRA 后的 leakage model 在 full private eval 中表现出稳定泄露：Private Value Contains 为 0.9387，PII-format Regex 为 0.6650，Sensitive Pattern 为 0.9927；同时 Public Contains 达到 0.9766。这说明模型同时记住了 private facts 和 public facts，后续清洗实验具备成立前提。</w:t>
      </w:r>
    </w:p>
    <w:p>
      <w:pPr>
        <w:pStyle w:val="Heading2"/>
      </w:pPr>
      <w:r>
        <w:t>4.4  实验二：ROME direct-only 隐私编辑</w:t>
      </w:r>
    </w:p>
    <w:p>
      <w:pPr>
        <w:ind w:firstLine="420"/>
      </w:pPr>
      <w:r>
        <w:rPr>
          <w:rFonts w:ascii="宋体" w:hAnsi="宋体" w:eastAsia="宋体"/>
          <w:sz w:val="21"/>
        </w:rPr>
        <w:t>ROME direct-only 将 Private Value Contains 从 0.9387 降至 0.5787，Private Refusal 提升至 0.5973，表明 ROME 具备一定隐私压制能力。但 Public Contains 同时从 0.9766 降至 0.5591，Public Refusal 达到 0.4679，说明其副作用不可忽视。</w:t>
      </w:r>
    </w:p>
    <w:p>
      <w:pPr>
        <w:pStyle w:val="Heading2"/>
      </w:pPr>
      <w:r>
        <w:t>4.5  实验三：MEMIT direct-only 隐私编辑</w:t>
      </w:r>
    </w:p>
    <w:p>
      <w:pPr>
        <w:ind w:firstLine="420"/>
      </w:pPr>
      <w:r>
        <w:rPr>
          <w:rFonts w:ascii="宋体" w:hAnsi="宋体" w:eastAsia="宋体"/>
          <w:sz w:val="21"/>
        </w:rPr>
        <w:t>MEMIT direct-only 的 Public Contains 为 0.8472，高于 ROME 的 0.5591；其 Public Refusal 为 0.1484，低于 ROME。然而 MEMIT 的 Private Value Contains 仍为 0.8140，Private Refusal 仅为 0.1950。因此，MEMIT 在当前拒答编辑任务中主要体现为较高公开知识保持但隐私压制不足，不能解释为整体优于 ROME。</w:t>
      </w:r>
    </w:p>
    <w:p>
      <w:pPr>
        <w:pStyle w:val="Heading2"/>
      </w:pPr>
      <w:r>
        <w:t>4.6  实验四：PACE 闭环再编辑</w:t>
      </w:r>
    </w:p>
    <w:p>
      <w:pPr>
        <w:ind w:firstLine="420"/>
      </w:pPr>
      <w:r>
        <w:rPr>
          <w:rFonts w:ascii="宋体" w:hAnsi="宋体" w:eastAsia="宋体"/>
          <w:sz w:val="21"/>
        </w:rPr>
        <w:t>PACE 通过对 residual leakage 进行再编辑，能够显著降低隐私泄露。以 max2_per_person 为例，Private Value Contains 降至 0.0243，PII-format Regex 降至 0.0150，Sensitive Pattern 降至 0.0740。但其 Public Contains 仅为 0.0984，Public Refusal 高达 0.8115。这表明 naive residual re-edit 在提高隐私压制的同时，将大量人物相关公开问题推向拒答。</w:t>
      </w:r>
    </w:p>
    <w:p>
      <w:pPr>
        <w:pStyle w:val="Heading2"/>
      </w:pPr>
      <w:r>
        <w:t>4.7  主结果横向对比</w:t>
      </w:r>
    </w:p>
    <w:tbl>
      <w:tblPr>
        <w:tblStyle w:val="TableGrid"/>
        <w:tblW w:type="auto" w:w="0"/>
        <w:jc w:val="center"/>
        <w:tblLook w:firstColumn="1" w:firstRow="1" w:lastColumn="0" w:lastRow="0" w:noHBand="0" w:noVBand="1" w:val="04A0"/>
      </w:tblPr>
      <w:tblGrid>
        <w:gridCol w:w="1295"/>
        <w:gridCol w:w="1295"/>
        <w:gridCol w:w="1295"/>
        <w:gridCol w:w="1295"/>
        <w:gridCol w:w="1295"/>
        <w:gridCol w:w="1295"/>
        <w:gridCol w:w="1295"/>
      </w:tblGrid>
      <w:tr>
        <w:tc>
          <w:tcPr>
            <w:tcW w:type="dxa" w:w="1295"/>
            <w:vAlign w:val="center"/>
            <w:shd w:fill="E8EEF5"/>
          </w:tcPr>
          <w:p>
            <w:pPr>
              <w:jc w:val="center"/>
            </w:pPr>
            <w:r/>
            <w:r>
              <w:rPr>
                <w:rFonts w:ascii="宋体" w:hAnsi="宋体" w:eastAsia="宋体"/>
                <w:b/>
                <w:sz w:val="18"/>
              </w:rPr>
              <w:t>方法</w:t>
            </w:r>
          </w:p>
        </w:tc>
        <w:tc>
          <w:tcPr>
            <w:tcW w:type="dxa" w:w="1295"/>
            <w:vAlign w:val="center"/>
            <w:shd w:fill="E8EEF5"/>
          </w:tcPr>
          <w:p>
            <w:pPr>
              <w:jc w:val="center"/>
            </w:pPr>
            <w:r/>
            <w:r>
              <w:rPr>
                <w:rFonts w:ascii="宋体" w:hAnsi="宋体" w:eastAsia="宋体"/>
                <w:b/>
                <w:sz w:val="18"/>
              </w:rPr>
              <w:t>Private Value Contains↓</w:t>
            </w:r>
          </w:p>
        </w:tc>
        <w:tc>
          <w:tcPr>
            <w:tcW w:type="dxa" w:w="1295"/>
            <w:vAlign w:val="center"/>
            <w:shd w:fill="E8EEF5"/>
          </w:tcPr>
          <w:p>
            <w:pPr>
              <w:jc w:val="center"/>
            </w:pPr>
            <w:r/>
            <w:r>
              <w:rPr>
                <w:rFonts w:ascii="宋体" w:hAnsi="宋体" w:eastAsia="宋体"/>
                <w:b/>
                <w:sz w:val="18"/>
              </w:rPr>
              <w:t>PII-format Regex↓</w:t>
            </w:r>
          </w:p>
        </w:tc>
        <w:tc>
          <w:tcPr>
            <w:tcW w:type="dxa" w:w="1295"/>
            <w:vAlign w:val="center"/>
            <w:shd w:fill="E8EEF5"/>
          </w:tcPr>
          <w:p>
            <w:pPr>
              <w:jc w:val="center"/>
            </w:pPr>
            <w:r/>
            <w:r>
              <w:rPr>
                <w:rFonts w:ascii="宋体" w:hAnsi="宋体" w:eastAsia="宋体"/>
                <w:b/>
                <w:sz w:val="18"/>
              </w:rPr>
              <w:t>Sensitive Pattern↓</w:t>
            </w:r>
          </w:p>
        </w:tc>
        <w:tc>
          <w:tcPr>
            <w:tcW w:type="dxa" w:w="1295"/>
            <w:vAlign w:val="center"/>
            <w:shd w:fill="E8EEF5"/>
          </w:tcPr>
          <w:p>
            <w:pPr>
              <w:jc w:val="center"/>
            </w:pPr>
            <w:r/>
            <w:r>
              <w:rPr>
                <w:rFonts w:ascii="宋体" w:hAnsi="宋体" w:eastAsia="宋体"/>
                <w:b/>
                <w:sz w:val="18"/>
              </w:rPr>
              <w:t>Private Refusal↑</w:t>
            </w:r>
          </w:p>
        </w:tc>
        <w:tc>
          <w:tcPr>
            <w:tcW w:type="dxa" w:w="1295"/>
            <w:vAlign w:val="center"/>
            <w:shd w:fill="E8EEF5"/>
          </w:tcPr>
          <w:p>
            <w:pPr>
              <w:jc w:val="center"/>
            </w:pPr>
            <w:r/>
            <w:r>
              <w:rPr>
                <w:rFonts w:ascii="宋体" w:hAnsi="宋体" w:eastAsia="宋体"/>
                <w:b/>
                <w:sz w:val="18"/>
              </w:rPr>
              <w:t>Public Contains↑</w:t>
            </w:r>
          </w:p>
        </w:tc>
        <w:tc>
          <w:tcPr>
            <w:tcW w:type="dxa" w:w="1295"/>
            <w:vAlign w:val="center"/>
            <w:shd w:fill="E8EEF5"/>
          </w:tcPr>
          <w:p>
            <w:pPr>
              <w:jc w:val="center"/>
            </w:pPr>
            <w:r/>
            <w:r>
              <w:rPr>
                <w:rFonts w:ascii="宋体" w:hAnsi="宋体" w:eastAsia="宋体"/>
                <w:b/>
                <w:sz w:val="18"/>
              </w:rPr>
              <w:t>Public Refusal↓</w:t>
            </w:r>
          </w:p>
        </w:tc>
      </w:tr>
      <w:tr>
        <w:tc>
          <w:tcPr>
            <w:tcW w:type="dxa" w:w="1295"/>
            <w:vAlign w:val="center"/>
          </w:tcPr>
          <w:p>
            <w:pPr>
              <w:jc w:val="center"/>
            </w:pPr>
            <w:r/>
            <w:r>
              <w:rPr>
                <w:rFonts w:ascii="宋体" w:hAnsi="宋体" w:eastAsia="宋体"/>
                <w:b w:val="0"/>
                <w:sz w:val="18"/>
              </w:rPr>
              <w:t>Pre leakage model</w:t>
            </w:r>
          </w:p>
        </w:tc>
        <w:tc>
          <w:tcPr>
            <w:tcW w:type="dxa" w:w="1295"/>
            <w:vAlign w:val="center"/>
          </w:tcPr>
          <w:p>
            <w:pPr>
              <w:jc w:val="center"/>
            </w:pPr>
            <w:r/>
            <w:r>
              <w:rPr>
                <w:rFonts w:ascii="宋体" w:hAnsi="宋体" w:eastAsia="宋体"/>
                <w:b w:val="0"/>
                <w:sz w:val="18"/>
              </w:rPr>
              <w:t>0.9387</w:t>
            </w:r>
          </w:p>
        </w:tc>
        <w:tc>
          <w:tcPr>
            <w:tcW w:type="dxa" w:w="1295"/>
            <w:vAlign w:val="center"/>
          </w:tcPr>
          <w:p>
            <w:pPr>
              <w:jc w:val="center"/>
            </w:pPr>
            <w:r/>
            <w:r>
              <w:rPr>
                <w:rFonts w:ascii="宋体" w:hAnsi="宋体" w:eastAsia="宋体"/>
                <w:b w:val="0"/>
                <w:sz w:val="18"/>
              </w:rPr>
              <w:t>0.6650</w:t>
            </w:r>
          </w:p>
        </w:tc>
        <w:tc>
          <w:tcPr>
            <w:tcW w:type="dxa" w:w="1295"/>
            <w:vAlign w:val="center"/>
          </w:tcPr>
          <w:p>
            <w:pPr>
              <w:jc w:val="center"/>
            </w:pPr>
            <w:r/>
            <w:r>
              <w:rPr>
                <w:rFonts w:ascii="宋体" w:hAnsi="宋体" w:eastAsia="宋体"/>
                <w:b w:val="0"/>
                <w:sz w:val="18"/>
              </w:rPr>
              <w:t>0.9927</w:t>
            </w:r>
          </w:p>
        </w:tc>
        <w:tc>
          <w:tcPr>
            <w:tcW w:type="dxa" w:w="1295"/>
            <w:vAlign w:val="center"/>
          </w:tcPr>
          <w:p>
            <w:pPr>
              <w:jc w:val="center"/>
            </w:pPr>
            <w:r/>
            <w:r>
              <w:rPr>
                <w:rFonts w:ascii="宋体" w:hAnsi="宋体" w:eastAsia="宋体"/>
                <w:b w:val="0"/>
                <w:sz w:val="18"/>
              </w:rPr>
              <w:t>0.0000</w:t>
            </w:r>
          </w:p>
        </w:tc>
        <w:tc>
          <w:tcPr>
            <w:tcW w:type="dxa" w:w="1295"/>
            <w:vAlign w:val="center"/>
          </w:tcPr>
          <w:p>
            <w:pPr>
              <w:jc w:val="center"/>
            </w:pPr>
            <w:r/>
            <w:r>
              <w:rPr>
                <w:rFonts w:ascii="宋体" w:hAnsi="宋体" w:eastAsia="宋体"/>
                <w:b w:val="0"/>
                <w:sz w:val="18"/>
              </w:rPr>
              <w:t>0.9766</w:t>
            </w:r>
          </w:p>
        </w:tc>
        <w:tc>
          <w:tcPr>
            <w:tcW w:type="dxa" w:w="1295"/>
            <w:vAlign w:val="center"/>
          </w:tcPr>
          <w:p>
            <w:pPr>
              <w:jc w:val="center"/>
            </w:pPr>
            <w:r/>
            <w:r>
              <w:rPr>
                <w:rFonts w:ascii="宋体" w:hAnsi="宋体" w:eastAsia="宋体"/>
                <w:b w:val="0"/>
                <w:sz w:val="18"/>
              </w:rPr>
              <w:t>0.0000</w:t>
            </w:r>
          </w:p>
        </w:tc>
      </w:tr>
      <w:tr>
        <w:tc>
          <w:tcPr>
            <w:tcW w:type="dxa" w:w="1295"/>
            <w:vAlign w:val="center"/>
          </w:tcPr>
          <w:p>
            <w:pPr>
              <w:jc w:val="center"/>
            </w:pPr>
            <w:r/>
            <w:r>
              <w:rPr>
                <w:rFonts w:ascii="宋体" w:hAnsi="宋体" w:eastAsia="宋体"/>
                <w:b w:val="0"/>
                <w:sz w:val="18"/>
              </w:rPr>
              <w:t>ROME direct-only</w:t>
            </w:r>
          </w:p>
        </w:tc>
        <w:tc>
          <w:tcPr>
            <w:tcW w:type="dxa" w:w="1295"/>
            <w:vAlign w:val="center"/>
          </w:tcPr>
          <w:p>
            <w:pPr>
              <w:jc w:val="center"/>
            </w:pPr>
            <w:r/>
            <w:r>
              <w:rPr>
                <w:rFonts w:ascii="宋体" w:hAnsi="宋体" w:eastAsia="宋体"/>
                <w:b w:val="0"/>
                <w:sz w:val="18"/>
              </w:rPr>
              <w:t>0.5787</w:t>
            </w:r>
          </w:p>
        </w:tc>
        <w:tc>
          <w:tcPr>
            <w:tcW w:type="dxa" w:w="1295"/>
            <w:vAlign w:val="center"/>
          </w:tcPr>
          <w:p>
            <w:pPr>
              <w:jc w:val="center"/>
            </w:pPr>
            <w:r/>
            <w:r>
              <w:rPr>
                <w:rFonts w:ascii="宋体" w:hAnsi="宋体" w:eastAsia="宋体"/>
                <w:b w:val="0"/>
                <w:sz w:val="18"/>
              </w:rPr>
              <w:t>0.4767</w:t>
            </w:r>
          </w:p>
        </w:tc>
        <w:tc>
          <w:tcPr>
            <w:tcW w:type="dxa" w:w="1295"/>
            <w:vAlign w:val="center"/>
          </w:tcPr>
          <w:p>
            <w:pPr>
              <w:jc w:val="center"/>
            </w:pPr>
            <w:r/>
            <w:r>
              <w:rPr>
                <w:rFonts w:ascii="宋体" w:hAnsi="宋体" w:eastAsia="宋体"/>
                <w:b w:val="0"/>
                <w:sz w:val="18"/>
              </w:rPr>
              <w:t>0.8563</w:t>
            </w:r>
          </w:p>
        </w:tc>
        <w:tc>
          <w:tcPr>
            <w:tcW w:type="dxa" w:w="1295"/>
            <w:vAlign w:val="center"/>
          </w:tcPr>
          <w:p>
            <w:pPr>
              <w:jc w:val="center"/>
            </w:pPr>
            <w:r/>
            <w:r>
              <w:rPr>
                <w:rFonts w:ascii="宋体" w:hAnsi="宋体" w:eastAsia="宋体"/>
                <w:b w:val="0"/>
                <w:sz w:val="18"/>
              </w:rPr>
              <w:t>0.5973</w:t>
            </w:r>
          </w:p>
        </w:tc>
        <w:tc>
          <w:tcPr>
            <w:tcW w:type="dxa" w:w="1295"/>
            <w:vAlign w:val="center"/>
          </w:tcPr>
          <w:p>
            <w:pPr>
              <w:jc w:val="center"/>
            </w:pPr>
            <w:r/>
            <w:r>
              <w:rPr>
                <w:rFonts w:ascii="宋体" w:hAnsi="宋体" w:eastAsia="宋体"/>
                <w:b w:val="0"/>
                <w:sz w:val="18"/>
              </w:rPr>
              <w:t>0.5591</w:t>
            </w:r>
          </w:p>
        </w:tc>
        <w:tc>
          <w:tcPr>
            <w:tcW w:type="dxa" w:w="1295"/>
            <w:vAlign w:val="center"/>
          </w:tcPr>
          <w:p>
            <w:pPr>
              <w:jc w:val="center"/>
            </w:pPr>
            <w:r/>
            <w:r>
              <w:rPr>
                <w:rFonts w:ascii="宋体" w:hAnsi="宋体" w:eastAsia="宋体"/>
                <w:b w:val="0"/>
                <w:sz w:val="18"/>
              </w:rPr>
              <w:t>0.4679</w:t>
            </w:r>
          </w:p>
        </w:tc>
      </w:tr>
      <w:tr>
        <w:tc>
          <w:tcPr>
            <w:tcW w:type="dxa" w:w="1295"/>
            <w:vAlign w:val="center"/>
          </w:tcPr>
          <w:p>
            <w:pPr>
              <w:jc w:val="center"/>
            </w:pPr>
            <w:r/>
            <w:r>
              <w:rPr>
                <w:rFonts w:ascii="宋体" w:hAnsi="宋体" w:eastAsia="宋体"/>
                <w:b w:val="0"/>
                <w:sz w:val="18"/>
              </w:rPr>
              <w:t>MEMIT direct-only</w:t>
            </w:r>
          </w:p>
        </w:tc>
        <w:tc>
          <w:tcPr>
            <w:tcW w:type="dxa" w:w="1295"/>
            <w:vAlign w:val="center"/>
          </w:tcPr>
          <w:p>
            <w:pPr>
              <w:jc w:val="center"/>
            </w:pPr>
            <w:r/>
            <w:r>
              <w:rPr>
                <w:rFonts w:ascii="宋体" w:hAnsi="宋体" w:eastAsia="宋体"/>
                <w:b w:val="0"/>
                <w:sz w:val="18"/>
              </w:rPr>
              <w:t>0.8140</w:t>
            </w:r>
          </w:p>
        </w:tc>
        <w:tc>
          <w:tcPr>
            <w:tcW w:type="dxa" w:w="1295"/>
            <w:vAlign w:val="center"/>
          </w:tcPr>
          <w:p>
            <w:pPr>
              <w:jc w:val="center"/>
            </w:pPr>
            <w:r/>
            <w:r>
              <w:rPr>
                <w:rFonts w:ascii="宋体" w:hAnsi="宋体" w:eastAsia="宋体"/>
                <w:b w:val="0"/>
                <w:sz w:val="18"/>
              </w:rPr>
              <w:t>0.5993</w:t>
            </w:r>
          </w:p>
        </w:tc>
        <w:tc>
          <w:tcPr>
            <w:tcW w:type="dxa" w:w="1295"/>
            <w:vAlign w:val="center"/>
          </w:tcPr>
          <w:p>
            <w:pPr>
              <w:jc w:val="center"/>
            </w:pPr>
            <w:r/>
            <w:r>
              <w:rPr>
                <w:rFonts w:ascii="宋体" w:hAnsi="宋体" w:eastAsia="宋体"/>
                <w:b w:val="0"/>
                <w:sz w:val="18"/>
              </w:rPr>
              <w:t>0.8853</w:t>
            </w:r>
          </w:p>
        </w:tc>
        <w:tc>
          <w:tcPr>
            <w:tcW w:type="dxa" w:w="1295"/>
            <w:vAlign w:val="center"/>
          </w:tcPr>
          <w:p>
            <w:pPr>
              <w:jc w:val="center"/>
            </w:pPr>
            <w:r/>
            <w:r>
              <w:rPr>
                <w:rFonts w:ascii="宋体" w:hAnsi="宋体" w:eastAsia="宋体"/>
                <w:b w:val="0"/>
                <w:sz w:val="18"/>
              </w:rPr>
              <w:t>0.1950</w:t>
            </w:r>
          </w:p>
        </w:tc>
        <w:tc>
          <w:tcPr>
            <w:tcW w:type="dxa" w:w="1295"/>
            <w:vAlign w:val="center"/>
          </w:tcPr>
          <w:p>
            <w:pPr>
              <w:jc w:val="center"/>
            </w:pPr>
            <w:r/>
            <w:r>
              <w:rPr>
                <w:rFonts w:ascii="宋体" w:hAnsi="宋体" w:eastAsia="宋体"/>
                <w:b w:val="0"/>
                <w:sz w:val="18"/>
              </w:rPr>
              <w:t>0.8472</w:t>
            </w:r>
          </w:p>
        </w:tc>
        <w:tc>
          <w:tcPr>
            <w:tcW w:type="dxa" w:w="1295"/>
            <w:vAlign w:val="center"/>
          </w:tcPr>
          <w:p>
            <w:pPr>
              <w:jc w:val="center"/>
            </w:pPr>
            <w:r/>
            <w:r>
              <w:rPr>
                <w:rFonts w:ascii="宋体" w:hAnsi="宋体" w:eastAsia="宋体"/>
                <w:b w:val="0"/>
                <w:sz w:val="18"/>
              </w:rPr>
              <w:t>0.1484</w:t>
            </w:r>
          </w:p>
        </w:tc>
      </w:tr>
      <w:tr>
        <w:tc>
          <w:tcPr>
            <w:tcW w:type="dxa" w:w="1295"/>
            <w:vAlign w:val="center"/>
          </w:tcPr>
          <w:p>
            <w:pPr>
              <w:jc w:val="center"/>
            </w:pPr>
            <w:r/>
            <w:r>
              <w:rPr>
                <w:rFonts w:ascii="宋体" w:hAnsi="宋体" w:eastAsia="宋体"/>
                <w:b w:val="0"/>
                <w:sz w:val="18"/>
              </w:rPr>
              <w:t>PACE target_only</w:t>
            </w:r>
          </w:p>
        </w:tc>
        <w:tc>
          <w:tcPr>
            <w:tcW w:type="dxa" w:w="1295"/>
            <w:vAlign w:val="center"/>
          </w:tcPr>
          <w:p>
            <w:pPr>
              <w:jc w:val="center"/>
            </w:pPr>
            <w:r/>
            <w:r>
              <w:rPr>
                <w:rFonts w:ascii="宋体" w:hAnsi="宋体" w:eastAsia="宋体"/>
                <w:b w:val="0"/>
                <w:sz w:val="18"/>
              </w:rPr>
              <w:t>0.0000</w:t>
            </w:r>
          </w:p>
        </w:tc>
        <w:tc>
          <w:tcPr>
            <w:tcW w:type="dxa" w:w="1295"/>
            <w:vAlign w:val="center"/>
          </w:tcPr>
          <w:p>
            <w:pPr>
              <w:jc w:val="center"/>
            </w:pPr>
            <w:r/>
            <w:r>
              <w:rPr>
                <w:rFonts w:ascii="宋体" w:hAnsi="宋体" w:eastAsia="宋体"/>
                <w:b w:val="0"/>
                <w:sz w:val="18"/>
              </w:rPr>
              <w:t>0.0000</w:t>
            </w:r>
          </w:p>
        </w:tc>
        <w:tc>
          <w:tcPr>
            <w:tcW w:type="dxa" w:w="1295"/>
            <w:vAlign w:val="center"/>
          </w:tcPr>
          <w:p>
            <w:pPr>
              <w:jc w:val="center"/>
            </w:pPr>
            <w:r/>
            <w:r>
              <w:rPr>
                <w:rFonts w:ascii="宋体" w:hAnsi="宋体" w:eastAsia="宋体"/>
                <w:b w:val="0"/>
                <w:sz w:val="18"/>
              </w:rPr>
              <w:t>0.0167</w:t>
            </w:r>
          </w:p>
        </w:tc>
        <w:tc>
          <w:tcPr>
            <w:tcW w:type="dxa" w:w="1295"/>
            <w:vAlign w:val="center"/>
          </w:tcPr>
          <w:p>
            <w:pPr>
              <w:jc w:val="center"/>
            </w:pPr>
            <w:r/>
            <w:r>
              <w:rPr>
                <w:rFonts w:ascii="宋体" w:hAnsi="宋体" w:eastAsia="宋体"/>
                <w:b w:val="0"/>
                <w:sz w:val="18"/>
              </w:rPr>
              <w:t>0.9930</w:t>
            </w:r>
          </w:p>
        </w:tc>
        <w:tc>
          <w:tcPr>
            <w:tcW w:type="dxa" w:w="1295"/>
            <w:vAlign w:val="center"/>
          </w:tcPr>
          <w:p>
            <w:pPr>
              <w:jc w:val="center"/>
            </w:pPr>
            <w:r/>
            <w:r>
              <w:rPr>
                <w:rFonts w:ascii="宋体" w:hAnsi="宋体" w:eastAsia="宋体"/>
                <w:b w:val="0"/>
                <w:sz w:val="18"/>
              </w:rPr>
              <w:t>0.0032</w:t>
            </w:r>
          </w:p>
        </w:tc>
        <w:tc>
          <w:tcPr>
            <w:tcW w:type="dxa" w:w="1295"/>
            <w:vAlign w:val="center"/>
          </w:tcPr>
          <w:p>
            <w:pPr>
              <w:jc w:val="center"/>
            </w:pPr>
            <w:r/>
            <w:r>
              <w:rPr>
                <w:rFonts w:ascii="宋体" w:hAnsi="宋体" w:eastAsia="宋体"/>
                <w:b w:val="0"/>
                <w:sz w:val="18"/>
              </w:rPr>
              <w:t>0.9675</w:t>
            </w:r>
          </w:p>
        </w:tc>
      </w:tr>
      <w:tr>
        <w:tc>
          <w:tcPr>
            <w:tcW w:type="dxa" w:w="1295"/>
            <w:vAlign w:val="center"/>
          </w:tcPr>
          <w:p>
            <w:pPr>
              <w:jc w:val="center"/>
            </w:pPr>
            <w:r/>
            <w:r>
              <w:rPr>
                <w:rFonts w:ascii="宋体" w:hAnsi="宋体" w:eastAsia="宋体"/>
                <w:b w:val="0"/>
                <w:sz w:val="18"/>
              </w:rPr>
              <w:t>PACE max1_per_case</w:t>
            </w:r>
          </w:p>
        </w:tc>
        <w:tc>
          <w:tcPr>
            <w:tcW w:type="dxa" w:w="1295"/>
            <w:vAlign w:val="center"/>
          </w:tcPr>
          <w:p>
            <w:pPr>
              <w:jc w:val="center"/>
            </w:pPr>
            <w:r/>
            <w:r>
              <w:rPr>
                <w:rFonts w:ascii="宋体" w:hAnsi="宋体" w:eastAsia="宋体"/>
                <w:b w:val="0"/>
                <w:sz w:val="18"/>
              </w:rPr>
              <w:t>0.0003</w:t>
            </w:r>
          </w:p>
        </w:tc>
        <w:tc>
          <w:tcPr>
            <w:tcW w:type="dxa" w:w="1295"/>
            <w:vAlign w:val="center"/>
          </w:tcPr>
          <w:p>
            <w:pPr>
              <w:jc w:val="center"/>
            </w:pPr>
            <w:r/>
            <w:r>
              <w:rPr>
                <w:rFonts w:ascii="宋体" w:hAnsi="宋体" w:eastAsia="宋体"/>
                <w:b w:val="0"/>
                <w:sz w:val="18"/>
              </w:rPr>
              <w:t>0.0003</w:t>
            </w:r>
          </w:p>
        </w:tc>
        <w:tc>
          <w:tcPr>
            <w:tcW w:type="dxa" w:w="1295"/>
            <w:vAlign w:val="center"/>
          </w:tcPr>
          <w:p>
            <w:pPr>
              <w:jc w:val="center"/>
            </w:pPr>
            <w:r/>
            <w:r>
              <w:rPr>
                <w:rFonts w:ascii="宋体" w:hAnsi="宋体" w:eastAsia="宋体"/>
                <w:b w:val="0"/>
                <w:sz w:val="18"/>
              </w:rPr>
              <w:t>0.0200</w:t>
            </w:r>
          </w:p>
        </w:tc>
        <w:tc>
          <w:tcPr>
            <w:tcW w:type="dxa" w:w="1295"/>
            <w:vAlign w:val="center"/>
          </w:tcPr>
          <w:p>
            <w:pPr>
              <w:jc w:val="center"/>
            </w:pPr>
            <w:r/>
            <w:r>
              <w:rPr>
                <w:rFonts w:ascii="宋体" w:hAnsi="宋体" w:eastAsia="宋体"/>
                <w:b w:val="0"/>
                <w:sz w:val="18"/>
              </w:rPr>
              <w:t>0.9870</w:t>
            </w:r>
          </w:p>
        </w:tc>
        <w:tc>
          <w:tcPr>
            <w:tcW w:type="dxa" w:w="1295"/>
            <w:vAlign w:val="center"/>
          </w:tcPr>
          <w:p>
            <w:pPr>
              <w:jc w:val="center"/>
            </w:pPr>
            <w:r/>
            <w:r>
              <w:rPr>
                <w:rFonts w:ascii="宋体" w:hAnsi="宋体" w:eastAsia="宋体"/>
                <w:b w:val="0"/>
                <w:sz w:val="18"/>
              </w:rPr>
              <w:t>0.0099</w:t>
            </w:r>
          </w:p>
        </w:tc>
        <w:tc>
          <w:tcPr>
            <w:tcW w:type="dxa" w:w="1295"/>
            <w:vAlign w:val="center"/>
          </w:tcPr>
          <w:p>
            <w:pPr>
              <w:jc w:val="center"/>
            </w:pPr>
            <w:r/>
            <w:r>
              <w:rPr>
                <w:rFonts w:ascii="宋体" w:hAnsi="宋体" w:eastAsia="宋体"/>
                <w:b w:val="0"/>
                <w:sz w:val="18"/>
              </w:rPr>
              <w:t>0.9611</w:t>
            </w:r>
          </w:p>
        </w:tc>
      </w:tr>
      <w:tr>
        <w:tc>
          <w:tcPr>
            <w:tcW w:type="dxa" w:w="1295"/>
            <w:vAlign w:val="center"/>
          </w:tcPr>
          <w:p>
            <w:pPr>
              <w:jc w:val="center"/>
            </w:pPr>
            <w:r/>
            <w:r>
              <w:rPr>
                <w:rFonts w:ascii="宋体" w:hAnsi="宋体" w:eastAsia="宋体"/>
                <w:b w:val="0"/>
                <w:sz w:val="18"/>
              </w:rPr>
              <w:t>PACE max2_per_person</w:t>
            </w:r>
          </w:p>
        </w:tc>
        <w:tc>
          <w:tcPr>
            <w:tcW w:type="dxa" w:w="1295"/>
            <w:vAlign w:val="center"/>
          </w:tcPr>
          <w:p>
            <w:pPr>
              <w:jc w:val="center"/>
            </w:pPr>
            <w:r/>
            <w:r>
              <w:rPr>
                <w:rFonts w:ascii="宋体" w:hAnsi="宋体" w:eastAsia="宋体"/>
                <w:b w:val="0"/>
                <w:sz w:val="18"/>
              </w:rPr>
              <w:t>0.0243</w:t>
            </w:r>
          </w:p>
        </w:tc>
        <w:tc>
          <w:tcPr>
            <w:tcW w:type="dxa" w:w="1295"/>
            <w:vAlign w:val="center"/>
          </w:tcPr>
          <w:p>
            <w:pPr>
              <w:jc w:val="center"/>
            </w:pPr>
            <w:r/>
            <w:r>
              <w:rPr>
                <w:rFonts w:ascii="宋体" w:hAnsi="宋体" w:eastAsia="宋体"/>
                <w:b w:val="0"/>
                <w:sz w:val="18"/>
              </w:rPr>
              <w:t>0.0150</w:t>
            </w:r>
          </w:p>
        </w:tc>
        <w:tc>
          <w:tcPr>
            <w:tcW w:type="dxa" w:w="1295"/>
            <w:vAlign w:val="center"/>
          </w:tcPr>
          <w:p>
            <w:pPr>
              <w:jc w:val="center"/>
            </w:pPr>
            <w:r/>
            <w:r>
              <w:rPr>
                <w:rFonts w:ascii="宋体" w:hAnsi="宋体" w:eastAsia="宋体"/>
                <w:b w:val="0"/>
                <w:sz w:val="18"/>
              </w:rPr>
              <w:t>0.0740</w:t>
            </w:r>
          </w:p>
        </w:tc>
        <w:tc>
          <w:tcPr>
            <w:tcW w:type="dxa" w:w="1295"/>
            <w:vAlign w:val="center"/>
          </w:tcPr>
          <w:p>
            <w:pPr>
              <w:jc w:val="center"/>
            </w:pPr>
            <w:r/>
            <w:r>
              <w:rPr>
                <w:rFonts w:ascii="宋体" w:hAnsi="宋体" w:eastAsia="宋体"/>
                <w:b w:val="0"/>
                <w:sz w:val="18"/>
              </w:rPr>
              <w:t>0.9347</w:t>
            </w:r>
          </w:p>
        </w:tc>
        <w:tc>
          <w:tcPr>
            <w:tcW w:type="dxa" w:w="1295"/>
            <w:vAlign w:val="center"/>
          </w:tcPr>
          <w:p>
            <w:pPr>
              <w:jc w:val="center"/>
            </w:pPr>
            <w:r/>
            <w:r>
              <w:rPr>
                <w:rFonts w:ascii="宋体" w:hAnsi="宋体" w:eastAsia="宋体"/>
                <w:b w:val="0"/>
                <w:sz w:val="18"/>
              </w:rPr>
              <w:t>0.0984</w:t>
            </w:r>
          </w:p>
        </w:tc>
        <w:tc>
          <w:tcPr>
            <w:tcW w:type="dxa" w:w="1295"/>
            <w:vAlign w:val="center"/>
          </w:tcPr>
          <w:p>
            <w:pPr>
              <w:jc w:val="center"/>
            </w:pPr>
            <w:r/>
            <w:r>
              <w:rPr>
                <w:rFonts w:ascii="宋体" w:hAnsi="宋体" w:eastAsia="宋体"/>
                <w:b w:val="0"/>
                <w:sz w:val="18"/>
              </w:rPr>
              <w:t>0.8115</w:t>
            </w:r>
          </w:p>
        </w:tc>
      </w:tr>
    </w:tbl>
    <w:p/>
    <w:p>
      <w:pPr>
        <w:ind w:firstLine="420"/>
      </w:pPr>
      <w:r>
        <w:rPr>
          <w:rFonts w:ascii="宋体" w:hAnsi="宋体" w:eastAsia="宋体"/>
          <w:sz w:val="21"/>
        </w:rPr>
        <w:t>主结果表明，不同策略形成了清晰的权衡结构：ROME 位于中等隐私压制与中等公开知识损伤之间；MEMIT 位于较高公开知识保持但弱隐私压制一侧；PACE 位于强隐私压制但强副作用一侧。</w:t>
      </w:r>
    </w:p>
    <w:p>
      <w:pPr>
        <w:pStyle w:val="Heading2"/>
      </w:pPr>
      <w:r>
        <w:t>4.8  Over-refusal 分析</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shd w:fill="E8EEF5"/>
          </w:tcPr>
          <w:p>
            <w:pPr>
              <w:jc w:val="center"/>
            </w:pPr>
            <w:r/>
            <w:r>
              <w:rPr>
                <w:rFonts w:ascii="宋体" w:hAnsi="宋体" w:eastAsia="宋体"/>
                <w:b/>
                <w:sz w:val="18"/>
              </w:rPr>
              <w:t>方法</w:t>
            </w:r>
          </w:p>
        </w:tc>
        <w:tc>
          <w:tcPr>
            <w:tcW w:type="dxa" w:w="1813"/>
            <w:vAlign w:val="center"/>
            <w:shd w:fill="E8EEF5"/>
          </w:tcPr>
          <w:p>
            <w:pPr>
              <w:jc w:val="center"/>
            </w:pPr>
            <w:r/>
            <w:r>
              <w:rPr>
                <w:rFonts w:ascii="宋体" w:hAnsi="宋体" w:eastAsia="宋体"/>
                <w:b/>
                <w:sz w:val="18"/>
              </w:rPr>
              <w:t>Public Refusal Count</w:t>
            </w:r>
          </w:p>
        </w:tc>
        <w:tc>
          <w:tcPr>
            <w:tcW w:type="dxa" w:w="1813"/>
            <w:vAlign w:val="center"/>
            <w:shd w:fill="E8EEF5"/>
          </w:tcPr>
          <w:p>
            <w:pPr>
              <w:jc w:val="center"/>
            </w:pPr>
            <w:r/>
            <w:r>
              <w:rPr>
                <w:rFonts w:ascii="宋体" w:hAnsi="宋体" w:eastAsia="宋体"/>
                <w:b/>
                <w:sz w:val="18"/>
              </w:rPr>
              <w:t>Denominator</w:t>
            </w:r>
          </w:p>
        </w:tc>
        <w:tc>
          <w:tcPr>
            <w:tcW w:type="dxa" w:w="1813"/>
            <w:vAlign w:val="center"/>
            <w:shd w:fill="E8EEF5"/>
          </w:tcPr>
          <w:p>
            <w:pPr>
              <w:jc w:val="center"/>
            </w:pPr>
            <w:r/>
            <w:r>
              <w:rPr>
                <w:rFonts w:ascii="宋体" w:hAnsi="宋体" w:eastAsia="宋体"/>
                <w:b/>
                <w:sz w:val="18"/>
              </w:rPr>
              <w:t>Public Refusal Rate↓</w:t>
            </w:r>
          </w:p>
        </w:tc>
        <w:tc>
          <w:tcPr>
            <w:tcW w:type="dxa" w:w="1813"/>
            <w:vAlign w:val="center"/>
            <w:shd w:fill="E8EEF5"/>
          </w:tcPr>
          <w:p>
            <w:pPr>
              <w:jc w:val="center"/>
            </w:pPr>
            <w:r/>
            <w:r>
              <w:rPr>
                <w:rFonts w:ascii="宋体" w:hAnsi="宋体" w:eastAsia="宋体"/>
                <w:b/>
                <w:sz w:val="18"/>
              </w:rPr>
              <w:t>Public Contains↑</w:t>
            </w:r>
          </w:p>
        </w:tc>
      </w:tr>
      <w:tr>
        <w:tc>
          <w:tcPr>
            <w:tcW w:type="dxa" w:w="1813"/>
            <w:vAlign w:val="center"/>
          </w:tcPr>
          <w:p>
            <w:pPr>
              <w:jc w:val="center"/>
            </w:pPr>
            <w:r/>
            <w:r>
              <w:rPr>
                <w:rFonts w:ascii="宋体" w:hAnsi="宋体" w:eastAsia="宋体"/>
                <w:b w:val="0"/>
                <w:sz w:val="18"/>
              </w:rPr>
              <w:t>Pre leakage model</w:t>
            </w:r>
          </w:p>
        </w:tc>
        <w:tc>
          <w:tcPr>
            <w:tcW w:type="dxa" w:w="1813"/>
            <w:vAlign w:val="center"/>
          </w:tcPr>
          <w:p>
            <w:pPr>
              <w:jc w:val="center"/>
            </w:pPr>
            <w:r/>
            <w:r>
              <w:rPr>
                <w:rFonts w:ascii="宋体" w:hAnsi="宋体" w:eastAsia="宋体"/>
                <w:b w:val="0"/>
                <w:sz w:val="18"/>
              </w:rPr>
              <w:t>0</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0.0000</w:t>
            </w:r>
          </w:p>
        </w:tc>
        <w:tc>
          <w:tcPr>
            <w:tcW w:type="dxa" w:w="1813"/>
            <w:vAlign w:val="center"/>
          </w:tcPr>
          <w:p>
            <w:pPr>
              <w:jc w:val="center"/>
            </w:pPr>
            <w:r/>
            <w:r>
              <w:rPr>
                <w:rFonts w:ascii="宋体" w:hAnsi="宋体" w:eastAsia="宋体"/>
                <w:b w:val="0"/>
                <w:sz w:val="18"/>
              </w:rPr>
              <w:t>0.9766</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1179</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0.4679</w:t>
            </w:r>
          </w:p>
        </w:tc>
        <w:tc>
          <w:tcPr>
            <w:tcW w:type="dxa" w:w="1813"/>
            <w:vAlign w:val="center"/>
          </w:tcPr>
          <w:p>
            <w:pPr>
              <w:jc w:val="center"/>
            </w:pPr>
            <w:r/>
            <w:r>
              <w:rPr>
                <w:rFonts w:ascii="宋体" w:hAnsi="宋体" w:eastAsia="宋体"/>
                <w:b w:val="0"/>
                <w:sz w:val="18"/>
              </w:rPr>
              <w:t>0.5591</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374</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0.1484</w:t>
            </w:r>
          </w:p>
        </w:tc>
        <w:tc>
          <w:tcPr>
            <w:tcW w:type="dxa" w:w="1813"/>
            <w:vAlign w:val="center"/>
          </w:tcPr>
          <w:p>
            <w:pPr>
              <w:jc w:val="center"/>
            </w:pPr>
            <w:r/>
            <w:r>
              <w:rPr>
                <w:rFonts w:ascii="宋体" w:hAnsi="宋体" w:eastAsia="宋体"/>
                <w:b w:val="0"/>
                <w:sz w:val="18"/>
              </w:rPr>
              <w:t>0.8472</w:t>
            </w:r>
          </w:p>
        </w:tc>
      </w:tr>
      <w:tr>
        <w:tc>
          <w:tcPr>
            <w:tcW w:type="dxa" w:w="1813"/>
            <w:vAlign w:val="center"/>
          </w:tcPr>
          <w:p>
            <w:pPr>
              <w:jc w:val="center"/>
            </w:pPr>
            <w:r/>
            <w:r>
              <w:rPr>
                <w:rFonts w:ascii="宋体" w:hAnsi="宋体" w:eastAsia="宋体"/>
                <w:b w:val="0"/>
                <w:sz w:val="18"/>
              </w:rPr>
              <w:t>PACE target_only</w:t>
            </w:r>
          </w:p>
        </w:tc>
        <w:tc>
          <w:tcPr>
            <w:tcW w:type="dxa" w:w="1813"/>
            <w:vAlign w:val="center"/>
          </w:tcPr>
          <w:p>
            <w:pPr>
              <w:jc w:val="center"/>
            </w:pPr>
            <w:r/>
            <w:r>
              <w:rPr>
                <w:rFonts w:ascii="宋体" w:hAnsi="宋体" w:eastAsia="宋体"/>
                <w:b w:val="0"/>
                <w:sz w:val="18"/>
              </w:rPr>
              <w:t>2438</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0.9675</w:t>
            </w:r>
          </w:p>
        </w:tc>
        <w:tc>
          <w:tcPr>
            <w:tcW w:type="dxa" w:w="1813"/>
            <w:vAlign w:val="center"/>
          </w:tcPr>
          <w:p>
            <w:pPr>
              <w:jc w:val="center"/>
            </w:pPr>
            <w:r/>
            <w:r>
              <w:rPr>
                <w:rFonts w:ascii="宋体" w:hAnsi="宋体" w:eastAsia="宋体"/>
                <w:b w:val="0"/>
                <w:sz w:val="18"/>
              </w:rPr>
              <w:t>0.0032</w:t>
            </w:r>
          </w:p>
        </w:tc>
      </w:tr>
      <w:tr>
        <w:tc>
          <w:tcPr>
            <w:tcW w:type="dxa" w:w="1813"/>
            <w:vAlign w:val="center"/>
          </w:tcPr>
          <w:p>
            <w:pPr>
              <w:jc w:val="center"/>
            </w:pPr>
            <w:r/>
            <w:r>
              <w:rPr>
                <w:rFonts w:ascii="宋体" w:hAnsi="宋体" w:eastAsia="宋体"/>
                <w:b w:val="0"/>
                <w:sz w:val="18"/>
              </w:rPr>
              <w:t>PACE max1_per_case</w:t>
            </w:r>
          </w:p>
        </w:tc>
        <w:tc>
          <w:tcPr>
            <w:tcW w:type="dxa" w:w="1813"/>
            <w:vAlign w:val="center"/>
          </w:tcPr>
          <w:p>
            <w:pPr>
              <w:jc w:val="center"/>
            </w:pPr>
            <w:r/>
            <w:r>
              <w:rPr>
                <w:rFonts w:ascii="宋体" w:hAnsi="宋体" w:eastAsia="宋体"/>
                <w:b w:val="0"/>
                <w:sz w:val="18"/>
              </w:rPr>
              <w:t>2422</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0.9611</w:t>
            </w:r>
          </w:p>
        </w:tc>
        <w:tc>
          <w:tcPr>
            <w:tcW w:type="dxa" w:w="1813"/>
            <w:vAlign w:val="center"/>
          </w:tcPr>
          <w:p>
            <w:pPr>
              <w:jc w:val="center"/>
            </w:pPr>
            <w:r/>
            <w:r>
              <w:rPr>
                <w:rFonts w:ascii="宋体" w:hAnsi="宋体" w:eastAsia="宋体"/>
                <w:b w:val="0"/>
                <w:sz w:val="18"/>
              </w:rPr>
              <w:t>0.0099</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2045</w:t>
            </w:r>
          </w:p>
        </w:tc>
        <w:tc>
          <w:tcPr>
            <w:tcW w:type="dxa" w:w="1813"/>
            <w:vAlign w:val="center"/>
          </w:tcPr>
          <w:p>
            <w:pPr>
              <w:jc w:val="center"/>
            </w:pPr>
            <w:r/>
            <w:r>
              <w:rPr>
                <w:rFonts w:ascii="宋体" w:hAnsi="宋体" w:eastAsia="宋体"/>
                <w:b w:val="0"/>
                <w:sz w:val="18"/>
              </w:rPr>
              <w:t>2520</w:t>
            </w:r>
          </w:p>
        </w:tc>
        <w:tc>
          <w:tcPr>
            <w:tcW w:type="dxa" w:w="1813"/>
            <w:vAlign w:val="center"/>
          </w:tcPr>
          <w:p>
            <w:pPr>
              <w:jc w:val="center"/>
            </w:pPr>
            <w:r/>
            <w:r>
              <w:rPr>
                <w:rFonts w:ascii="宋体" w:hAnsi="宋体" w:eastAsia="宋体"/>
                <w:b w:val="0"/>
                <w:sz w:val="18"/>
              </w:rPr>
              <w:t>0.8115</w:t>
            </w:r>
          </w:p>
        </w:tc>
        <w:tc>
          <w:tcPr>
            <w:tcW w:type="dxa" w:w="1813"/>
            <w:vAlign w:val="center"/>
          </w:tcPr>
          <w:p>
            <w:pPr>
              <w:jc w:val="center"/>
            </w:pPr>
            <w:r/>
            <w:r>
              <w:rPr>
                <w:rFonts w:ascii="宋体" w:hAnsi="宋体" w:eastAsia="宋体"/>
                <w:b w:val="0"/>
                <w:sz w:val="18"/>
              </w:rPr>
              <w:t>0.0984</w:t>
            </w:r>
          </w:p>
        </w:tc>
      </w:tr>
    </w:tbl>
    <w:p/>
    <w:p>
      <w:pPr>
        <w:ind w:firstLine="420"/>
      </w:pPr>
      <w:r>
        <w:rPr>
          <w:rFonts w:ascii="宋体" w:hAnsi="宋体" w:eastAsia="宋体"/>
          <w:sz w:val="21"/>
        </w:rPr>
        <w:t>过度拒答分析说明，public retain 下降不只是回答错误，还包含明显的公开问题拒答。尤其是 PACE target_only 和 max1_per_case 的 Public Refusal 均超过 0.96，max2_per_person 也达到 0.8115。这一现象提示：高拒答率不能直接等价为隐私清洗成功，必须同时报告 public refusal。</w:t>
      </w:r>
    </w:p>
    <w:p>
      <w:pPr>
        <w:pStyle w:val="Heading2"/>
      </w:pPr>
      <w:r>
        <w:t>4.9  Attack-type 分析</w:t>
      </w:r>
    </w:p>
    <w:tbl>
      <w:tblPr>
        <w:tblStyle w:val="TableGrid"/>
        <w:tblW w:type="auto" w:w="0"/>
        <w:jc w:val="center"/>
        <w:tblLook w:firstColumn="1" w:firstRow="1" w:lastColumn="0" w:lastRow="0" w:noHBand="0" w:noVBand="1" w:val="04A0"/>
      </w:tblPr>
      <w:tblGrid>
        <w:gridCol w:w="1813"/>
        <w:gridCol w:w="1813"/>
        <w:gridCol w:w="1813"/>
        <w:gridCol w:w="1813"/>
        <w:gridCol w:w="1813"/>
      </w:tblGrid>
      <w:tr>
        <w:tc>
          <w:tcPr>
            <w:tcW w:type="dxa" w:w="1813"/>
            <w:vAlign w:val="center"/>
            <w:shd w:fill="E8EEF5"/>
          </w:tcPr>
          <w:p>
            <w:pPr>
              <w:jc w:val="center"/>
            </w:pPr>
            <w:r/>
            <w:r>
              <w:rPr>
                <w:rFonts w:ascii="宋体" w:hAnsi="宋体" w:eastAsia="宋体"/>
                <w:b/>
                <w:sz w:val="18"/>
              </w:rPr>
              <w:t>方法</w:t>
            </w:r>
          </w:p>
        </w:tc>
        <w:tc>
          <w:tcPr>
            <w:tcW w:type="dxa" w:w="1813"/>
            <w:vAlign w:val="center"/>
            <w:shd w:fill="E8EEF5"/>
          </w:tcPr>
          <w:p>
            <w:pPr>
              <w:jc w:val="center"/>
            </w:pPr>
            <w:r/>
            <w:r>
              <w:rPr>
                <w:rFonts w:ascii="宋体" w:hAnsi="宋体" w:eastAsia="宋体"/>
                <w:b/>
                <w:sz w:val="18"/>
              </w:rPr>
              <w:t>Attack Type</w:t>
            </w:r>
          </w:p>
        </w:tc>
        <w:tc>
          <w:tcPr>
            <w:tcW w:type="dxa" w:w="1813"/>
            <w:vAlign w:val="center"/>
            <w:shd w:fill="E8EEF5"/>
          </w:tcPr>
          <w:p>
            <w:pPr>
              <w:jc w:val="center"/>
            </w:pPr>
            <w:r/>
            <w:r>
              <w:rPr>
                <w:rFonts w:ascii="宋体" w:hAnsi="宋体" w:eastAsia="宋体"/>
                <w:b/>
                <w:sz w:val="18"/>
              </w:rPr>
              <w:t>Private Value Contains↓</w:t>
            </w:r>
          </w:p>
        </w:tc>
        <w:tc>
          <w:tcPr>
            <w:tcW w:type="dxa" w:w="1813"/>
            <w:vAlign w:val="center"/>
            <w:shd w:fill="E8EEF5"/>
          </w:tcPr>
          <w:p>
            <w:pPr>
              <w:jc w:val="center"/>
            </w:pPr>
            <w:r/>
            <w:r>
              <w:rPr>
                <w:rFonts w:ascii="宋体" w:hAnsi="宋体" w:eastAsia="宋体"/>
                <w:b/>
                <w:sz w:val="18"/>
              </w:rPr>
              <w:t>Sensitive Pattern↓</w:t>
            </w:r>
          </w:p>
        </w:tc>
        <w:tc>
          <w:tcPr>
            <w:tcW w:type="dxa" w:w="1813"/>
            <w:vAlign w:val="center"/>
            <w:shd w:fill="E8EEF5"/>
          </w:tcPr>
          <w:p>
            <w:pPr>
              <w:jc w:val="center"/>
            </w:pPr>
            <w:r/>
            <w:r>
              <w:rPr>
                <w:rFonts w:ascii="宋体" w:hAnsi="宋体" w:eastAsia="宋体"/>
                <w:b/>
                <w:sz w:val="18"/>
              </w:rPr>
              <w:t>Private Refusal↑</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direct</w:t>
            </w:r>
          </w:p>
        </w:tc>
        <w:tc>
          <w:tcPr>
            <w:tcW w:type="dxa" w:w="1813"/>
            <w:vAlign w:val="center"/>
          </w:tcPr>
          <w:p>
            <w:pPr>
              <w:jc w:val="center"/>
            </w:pPr>
            <w:r/>
            <w:r>
              <w:rPr>
                <w:rFonts w:ascii="宋体" w:hAnsi="宋体" w:eastAsia="宋体"/>
                <w:b w:val="0"/>
                <w:sz w:val="18"/>
              </w:rPr>
              <w:t>0.6367</w:t>
            </w:r>
          </w:p>
        </w:tc>
        <w:tc>
          <w:tcPr>
            <w:tcW w:type="dxa" w:w="1813"/>
            <w:vAlign w:val="center"/>
          </w:tcPr>
          <w:p>
            <w:pPr>
              <w:jc w:val="center"/>
            </w:pPr>
            <w:r/>
            <w:r>
              <w:rPr>
                <w:rFonts w:ascii="宋体" w:hAnsi="宋体" w:eastAsia="宋体"/>
                <w:b w:val="0"/>
                <w:sz w:val="18"/>
              </w:rPr>
              <w:t>0.8883</w:t>
            </w:r>
          </w:p>
        </w:tc>
        <w:tc>
          <w:tcPr>
            <w:tcW w:type="dxa" w:w="1813"/>
            <w:vAlign w:val="center"/>
          </w:tcPr>
          <w:p>
            <w:pPr>
              <w:jc w:val="center"/>
            </w:pPr>
            <w:r/>
            <w:r>
              <w:rPr>
                <w:rFonts w:ascii="宋体" w:hAnsi="宋体" w:eastAsia="宋体"/>
                <w:b w:val="0"/>
                <w:sz w:val="18"/>
              </w:rPr>
              <w:t>0.6133</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paraphrase</w:t>
            </w:r>
          </w:p>
        </w:tc>
        <w:tc>
          <w:tcPr>
            <w:tcW w:type="dxa" w:w="1813"/>
            <w:vAlign w:val="center"/>
          </w:tcPr>
          <w:p>
            <w:pPr>
              <w:jc w:val="center"/>
            </w:pPr>
            <w:r/>
            <w:r>
              <w:rPr>
                <w:rFonts w:ascii="宋体" w:hAnsi="宋体" w:eastAsia="宋体"/>
                <w:b w:val="0"/>
                <w:sz w:val="18"/>
              </w:rPr>
              <w:t>0.5367</w:t>
            </w:r>
          </w:p>
        </w:tc>
        <w:tc>
          <w:tcPr>
            <w:tcW w:type="dxa" w:w="1813"/>
            <w:vAlign w:val="center"/>
          </w:tcPr>
          <w:p>
            <w:pPr>
              <w:jc w:val="center"/>
            </w:pPr>
            <w:r/>
            <w:r>
              <w:rPr>
                <w:rFonts w:ascii="宋体" w:hAnsi="宋体" w:eastAsia="宋体"/>
                <w:b w:val="0"/>
                <w:sz w:val="18"/>
              </w:rPr>
              <w:t>0.7683</w:t>
            </w:r>
          </w:p>
        </w:tc>
        <w:tc>
          <w:tcPr>
            <w:tcW w:type="dxa" w:w="1813"/>
            <w:vAlign w:val="center"/>
          </w:tcPr>
          <w:p>
            <w:pPr>
              <w:jc w:val="center"/>
            </w:pPr>
            <w:r/>
            <w:r>
              <w:rPr>
                <w:rFonts w:ascii="宋体" w:hAnsi="宋体" w:eastAsia="宋体"/>
                <w:b w:val="0"/>
                <w:sz w:val="18"/>
              </w:rPr>
              <w:t>0.5517</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completion</w:t>
            </w:r>
          </w:p>
        </w:tc>
        <w:tc>
          <w:tcPr>
            <w:tcW w:type="dxa" w:w="1813"/>
            <w:vAlign w:val="center"/>
          </w:tcPr>
          <w:p>
            <w:pPr>
              <w:jc w:val="center"/>
            </w:pPr>
            <w:r/>
            <w:r>
              <w:rPr>
                <w:rFonts w:ascii="宋体" w:hAnsi="宋体" w:eastAsia="宋体"/>
                <w:b w:val="0"/>
                <w:sz w:val="18"/>
              </w:rPr>
              <w:t>0.6383</w:t>
            </w:r>
          </w:p>
        </w:tc>
        <w:tc>
          <w:tcPr>
            <w:tcW w:type="dxa" w:w="1813"/>
            <w:vAlign w:val="center"/>
          </w:tcPr>
          <w:p>
            <w:pPr>
              <w:jc w:val="center"/>
            </w:pPr>
            <w:r/>
            <w:r>
              <w:rPr>
                <w:rFonts w:ascii="宋体" w:hAnsi="宋体" w:eastAsia="宋体"/>
                <w:b w:val="0"/>
                <w:sz w:val="18"/>
              </w:rPr>
              <w:t>1.0000</w:t>
            </w:r>
          </w:p>
        </w:tc>
        <w:tc>
          <w:tcPr>
            <w:tcW w:type="dxa" w:w="1813"/>
            <w:vAlign w:val="center"/>
          </w:tcPr>
          <w:p>
            <w:pPr>
              <w:jc w:val="center"/>
            </w:pPr>
            <w:r/>
            <w:r>
              <w:rPr>
                <w:rFonts w:ascii="宋体" w:hAnsi="宋体" w:eastAsia="宋体"/>
                <w:b w:val="0"/>
                <w:sz w:val="18"/>
              </w:rPr>
              <w:t>0.7050</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roleplay</w:t>
            </w:r>
          </w:p>
        </w:tc>
        <w:tc>
          <w:tcPr>
            <w:tcW w:type="dxa" w:w="1813"/>
            <w:vAlign w:val="center"/>
          </w:tcPr>
          <w:p>
            <w:pPr>
              <w:jc w:val="center"/>
            </w:pPr>
            <w:r/>
            <w:r>
              <w:rPr>
                <w:rFonts w:ascii="宋体" w:hAnsi="宋体" w:eastAsia="宋体"/>
                <w:b w:val="0"/>
                <w:sz w:val="18"/>
              </w:rPr>
              <w:t>0.4383</w:t>
            </w:r>
          </w:p>
        </w:tc>
        <w:tc>
          <w:tcPr>
            <w:tcW w:type="dxa" w:w="1813"/>
            <w:vAlign w:val="center"/>
          </w:tcPr>
          <w:p>
            <w:pPr>
              <w:jc w:val="center"/>
            </w:pPr>
            <w:r/>
            <w:r>
              <w:rPr>
                <w:rFonts w:ascii="宋体" w:hAnsi="宋体" w:eastAsia="宋体"/>
                <w:b w:val="0"/>
                <w:sz w:val="18"/>
              </w:rPr>
              <w:t>0.7317</w:t>
            </w:r>
          </w:p>
        </w:tc>
        <w:tc>
          <w:tcPr>
            <w:tcW w:type="dxa" w:w="1813"/>
            <w:vAlign w:val="center"/>
          </w:tcPr>
          <w:p>
            <w:pPr>
              <w:jc w:val="center"/>
            </w:pPr>
            <w:r/>
            <w:r>
              <w:rPr>
                <w:rFonts w:ascii="宋体" w:hAnsi="宋体" w:eastAsia="宋体"/>
                <w:b w:val="0"/>
                <w:sz w:val="18"/>
              </w:rPr>
              <w:t>0.5567</w:t>
            </w:r>
          </w:p>
        </w:tc>
      </w:tr>
      <w:tr>
        <w:tc>
          <w:tcPr>
            <w:tcW w:type="dxa" w:w="1813"/>
            <w:vAlign w:val="center"/>
          </w:tcPr>
          <w:p>
            <w:pPr>
              <w:jc w:val="center"/>
            </w:pPr>
            <w:r/>
            <w:r>
              <w:rPr>
                <w:rFonts w:ascii="宋体" w:hAnsi="宋体" w:eastAsia="宋体"/>
                <w:b w:val="0"/>
                <w:sz w:val="18"/>
              </w:rPr>
              <w:t>ROME direct-only</w:t>
            </w:r>
          </w:p>
        </w:tc>
        <w:tc>
          <w:tcPr>
            <w:tcW w:type="dxa" w:w="1813"/>
            <w:vAlign w:val="center"/>
          </w:tcPr>
          <w:p>
            <w:pPr>
              <w:jc w:val="center"/>
            </w:pPr>
            <w:r/>
            <w:r>
              <w:rPr>
                <w:rFonts w:ascii="宋体" w:hAnsi="宋体" w:eastAsia="宋体"/>
                <w:b w:val="0"/>
                <w:sz w:val="18"/>
              </w:rPr>
              <w:t>context</w:t>
            </w:r>
          </w:p>
        </w:tc>
        <w:tc>
          <w:tcPr>
            <w:tcW w:type="dxa" w:w="1813"/>
            <w:vAlign w:val="center"/>
          </w:tcPr>
          <w:p>
            <w:pPr>
              <w:jc w:val="center"/>
            </w:pPr>
            <w:r/>
            <w:r>
              <w:rPr>
                <w:rFonts w:ascii="宋体" w:hAnsi="宋体" w:eastAsia="宋体"/>
                <w:b w:val="0"/>
                <w:sz w:val="18"/>
              </w:rPr>
              <w:t>0.6433</w:t>
            </w:r>
          </w:p>
        </w:tc>
        <w:tc>
          <w:tcPr>
            <w:tcW w:type="dxa" w:w="1813"/>
            <w:vAlign w:val="center"/>
          </w:tcPr>
          <w:p>
            <w:pPr>
              <w:jc w:val="center"/>
            </w:pPr>
            <w:r/>
            <w:r>
              <w:rPr>
                <w:rFonts w:ascii="宋体" w:hAnsi="宋体" w:eastAsia="宋体"/>
                <w:b w:val="0"/>
                <w:sz w:val="18"/>
              </w:rPr>
              <w:t>0.8933</w:t>
            </w:r>
          </w:p>
        </w:tc>
        <w:tc>
          <w:tcPr>
            <w:tcW w:type="dxa" w:w="1813"/>
            <w:vAlign w:val="center"/>
          </w:tcPr>
          <w:p>
            <w:pPr>
              <w:jc w:val="center"/>
            </w:pPr>
            <w:r/>
            <w:r>
              <w:rPr>
                <w:rFonts w:ascii="宋体" w:hAnsi="宋体" w:eastAsia="宋体"/>
                <w:b w:val="0"/>
                <w:sz w:val="18"/>
              </w:rPr>
              <w:t>0.5600</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direct</w:t>
            </w:r>
          </w:p>
        </w:tc>
        <w:tc>
          <w:tcPr>
            <w:tcW w:type="dxa" w:w="1813"/>
            <w:vAlign w:val="center"/>
          </w:tcPr>
          <w:p>
            <w:pPr>
              <w:jc w:val="center"/>
            </w:pPr>
            <w:r/>
            <w:r>
              <w:rPr>
                <w:rFonts w:ascii="宋体" w:hAnsi="宋体" w:eastAsia="宋体"/>
                <w:b w:val="0"/>
                <w:sz w:val="18"/>
              </w:rPr>
              <w:t>0.8267</w:t>
            </w:r>
          </w:p>
        </w:tc>
        <w:tc>
          <w:tcPr>
            <w:tcW w:type="dxa" w:w="1813"/>
            <w:vAlign w:val="center"/>
          </w:tcPr>
          <w:p>
            <w:pPr>
              <w:jc w:val="center"/>
            </w:pPr>
            <w:r/>
            <w:r>
              <w:rPr>
                <w:rFonts w:ascii="宋体" w:hAnsi="宋体" w:eastAsia="宋体"/>
                <w:b w:val="0"/>
                <w:sz w:val="18"/>
              </w:rPr>
              <w:t>0.8983</w:t>
            </w:r>
          </w:p>
        </w:tc>
        <w:tc>
          <w:tcPr>
            <w:tcW w:type="dxa" w:w="1813"/>
            <w:vAlign w:val="center"/>
          </w:tcPr>
          <w:p>
            <w:pPr>
              <w:jc w:val="center"/>
            </w:pPr>
            <w:r/>
            <w:r>
              <w:rPr>
                <w:rFonts w:ascii="宋体" w:hAnsi="宋体" w:eastAsia="宋体"/>
                <w:b w:val="0"/>
                <w:sz w:val="18"/>
              </w:rPr>
              <w:t>0.2000</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paraphrase</w:t>
            </w:r>
          </w:p>
        </w:tc>
        <w:tc>
          <w:tcPr>
            <w:tcW w:type="dxa" w:w="1813"/>
            <w:vAlign w:val="center"/>
          </w:tcPr>
          <w:p>
            <w:pPr>
              <w:jc w:val="center"/>
            </w:pPr>
            <w:r/>
            <w:r>
              <w:rPr>
                <w:rFonts w:ascii="宋体" w:hAnsi="宋体" w:eastAsia="宋体"/>
                <w:b w:val="0"/>
                <w:sz w:val="18"/>
              </w:rPr>
              <w:t>0.7833</w:t>
            </w:r>
          </w:p>
        </w:tc>
        <w:tc>
          <w:tcPr>
            <w:tcW w:type="dxa" w:w="1813"/>
            <w:vAlign w:val="center"/>
          </w:tcPr>
          <w:p>
            <w:pPr>
              <w:jc w:val="center"/>
            </w:pPr>
            <w:r/>
            <w:r>
              <w:rPr>
                <w:rFonts w:ascii="宋体" w:hAnsi="宋体" w:eastAsia="宋体"/>
                <w:b w:val="0"/>
                <w:sz w:val="18"/>
              </w:rPr>
              <w:t>0.8500</w:t>
            </w:r>
          </w:p>
        </w:tc>
        <w:tc>
          <w:tcPr>
            <w:tcW w:type="dxa" w:w="1813"/>
            <w:vAlign w:val="center"/>
          </w:tcPr>
          <w:p>
            <w:pPr>
              <w:jc w:val="center"/>
            </w:pPr>
            <w:r/>
            <w:r>
              <w:rPr>
                <w:rFonts w:ascii="宋体" w:hAnsi="宋体" w:eastAsia="宋体"/>
                <w:b w:val="0"/>
                <w:sz w:val="18"/>
              </w:rPr>
              <w:t>0.2050</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completion</w:t>
            </w:r>
          </w:p>
        </w:tc>
        <w:tc>
          <w:tcPr>
            <w:tcW w:type="dxa" w:w="1813"/>
            <w:vAlign w:val="center"/>
          </w:tcPr>
          <w:p>
            <w:pPr>
              <w:jc w:val="center"/>
            </w:pPr>
            <w:r/>
            <w:r>
              <w:rPr>
                <w:rFonts w:ascii="宋体" w:hAnsi="宋体" w:eastAsia="宋体"/>
                <w:b w:val="0"/>
                <w:sz w:val="18"/>
              </w:rPr>
              <w:t>0.8983</w:t>
            </w:r>
          </w:p>
        </w:tc>
        <w:tc>
          <w:tcPr>
            <w:tcW w:type="dxa" w:w="1813"/>
            <w:vAlign w:val="center"/>
          </w:tcPr>
          <w:p>
            <w:pPr>
              <w:jc w:val="center"/>
            </w:pPr>
            <w:r/>
            <w:r>
              <w:rPr>
                <w:rFonts w:ascii="宋体" w:hAnsi="宋体" w:eastAsia="宋体"/>
                <w:b w:val="0"/>
                <w:sz w:val="18"/>
              </w:rPr>
              <w:t>0.9867</w:t>
            </w:r>
          </w:p>
        </w:tc>
        <w:tc>
          <w:tcPr>
            <w:tcW w:type="dxa" w:w="1813"/>
            <w:vAlign w:val="center"/>
          </w:tcPr>
          <w:p>
            <w:pPr>
              <w:jc w:val="center"/>
            </w:pPr>
            <w:r/>
            <w:r>
              <w:rPr>
                <w:rFonts w:ascii="宋体" w:hAnsi="宋体" w:eastAsia="宋体"/>
                <w:b w:val="0"/>
                <w:sz w:val="18"/>
              </w:rPr>
              <w:t>0.1633</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roleplay</w:t>
            </w:r>
          </w:p>
        </w:tc>
        <w:tc>
          <w:tcPr>
            <w:tcW w:type="dxa" w:w="1813"/>
            <w:vAlign w:val="center"/>
          </w:tcPr>
          <w:p>
            <w:pPr>
              <w:jc w:val="center"/>
            </w:pPr>
            <w:r/>
            <w:r>
              <w:rPr>
                <w:rFonts w:ascii="宋体" w:hAnsi="宋体" w:eastAsia="宋体"/>
                <w:b w:val="0"/>
                <w:sz w:val="18"/>
              </w:rPr>
              <w:t>0.7183</w:t>
            </w:r>
          </w:p>
        </w:tc>
        <w:tc>
          <w:tcPr>
            <w:tcW w:type="dxa" w:w="1813"/>
            <w:vAlign w:val="center"/>
          </w:tcPr>
          <w:p>
            <w:pPr>
              <w:jc w:val="center"/>
            </w:pPr>
            <w:r/>
            <w:r>
              <w:rPr>
                <w:rFonts w:ascii="宋体" w:hAnsi="宋体" w:eastAsia="宋体"/>
                <w:b w:val="0"/>
                <w:sz w:val="18"/>
              </w:rPr>
              <w:t>0.7817</w:t>
            </w:r>
          </w:p>
        </w:tc>
        <w:tc>
          <w:tcPr>
            <w:tcW w:type="dxa" w:w="1813"/>
            <w:vAlign w:val="center"/>
          </w:tcPr>
          <w:p>
            <w:pPr>
              <w:jc w:val="center"/>
            </w:pPr>
            <w:r/>
            <w:r>
              <w:rPr>
                <w:rFonts w:ascii="宋体" w:hAnsi="宋体" w:eastAsia="宋体"/>
                <w:b w:val="0"/>
                <w:sz w:val="18"/>
              </w:rPr>
              <w:t>0.2150</w:t>
            </w:r>
          </w:p>
        </w:tc>
      </w:tr>
      <w:tr>
        <w:tc>
          <w:tcPr>
            <w:tcW w:type="dxa" w:w="1813"/>
            <w:vAlign w:val="center"/>
          </w:tcPr>
          <w:p>
            <w:pPr>
              <w:jc w:val="center"/>
            </w:pPr>
            <w:r/>
            <w:r>
              <w:rPr>
                <w:rFonts w:ascii="宋体" w:hAnsi="宋体" w:eastAsia="宋体"/>
                <w:b w:val="0"/>
                <w:sz w:val="18"/>
              </w:rPr>
              <w:t>MEMIT direct-only</w:t>
            </w:r>
          </w:p>
        </w:tc>
        <w:tc>
          <w:tcPr>
            <w:tcW w:type="dxa" w:w="1813"/>
            <w:vAlign w:val="center"/>
          </w:tcPr>
          <w:p>
            <w:pPr>
              <w:jc w:val="center"/>
            </w:pPr>
            <w:r/>
            <w:r>
              <w:rPr>
                <w:rFonts w:ascii="宋体" w:hAnsi="宋体" w:eastAsia="宋体"/>
                <w:b w:val="0"/>
                <w:sz w:val="18"/>
              </w:rPr>
              <w:t>context</w:t>
            </w:r>
          </w:p>
        </w:tc>
        <w:tc>
          <w:tcPr>
            <w:tcW w:type="dxa" w:w="1813"/>
            <w:vAlign w:val="center"/>
          </w:tcPr>
          <w:p>
            <w:pPr>
              <w:jc w:val="center"/>
            </w:pPr>
            <w:r/>
            <w:r>
              <w:rPr>
                <w:rFonts w:ascii="宋体" w:hAnsi="宋体" w:eastAsia="宋体"/>
                <w:b w:val="0"/>
                <w:sz w:val="18"/>
              </w:rPr>
              <w:t>0.8433</w:t>
            </w:r>
          </w:p>
        </w:tc>
        <w:tc>
          <w:tcPr>
            <w:tcW w:type="dxa" w:w="1813"/>
            <w:vAlign w:val="center"/>
          </w:tcPr>
          <w:p>
            <w:pPr>
              <w:jc w:val="center"/>
            </w:pPr>
            <w:r/>
            <w:r>
              <w:rPr>
                <w:rFonts w:ascii="宋体" w:hAnsi="宋体" w:eastAsia="宋体"/>
                <w:b w:val="0"/>
                <w:sz w:val="18"/>
              </w:rPr>
              <w:t>0.9100</w:t>
            </w:r>
          </w:p>
        </w:tc>
        <w:tc>
          <w:tcPr>
            <w:tcW w:type="dxa" w:w="1813"/>
            <w:vAlign w:val="center"/>
          </w:tcPr>
          <w:p>
            <w:pPr>
              <w:jc w:val="center"/>
            </w:pPr>
            <w:r/>
            <w:r>
              <w:rPr>
                <w:rFonts w:ascii="宋体" w:hAnsi="宋体" w:eastAsia="宋体"/>
                <w:b w:val="0"/>
                <w:sz w:val="18"/>
              </w:rPr>
              <w:t>0.1917</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direct</w:t>
            </w:r>
          </w:p>
        </w:tc>
        <w:tc>
          <w:tcPr>
            <w:tcW w:type="dxa" w:w="1813"/>
            <w:vAlign w:val="center"/>
          </w:tcPr>
          <w:p>
            <w:pPr>
              <w:jc w:val="center"/>
            </w:pPr>
            <w:r/>
            <w:r>
              <w:rPr>
                <w:rFonts w:ascii="宋体" w:hAnsi="宋体" w:eastAsia="宋体"/>
                <w:b w:val="0"/>
                <w:sz w:val="18"/>
              </w:rPr>
              <w:t>0.0300</w:t>
            </w:r>
          </w:p>
        </w:tc>
        <w:tc>
          <w:tcPr>
            <w:tcW w:type="dxa" w:w="1813"/>
            <w:vAlign w:val="center"/>
          </w:tcPr>
          <w:p>
            <w:pPr>
              <w:jc w:val="center"/>
            </w:pPr>
            <w:r/>
            <w:r>
              <w:rPr>
                <w:rFonts w:ascii="宋体" w:hAnsi="宋体" w:eastAsia="宋体"/>
                <w:b w:val="0"/>
                <w:sz w:val="18"/>
              </w:rPr>
              <w:t>0.0667</w:t>
            </w:r>
          </w:p>
        </w:tc>
        <w:tc>
          <w:tcPr>
            <w:tcW w:type="dxa" w:w="1813"/>
            <w:vAlign w:val="center"/>
          </w:tcPr>
          <w:p>
            <w:pPr>
              <w:jc w:val="center"/>
            </w:pPr>
            <w:r/>
            <w:r>
              <w:rPr>
                <w:rFonts w:ascii="宋体" w:hAnsi="宋体" w:eastAsia="宋体"/>
                <w:b w:val="0"/>
                <w:sz w:val="18"/>
              </w:rPr>
              <w:t>0.9367</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paraphrase</w:t>
            </w:r>
          </w:p>
        </w:tc>
        <w:tc>
          <w:tcPr>
            <w:tcW w:type="dxa" w:w="1813"/>
            <w:vAlign w:val="center"/>
          </w:tcPr>
          <w:p>
            <w:pPr>
              <w:jc w:val="center"/>
            </w:pPr>
            <w:r/>
            <w:r>
              <w:rPr>
                <w:rFonts w:ascii="宋体" w:hAnsi="宋体" w:eastAsia="宋体"/>
                <w:b w:val="0"/>
                <w:sz w:val="18"/>
              </w:rPr>
              <w:t>0.0250</w:t>
            </w:r>
          </w:p>
        </w:tc>
        <w:tc>
          <w:tcPr>
            <w:tcW w:type="dxa" w:w="1813"/>
            <w:vAlign w:val="center"/>
          </w:tcPr>
          <w:p>
            <w:pPr>
              <w:jc w:val="center"/>
            </w:pPr>
            <w:r/>
            <w:r>
              <w:rPr>
                <w:rFonts w:ascii="宋体" w:hAnsi="宋体" w:eastAsia="宋体"/>
                <w:b w:val="0"/>
                <w:sz w:val="18"/>
              </w:rPr>
              <w:t>0.0817</w:t>
            </w:r>
          </w:p>
        </w:tc>
        <w:tc>
          <w:tcPr>
            <w:tcW w:type="dxa" w:w="1813"/>
            <w:vAlign w:val="center"/>
          </w:tcPr>
          <w:p>
            <w:pPr>
              <w:jc w:val="center"/>
            </w:pPr>
            <w:r/>
            <w:r>
              <w:rPr>
                <w:rFonts w:ascii="宋体" w:hAnsi="宋体" w:eastAsia="宋体"/>
                <w:b w:val="0"/>
                <w:sz w:val="18"/>
              </w:rPr>
              <w:t>0.8850</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completion</w:t>
            </w:r>
          </w:p>
        </w:tc>
        <w:tc>
          <w:tcPr>
            <w:tcW w:type="dxa" w:w="1813"/>
            <w:vAlign w:val="center"/>
          </w:tcPr>
          <w:p>
            <w:pPr>
              <w:jc w:val="center"/>
            </w:pPr>
            <w:r/>
            <w:r>
              <w:rPr>
                <w:rFonts w:ascii="宋体" w:hAnsi="宋体" w:eastAsia="宋体"/>
                <w:b w:val="0"/>
                <w:sz w:val="18"/>
              </w:rPr>
              <w:t>0.0317</w:t>
            </w:r>
          </w:p>
        </w:tc>
        <w:tc>
          <w:tcPr>
            <w:tcW w:type="dxa" w:w="1813"/>
            <w:vAlign w:val="center"/>
          </w:tcPr>
          <w:p>
            <w:pPr>
              <w:jc w:val="center"/>
            </w:pPr>
            <w:r/>
            <w:r>
              <w:rPr>
                <w:rFonts w:ascii="宋体" w:hAnsi="宋体" w:eastAsia="宋体"/>
                <w:b w:val="0"/>
                <w:sz w:val="18"/>
              </w:rPr>
              <w:t>0.1067</w:t>
            </w:r>
          </w:p>
        </w:tc>
        <w:tc>
          <w:tcPr>
            <w:tcW w:type="dxa" w:w="1813"/>
            <w:vAlign w:val="center"/>
          </w:tcPr>
          <w:p>
            <w:pPr>
              <w:jc w:val="center"/>
            </w:pPr>
            <w:r/>
            <w:r>
              <w:rPr>
                <w:rFonts w:ascii="宋体" w:hAnsi="宋体" w:eastAsia="宋体"/>
                <w:b w:val="0"/>
                <w:sz w:val="18"/>
              </w:rPr>
              <w:t>0.9200</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roleplay</w:t>
            </w:r>
          </w:p>
        </w:tc>
        <w:tc>
          <w:tcPr>
            <w:tcW w:type="dxa" w:w="1813"/>
            <w:vAlign w:val="center"/>
          </w:tcPr>
          <w:p>
            <w:pPr>
              <w:jc w:val="center"/>
            </w:pPr>
            <w:r/>
            <w:r>
              <w:rPr>
                <w:rFonts w:ascii="宋体" w:hAnsi="宋体" w:eastAsia="宋体"/>
                <w:b w:val="0"/>
                <w:sz w:val="18"/>
              </w:rPr>
              <w:t>0.0000</w:t>
            </w:r>
          </w:p>
        </w:tc>
        <w:tc>
          <w:tcPr>
            <w:tcW w:type="dxa" w:w="1813"/>
            <w:vAlign w:val="center"/>
          </w:tcPr>
          <w:p>
            <w:pPr>
              <w:jc w:val="center"/>
            </w:pPr>
            <w:r/>
            <w:r>
              <w:rPr>
                <w:rFonts w:ascii="宋体" w:hAnsi="宋体" w:eastAsia="宋体"/>
                <w:b w:val="0"/>
                <w:sz w:val="18"/>
              </w:rPr>
              <w:t>0.0017</w:t>
            </w:r>
          </w:p>
        </w:tc>
        <w:tc>
          <w:tcPr>
            <w:tcW w:type="dxa" w:w="1813"/>
            <w:vAlign w:val="center"/>
          </w:tcPr>
          <w:p>
            <w:pPr>
              <w:jc w:val="center"/>
            </w:pPr>
            <w:r/>
            <w:r>
              <w:rPr>
                <w:rFonts w:ascii="宋体" w:hAnsi="宋体" w:eastAsia="宋体"/>
                <w:b w:val="0"/>
                <w:sz w:val="18"/>
              </w:rPr>
              <w:t>0.9950</w:t>
            </w:r>
          </w:p>
        </w:tc>
      </w:tr>
      <w:tr>
        <w:tc>
          <w:tcPr>
            <w:tcW w:type="dxa" w:w="1813"/>
            <w:vAlign w:val="center"/>
          </w:tcPr>
          <w:p>
            <w:pPr>
              <w:jc w:val="center"/>
            </w:pPr>
            <w:r/>
            <w:r>
              <w:rPr>
                <w:rFonts w:ascii="宋体" w:hAnsi="宋体" w:eastAsia="宋体"/>
                <w:b w:val="0"/>
                <w:sz w:val="18"/>
              </w:rPr>
              <w:t>PACE max2_per_person</w:t>
            </w:r>
          </w:p>
        </w:tc>
        <w:tc>
          <w:tcPr>
            <w:tcW w:type="dxa" w:w="1813"/>
            <w:vAlign w:val="center"/>
          </w:tcPr>
          <w:p>
            <w:pPr>
              <w:jc w:val="center"/>
            </w:pPr>
            <w:r/>
            <w:r>
              <w:rPr>
                <w:rFonts w:ascii="宋体" w:hAnsi="宋体" w:eastAsia="宋体"/>
                <w:b w:val="0"/>
                <w:sz w:val="18"/>
              </w:rPr>
              <w:t>context</w:t>
            </w:r>
          </w:p>
        </w:tc>
        <w:tc>
          <w:tcPr>
            <w:tcW w:type="dxa" w:w="1813"/>
            <w:vAlign w:val="center"/>
          </w:tcPr>
          <w:p>
            <w:pPr>
              <w:jc w:val="center"/>
            </w:pPr>
            <w:r/>
            <w:r>
              <w:rPr>
                <w:rFonts w:ascii="宋体" w:hAnsi="宋体" w:eastAsia="宋体"/>
                <w:b w:val="0"/>
                <w:sz w:val="18"/>
              </w:rPr>
              <w:t>0.0350</w:t>
            </w:r>
          </w:p>
        </w:tc>
        <w:tc>
          <w:tcPr>
            <w:tcW w:type="dxa" w:w="1813"/>
            <w:vAlign w:val="center"/>
          </w:tcPr>
          <w:p>
            <w:pPr>
              <w:jc w:val="center"/>
            </w:pPr>
            <w:r/>
            <w:r>
              <w:rPr>
                <w:rFonts w:ascii="宋体" w:hAnsi="宋体" w:eastAsia="宋体"/>
                <w:b w:val="0"/>
                <w:sz w:val="18"/>
              </w:rPr>
              <w:t>0.1133</w:t>
            </w:r>
          </w:p>
        </w:tc>
        <w:tc>
          <w:tcPr>
            <w:tcW w:type="dxa" w:w="1813"/>
            <w:vAlign w:val="center"/>
          </w:tcPr>
          <w:p>
            <w:pPr>
              <w:jc w:val="center"/>
            </w:pPr>
            <w:r/>
            <w:r>
              <w:rPr>
                <w:rFonts w:ascii="宋体" w:hAnsi="宋体" w:eastAsia="宋体"/>
                <w:b w:val="0"/>
                <w:sz w:val="18"/>
              </w:rPr>
              <w:t>0.9367</w:t>
            </w:r>
          </w:p>
        </w:tc>
      </w:tr>
    </w:tbl>
    <w:p/>
    <w:p>
      <w:pPr>
        <w:ind w:firstLine="420"/>
      </w:pPr>
      <w:r>
        <w:rPr>
          <w:rFonts w:ascii="宋体" w:hAnsi="宋体" w:eastAsia="宋体"/>
          <w:sz w:val="21"/>
        </w:rPr>
        <w:t>attack-type 拆分显示，completion/context 等非直接问答形式对 direct-only editing 构成更强挑战。该结果支持本文对闭环再编辑和副作用感知请求选择的设计动机。</w:t>
      </w:r>
    </w:p>
    <w:p>
      <w:pPr>
        <w:pStyle w:val="Heading2"/>
      </w:pPr>
      <w:r>
        <w:t>4.10  Privacy-Utility Trade-off 分析</w:t>
      </w:r>
    </w:p>
    <w:tbl>
      <w:tblPr>
        <w:tblStyle w:val="TableGrid"/>
        <w:tblW w:type="auto" w:w="0"/>
        <w:jc w:val="center"/>
        <w:tblLook w:firstColumn="1" w:firstRow="1" w:lastColumn="0" w:lastRow="0" w:noHBand="0" w:noVBand="1" w:val="04A0"/>
      </w:tblPr>
      <w:tblGrid>
        <w:gridCol w:w="2266"/>
        <w:gridCol w:w="2266"/>
        <w:gridCol w:w="2266"/>
        <w:gridCol w:w="2266"/>
      </w:tblGrid>
      <w:tr>
        <w:tc>
          <w:tcPr>
            <w:tcW w:type="dxa" w:w="2266"/>
            <w:vAlign w:val="center"/>
            <w:shd w:fill="E8EEF5"/>
          </w:tcPr>
          <w:p>
            <w:pPr>
              <w:jc w:val="center"/>
            </w:pPr>
            <w:r/>
            <w:r>
              <w:rPr>
                <w:rFonts w:ascii="宋体" w:hAnsi="宋体" w:eastAsia="宋体"/>
                <w:b/>
                <w:sz w:val="18"/>
              </w:rPr>
              <w:t>方法</w:t>
            </w:r>
          </w:p>
        </w:tc>
        <w:tc>
          <w:tcPr>
            <w:tcW w:type="dxa" w:w="2266"/>
            <w:vAlign w:val="center"/>
            <w:shd w:fill="E8EEF5"/>
          </w:tcPr>
          <w:p>
            <w:pPr>
              <w:jc w:val="center"/>
            </w:pPr>
            <w:r/>
            <w:r>
              <w:rPr>
                <w:rFonts w:ascii="宋体" w:hAnsi="宋体" w:eastAsia="宋体"/>
                <w:b/>
                <w:sz w:val="18"/>
              </w:rPr>
              <w:t>PrivacyScore=1-PVC</w:t>
            </w:r>
          </w:p>
        </w:tc>
        <w:tc>
          <w:tcPr>
            <w:tcW w:type="dxa" w:w="2266"/>
            <w:vAlign w:val="center"/>
            <w:shd w:fill="E8EEF5"/>
          </w:tcPr>
          <w:p>
            <w:pPr>
              <w:jc w:val="center"/>
            </w:pPr>
            <w:r/>
            <w:r>
              <w:rPr>
                <w:rFonts w:ascii="宋体" w:hAnsi="宋体" w:eastAsia="宋体"/>
                <w:b/>
                <w:sz w:val="18"/>
              </w:rPr>
              <w:t>UtilityScore=Public Contains</w:t>
            </w:r>
          </w:p>
        </w:tc>
        <w:tc>
          <w:tcPr>
            <w:tcW w:type="dxa" w:w="2266"/>
            <w:vAlign w:val="center"/>
            <w:shd w:fill="E8EEF5"/>
          </w:tcPr>
          <w:p>
            <w:pPr>
              <w:jc w:val="center"/>
            </w:pPr>
            <w:r/>
            <w:r>
              <w:rPr>
                <w:rFonts w:ascii="宋体" w:hAnsi="宋体" w:eastAsia="宋体"/>
                <w:b/>
                <w:sz w:val="18"/>
              </w:rPr>
              <w:t>PUS</w:t>
            </w:r>
          </w:p>
        </w:tc>
      </w:tr>
      <w:tr>
        <w:tc>
          <w:tcPr>
            <w:tcW w:type="dxa" w:w="2266"/>
            <w:vAlign w:val="center"/>
          </w:tcPr>
          <w:p>
            <w:pPr>
              <w:jc w:val="center"/>
            </w:pPr>
            <w:r/>
            <w:r>
              <w:rPr>
                <w:rFonts w:ascii="宋体" w:hAnsi="宋体" w:eastAsia="宋体"/>
                <w:b w:val="0"/>
                <w:sz w:val="18"/>
              </w:rPr>
              <w:t>Pre leakage model</w:t>
            </w:r>
          </w:p>
        </w:tc>
        <w:tc>
          <w:tcPr>
            <w:tcW w:type="dxa" w:w="2266"/>
            <w:vAlign w:val="center"/>
          </w:tcPr>
          <w:p>
            <w:pPr>
              <w:jc w:val="center"/>
            </w:pPr>
            <w:r/>
            <w:r>
              <w:rPr>
                <w:rFonts w:ascii="宋体" w:hAnsi="宋体" w:eastAsia="宋体"/>
                <w:b w:val="0"/>
                <w:sz w:val="18"/>
              </w:rPr>
              <w:t>0.0613</w:t>
            </w:r>
          </w:p>
        </w:tc>
        <w:tc>
          <w:tcPr>
            <w:tcW w:type="dxa" w:w="2266"/>
            <w:vAlign w:val="center"/>
          </w:tcPr>
          <w:p>
            <w:pPr>
              <w:jc w:val="center"/>
            </w:pPr>
            <w:r/>
            <w:r>
              <w:rPr>
                <w:rFonts w:ascii="宋体" w:hAnsi="宋体" w:eastAsia="宋体"/>
                <w:b w:val="0"/>
                <w:sz w:val="18"/>
              </w:rPr>
              <w:t>0.9766</w:t>
            </w:r>
          </w:p>
        </w:tc>
        <w:tc>
          <w:tcPr>
            <w:tcW w:type="dxa" w:w="2266"/>
            <w:vAlign w:val="center"/>
          </w:tcPr>
          <w:p>
            <w:pPr>
              <w:jc w:val="center"/>
            </w:pPr>
            <w:r/>
            <w:r>
              <w:rPr>
                <w:rFonts w:ascii="宋体" w:hAnsi="宋体" w:eastAsia="宋体"/>
                <w:b w:val="0"/>
                <w:sz w:val="18"/>
              </w:rPr>
              <w:t>0.0599</w:t>
            </w:r>
          </w:p>
        </w:tc>
      </w:tr>
      <w:tr>
        <w:tc>
          <w:tcPr>
            <w:tcW w:type="dxa" w:w="2266"/>
            <w:vAlign w:val="center"/>
          </w:tcPr>
          <w:p>
            <w:pPr>
              <w:jc w:val="center"/>
            </w:pPr>
            <w:r/>
            <w:r>
              <w:rPr>
                <w:rFonts w:ascii="宋体" w:hAnsi="宋体" w:eastAsia="宋体"/>
                <w:b w:val="0"/>
                <w:sz w:val="18"/>
              </w:rPr>
              <w:t>ROME direct-only</w:t>
            </w:r>
          </w:p>
        </w:tc>
        <w:tc>
          <w:tcPr>
            <w:tcW w:type="dxa" w:w="2266"/>
            <w:vAlign w:val="center"/>
          </w:tcPr>
          <w:p>
            <w:pPr>
              <w:jc w:val="center"/>
            </w:pPr>
            <w:r/>
            <w:r>
              <w:rPr>
                <w:rFonts w:ascii="宋体" w:hAnsi="宋体" w:eastAsia="宋体"/>
                <w:b w:val="0"/>
                <w:sz w:val="18"/>
              </w:rPr>
              <w:t>0.4213</w:t>
            </w:r>
          </w:p>
        </w:tc>
        <w:tc>
          <w:tcPr>
            <w:tcW w:type="dxa" w:w="2266"/>
            <w:vAlign w:val="center"/>
          </w:tcPr>
          <w:p>
            <w:pPr>
              <w:jc w:val="center"/>
            </w:pPr>
            <w:r/>
            <w:r>
              <w:rPr>
                <w:rFonts w:ascii="宋体" w:hAnsi="宋体" w:eastAsia="宋体"/>
                <w:b w:val="0"/>
                <w:sz w:val="18"/>
              </w:rPr>
              <w:t>0.5591</w:t>
            </w:r>
          </w:p>
        </w:tc>
        <w:tc>
          <w:tcPr>
            <w:tcW w:type="dxa" w:w="2266"/>
            <w:vAlign w:val="center"/>
          </w:tcPr>
          <w:p>
            <w:pPr>
              <w:jc w:val="center"/>
            </w:pPr>
            <w:r/>
            <w:r>
              <w:rPr>
                <w:rFonts w:ascii="宋体" w:hAnsi="宋体" w:eastAsia="宋体"/>
                <w:b w:val="0"/>
                <w:sz w:val="18"/>
              </w:rPr>
              <w:t>0.2356</w:t>
            </w:r>
          </w:p>
        </w:tc>
      </w:tr>
      <w:tr>
        <w:tc>
          <w:tcPr>
            <w:tcW w:type="dxa" w:w="2266"/>
            <w:vAlign w:val="center"/>
          </w:tcPr>
          <w:p>
            <w:pPr>
              <w:jc w:val="center"/>
            </w:pPr>
            <w:r/>
            <w:r>
              <w:rPr>
                <w:rFonts w:ascii="宋体" w:hAnsi="宋体" w:eastAsia="宋体"/>
                <w:b w:val="0"/>
                <w:sz w:val="18"/>
              </w:rPr>
              <w:t>MEMIT direct-only</w:t>
            </w:r>
          </w:p>
        </w:tc>
        <w:tc>
          <w:tcPr>
            <w:tcW w:type="dxa" w:w="2266"/>
            <w:vAlign w:val="center"/>
          </w:tcPr>
          <w:p>
            <w:pPr>
              <w:jc w:val="center"/>
            </w:pPr>
            <w:r/>
            <w:r>
              <w:rPr>
                <w:rFonts w:ascii="宋体" w:hAnsi="宋体" w:eastAsia="宋体"/>
                <w:b w:val="0"/>
                <w:sz w:val="18"/>
              </w:rPr>
              <w:t>0.1860</w:t>
            </w:r>
          </w:p>
        </w:tc>
        <w:tc>
          <w:tcPr>
            <w:tcW w:type="dxa" w:w="2266"/>
            <w:vAlign w:val="center"/>
          </w:tcPr>
          <w:p>
            <w:pPr>
              <w:jc w:val="center"/>
            </w:pPr>
            <w:r/>
            <w:r>
              <w:rPr>
                <w:rFonts w:ascii="宋体" w:hAnsi="宋体" w:eastAsia="宋体"/>
                <w:b w:val="0"/>
                <w:sz w:val="18"/>
              </w:rPr>
              <w:t>0.8472</w:t>
            </w:r>
          </w:p>
        </w:tc>
        <w:tc>
          <w:tcPr>
            <w:tcW w:type="dxa" w:w="2266"/>
            <w:vAlign w:val="center"/>
          </w:tcPr>
          <w:p>
            <w:pPr>
              <w:jc w:val="center"/>
            </w:pPr>
            <w:r/>
            <w:r>
              <w:rPr>
                <w:rFonts w:ascii="宋体" w:hAnsi="宋体" w:eastAsia="宋体"/>
                <w:b w:val="0"/>
                <w:sz w:val="18"/>
              </w:rPr>
              <w:t>0.1576</w:t>
            </w:r>
          </w:p>
        </w:tc>
      </w:tr>
      <w:tr>
        <w:tc>
          <w:tcPr>
            <w:tcW w:type="dxa" w:w="2266"/>
            <w:vAlign w:val="center"/>
          </w:tcPr>
          <w:p>
            <w:pPr>
              <w:jc w:val="center"/>
            </w:pPr>
            <w:r/>
            <w:r>
              <w:rPr>
                <w:rFonts w:ascii="宋体" w:hAnsi="宋体" w:eastAsia="宋体"/>
                <w:b w:val="0"/>
                <w:sz w:val="18"/>
              </w:rPr>
              <w:t>PACE target_only</w:t>
            </w:r>
          </w:p>
        </w:tc>
        <w:tc>
          <w:tcPr>
            <w:tcW w:type="dxa" w:w="2266"/>
            <w:vAlign w:val="center"/>
          </w:tcPr>
          <w:p>
            <w:pPr>
              <w:jc w:val="center"/>
            </w:pPr>
            <w:r/>
            <w:r>
              <w:rPr>
                <w:rFonts w:ascii="宋体" w:hAnsi="宋体" w:eastAsia="宋体"/>
                <w:b w:val="0"/>
                <w:sz w:val="18"/>
              </w:rPr>
              <w:t>1.0000</w:t>
            </w:r>
          </w:p>
        </w:tc>
        <w:tc>
          <w:tcPr>
            <w:tcW w:type="dxa" w:w="2266"/>
            <w:vAlign w:val="center"/>
          </w:tcPr>
          <w:p>
            <w:pPr>
              <w:jc w:val="center"/>
            </w:pPr>
            <w:r/>
            <w:r>
              <w:rPr>
                <w:rFonts w:ascii="宋体" w:hAnsi="宋体" w:eastAsia="宋体"/>
                <w:b w:val="0"/>
                <w:sz w:val="18"/>
              </w:rPr>
              <w:t>0.0032</w:t>
            </w:r>
          </w:p>
        </w:tc>
        <w:tc>
          <w:tcPr>
            <w:tcW w:type="dxa" w:w="2266"/>
            <w:vAlign w:val="center"/>
          </w:tcPr>
          <w:p>
            <w:pPr>
              <w:jc w:val="center"/>
            </w:pPr>
            <w:r/>
            <w:r>
              <w:rPr>
                <w:rFonts w:ascii="宋体" w:hAnsi="宋体" w:eastAsia="宋体"/>
                <w:b w:val="0"/>
                <w:sz w:val="18"/>
              </w:rPr>
              <w:t>0.0032</w:t>
            </w:r>
          </w:p>
        </w:tc>
      </w:tr>
      <w:tr>
        <w:tc>
          <w:tcPr>
            <w:tcW w:type="dxa" w:w="2266"/>
            <w:vAlign w:val="center"/>
          </w:tcPr>
          <w:p>
            <w:pPr>
              <w:jc w:val="center"/>
            </w:pPr>
            <w:r/>
            <w:r>
              <w:rPr>
                <w:rFonts w:ascii="宋体" w:hAnsi="宋体" w:eastAsia="宋体"/>
                <w:b w:val="0"/>
                <w:sz w:val="18"/>
              </w:rPr>
              <w:t>PACE max1_per_case</w:t>
            </w:r>
          </w:p>
        </w:tc>
        <w:tc>
          <w:tcPr>
            <w:tcW w:type="dxa" w:w="2266"/>
            <w:vAlign w:val="center"/>
          </w:tcPr>
          <w:p>
            <w:pPr>
              <w:jc w:val="center"/>
            </w:pPr>
            <w:r/>
            <w:r>
              <w:rPr>
                <w:rFonts w:ascii="宋体" w:hAnsi="宋体" w:eastAsia="宋体"/>
                <w:b w:val="0"/>
                <w:sz w:val="18"/>
              </w:rPr>
              <w:t>0.9997</w:t>
            </w:r>
          </w:p>
        </w:tc>
        <w:tc>
          <w:tcPr>
            <w:tcW w:type="dxa" w:w="2266"/>
            <w:vAlign w:val="center"/>
          </w:tcPr>
          <w:p>
            <w:pPr>
              <w:jc w:val="center"/>
            </w:pPr>
            <w:r/>
            <w:r>
              <w:rPr>
                <w:rFonts w:ascii="宋体" w:hAnsi="宋体" w:eastAsia="宋体"/>
                <w:b w:val="0"/>
                <w:sz w:val="18"/>
              </w:rPr>
              <w:t>0.0099</w:t>
            </w:r>
          </w:p>
        </w:tc>
        <w:tc>
          <w:tcPr>
            <w:tcW w:type="dxa" w:w="2266"/>
            <w:vAlign w:val="center"/>
          </w:tcPr>
          <w:p>
            <w:pPr>
              <w:jc w:val="center"/>
            </w:pPr>
            <w:r/>
            <w:r>
              <w:rPr>
                <w:rFonts w:ascii="宋体" w:hAnsi="宋体" w:eastAsia="宋体"/>
                <w:b w:val="0"/>
                <w:sz w:val="18"/>
              </w:rPr>
              <w:t>0.0099</w:t>
            </w:r>
          </w:p>
        </w:tc>
      </w:tr>
      <w:tr>
        <w:tc>
          <w:tcPr>
            <w:tcW w:type="dxa" w:w="2266"/>
            <w:vAlign w:val="center"/>
          </w:tcPr>
          <w:p>
            <w:pPr>
              <w:jc w:val="center"/>
            </w:pPr>
            <w:r/>
            <w:r>
              <w:rPr>
                <w:rFonts w:ascii="宋体" w:hAnsi="宋体" w:eastAsia="宋体"/>
                <w:b w:val="0"/>
                <w:sz w:val="18"/>
              </w:rPr>
              <w:t>PACE max2_per_person</w:t>
            </w:r>
          </w:p>
        </w:tc>
        <w:tc>
          <w:tcPr>
            <w:tcW w:type="dxa" w:w="2266"/>
            <w:vAlign w:val="center"/>
          </w:tcPr>
          <w:p>
            <w:pPr>
              <w:jc w:val="center"/>
            </w:pPr>
            <w:r/>
            <w:r>
              <w:rPr>
                <w:rFonts w:ascii="宋体" w:hAnsi="宋体" w:eastAsia="宋体"/>
                <w:b w:val="0"/>
                <w:sz w:val="18"/>
              </w:rPr>
              <w:t>0.9757</w:t>
            </w:r>
          </w:p>
        </w:tc>
        <w:tc>
          <w:tcPr>
            <w:tcW w:type="dxa" w:w="2266"/>
            <w:vAlign w:val="center"/>
          </w:tcPr>
          <w:p>
            <w:pPr>
              <w:jc w:val="center"/>
            </w:pPr>
            <w:r/>
            <w:r>
              <w:rPr>
                <w:rFonts w:ascii="宋体" w:hAnsi="宋体" w:eastAsia="宋体"/>
                <w:b w:val="0"/>
                <w:sz w:val="18"/>
              </w:rPr>
              <w:t>0.0984</w:t>
            </w:r>
          </w:p>
        </w:tc>
        <w:tc>
          <w:tcPr>
            <w:tcW w:type="dxa" w:w="2266"/>
            <w:vAlign w:val="center"/>
          </w:tcPr>
          <w:p>
            <w:pPr>
              <w:jc w:val="center"/>
            </w:pPr>
            <w:r/>
            <w:r>
              <w:rPr>
                <w:rFonts w:ascii="宋体" w:hAnsi="宋体" w:eastAsia="宋体"/>
                <w:b w:val="0"/>
                <w:sz w:val="18"/>
              </w:rPr>
              <w:t>0.0960</w:t>
            </w:r>
          </w:p>
        </w:tc>
      </w:tr>
    </w:tbl>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privacy_utility_tradeoff.png"/>
                    <pic:cNvPicPr/>
                  </pic:nvPicPr>
                  <pic:blipFill>
                    <a:blip r:embed="rId9"/>
                    <a:stretch>
                      <a:fillRect/>
                    </a:stretch>
                  </pic:blipFill>
                  <pic:spPr>
                    <a:xfrm>
                      <a:off x="0" y="0"/>
                      <a:ext cx="5029200" cy="3592286"/>
                    </a:xfrm>
                    <a:prstGeom prst="rect"/>
                  </pic:spPr>
                </pic:pic>
              </a:graphicData>
            </a:graphic>
          </wp:inline>
        </w:drawing>
      </w:r>
    </w:p>
    <w:p>
      <w:pPr>
        <w:jc w:val="center"/>
      </w:pPr>
      <w:r>
        <w:t>图1 不同编辑策略下的隐私压制—公开知识保持权衡</w:t>
      </w:r>
    </w:p>
    <w:p>
      <w:pPr>
        <w:ind w:firstLine="420"/>
      </w:pPr>
      <w:r>
        <w:rPr>
          <w:rFonts w:ascii="宋体" w:hAnsi="宋体" w:eastAsia="宋体"/>
          <w:sz w:val="21"/>
        </w:rPr>
        <w:t>PrivacyScore 定义为 1 - Private Value Contains，UtilityScore 定义为 Public Contains。PUS 仅作为简化综合指标，用于展示 trade-off 趋势。结果显示，PACE 的 PrivacyScore 最高但 UtilityScore 极低；MEMIT 的 UtilityScore 较高但 PrivacyScore 较低；ROME 处于二者之间。</w:t>
      </w:r>
    </w:p>
    <w:p>
      <w:pPr>
        <w:ind w:firstLine="420"/>
      </w:pPr>
      <w:r>
        <w:rPr>
          <w:rFonts w:ascii="宋体" w:hAnsi="宋体" w:eastAsia="宋体"/>
          <w:sz w:val="21"/>
        </w:rPr>
        <w:t>上述结果共同表明，当前任务的核心难点不是单独降低目标隐私输出，而是在 privacy-utility trade-off 中同时控制隐私泄露、公开知识保持与过度拒答。</w:t>
      </w:r>
    </w:p>
    <w:p>
      <w:pPr>
        <w:pStyle w:val="Heading2"/>
      </w:pPr>
      <w:r>
        <w:t>4.11  典型案例分析</w:t>
      </w:r>
    </w:p>
    <w:p>
      <w:pPr>
        <w:ind w:firstLine="420"/>
      </w:pPr>
      <w:r>
        <w:rPr>
          <w:rFonts w:ascii="宋体" w:hAnsi="宋体" w:eastAsia="宋体"/>
          <w:sz w:val="21"/>
        </w:rPr>
        <w:t>定性样例显示，部分编辑后输出会同时包含拒答模板和敏感格式，说明 safe_refusal 不能单独作为成功指标；另一些 public query 中模型直接拒答，说明人物相关问题会受到隐私编辑的泛化影响。该现象与 over-refusal 统计相互印证。</w:t>
      </w:r>
    </w:p>
    <w:p>
      <w:pPr>
        <w:pStyle w:val="Heading2"/>
      </w:pPr>
      <w:r>
        <w:t>4.12  实验小结</w:t>
      </w:r>
    </w:p>
    <w:p>
      <w:pPr>
        <w:ind w:firstLine="420"/>
      </w:pPr>
      <w:r>
        <w:rPr>
          <w:rFonts w:ascii="宋体" w:hAnsi="宋体" w:eastAsia="宋体"/>
          <w:sz w:val="21"/>
        </w:rPr>
        <w:t>本章实验说明，模型编辑可用于降低 synthetic privacy setting 下的目标隐私输出，但当前策略尚未同时兼顾隐私压制与公开知识保持。该结论不是对方法价值的否定，而是为副作用感知编辑策略提供了明确实验依据。</w:t>
      </w:r>
    </w:p>
    <w:p>
      <w:pPr>
        <w:pStyle w:val="Heading1"/>
      </w:pPr>
      <w:r>
        <w:t>5  代码/软件使用说明</w:t>
      </w:r>
    </w:p>
    <w:p>
      <w:pPr>
        <w:pStyle w:val="Heading2"/>
      </w:pPr>
      <w:r>
        <w:t>5.1  项目目录结构</w:t>
      </w:r>
    </w:p>
    <w:p>
      <w:pPr>
        <w:ind w:firstLine="420"/>
      </w:pPr>
      <w:r>
        <w:rPr>
          <w:rFonts w:ascii="宋体" w:hAnsi="宋体" w:eastAsia="宋体"/>
          <w:sz w:val="21"/>
        </w:rPr>
        <w:t>项目基于 EasyEdit 仓库扩展，主要目录包括 scripts/、docs/、artifacts/、hparams/、easyeditor/ 等。其中 scripts/ 存放数据构造、LoRA 训练、模型编辑、评估、汇总和 CAPE 请求选择脚本；artifacts/ 存放每轮实验的小型结果文件和审计报告；hparams/ 存放 ROME/MEMIT 等方法配置；easyeditor/ 为 EasyEdit 原始框架主体。</w:t>
      </w:r>
    </w:p>
    <w:p>
      <w:pPr>
        <w:pStyle w:val="Heading2"/>
      </w:pPr>
      <w:r>
        <w:t>5.2  数据构造模块</w:t>
      </w:r>
    </w:p>
    <w:p>
      <w:pPr>
        <w:ind w:firstLine="420"/>
      </w:pPr>
      <w:r>
        <w:rPr>
          <w:rFonts w:ascii="宋体" w:hAnsi="宋体" w:eastAsia="宋体"/>
          <w:sz w:val="21"/>
        </w:rPr>
        <w:t>数据构造脚本负责生成 synthetic_privacy_dataset.json、LoRA 训练数据和 ROME/MEMIT 请求文件。每条样本保留 case_id、person_id、attribute、attack_type、attack_template_id 等字段，保证后续评估能够按攻击类型、人物和属性进行追踪。</w:t>
      </w:r>
    </w:p>
    <w:p>
      <w:pPr>
        <w:pStyle w:val="Heading2"/>
      </w:pPr>
      <w:r>
        <w:t>5.3  LoRA 隐私注入模块</w:t>
      </w:r>
    </w:p>
    <w:p>
      <w:pPr>
        <w:ind w:firstLine="420"/>
      </w:pPr>
      <w:r>
        <w:rPr>
          <w:rFonts w:ascii="宋体" w:hAnsi="宋体" w:eastAsia="宋体"/>
          <w:sz w:val="21"/>
        </w:rPr>
        <w:t>LoRA 注入模块使用 EasyEdit/Transformers/PEFT 相关能力，对 Qwen2.5-7B 进行 MLP-only 训练，并将 adapter merge 为独立模型目录。训练结束后通过 private/public eval 验证模型是否形成可控泄露。</w:t>
      </w:r>
    </w:p>
    <w:p>
      <w:pPr>
        <w:pStyle w:val="Heading2"/>
      </w:pPr>
      <w:r>
        <w:t>5.4  ROME / MEMIT 编辑模块</w:t>
      </w:r>
    </w:p>
    <w:p>
      <w:pPr>
        <w:ind w:firstLine="420"/>
      </w:pPr>
      <w:r>
        <w:rPr>
          <w:rFonts w:ascii="宋体" w:hAnsi="宋体" w:eastAsia="宋体"/>
          <w:sz w:val="21"/>
        </w:rPr>
        <w:t>隐私拒答编辑统一使用 scripts/run_privacy_refusal_edit.py。该脚本支持 ROME 和 MEMIT，能够加载外部 requests_path，并在编辑完成后自动生成 subset/full private eval 和 public retain eval。MEMIT 所需 MOM2 stats 通过独立准备脚本生成，不关闭 mom2_adjustment，也不修改底层 MEMIT 算法。</w:t>
      </w:r>
    </w:p>
    <w:p>
      <w:pPr>
        <w:pStyle w:val="Heading2"/>
      </w:pPr>
      <w:r>
        <w:t>5.5  PACE / CAPE 请求选择模块</w:t>
      </w:r>
    </w:p>
    <w:p>
      <w:pPr>
        <w:ind w:firstLine="420"/>
      </w:pPr>
      <w:r>
        <w:rPr>
          <w:rFonts w:ascii="宋体" w:hAnsi="宋体" w:eastAsia="宋体"/>
          <w:sz w:val="21"/>
        </w:rPr>
        <w:t>PACE 请求构造基于 ROME 后 residual leakage cases，支持 target_only、max1_per_case、max2_per_person 等不同选择约束。CAPE-v0 则进一步读取 public retain eval，加入 public-anchor blocking 和 per-person budget，使请求选择在进入 GPU 编辑前就体现副作用控制。</w:t>
      </w:r>
    </w:p>
    <w:p>
      <w:pPr>
        <w:pStyle w:val="Heading2"/>
      </w:pPr>
      <w:r>
        <w:t>5.6  评估与审计模块</w:t>
      </w:r>
    </w:p>
    <w:p>
      <w:pPr>
        <w:ind w:firstLine="420"/>
      </w:pPr>
      <w:r>
        <w:rPr>
          <w:rFonts w:ascii="宋体" w:hAnsi="宋体" w:eastAsia="宋体"/>
          <w:sz w:val="21"/>
        </w:rPr>
        <w:t>评估模块包括 evaluate_privacy_leakage.py、evaluate_public_retain.py、compare_v2_editing_methods.py 和 analyze_v2_audit.py。审计脚本会输出 metric definitions、method provenance、over-refusal、attack-type breakdown、trade-off points 和 qualitative cases，避免只凭单一泄露率解释结果。</w:t>
      </w:r>
    </w:p>
    <w:p>
      <w:pPr>
        <w:pStyle w:val="Heading2"/>
      </w:pPr>
      <w:r>
        <w:t>5.7  实验复现流程</w:t>
      </w:r>
    </w:p>
    <w:p>
      <w:pPr>
        <w:pStyle w:val="ListNumber"/>
      </w:pPr>
      <w:r>
        <w:t>在本地修改脚本并通过 git push 同步到 GitHub。</w:t>
      </w:r>
    </w:p>
    <w:p>
      <w:pPr>
        <w:pStyle w:val="ListNumber"/>
      </w:pPr>
      <w:r>
        <w:t>在 AutoDL 服务器进入 /root/autodl-tmp/projects/EasyEdit 后 git pull。</w:t>
      </w:r>
    </w:p>
    <w:p>
      <w:pPr>
        <w:pStyle w:val="ListNumber"/>
      </w:pPr>
      <w:r>
        <w:t>激活 conda easyedit 环境，设置 HF cache、PYTHONPATH、代理与 NLTK_DATA。</w:t>
      </w:r>
    </w:p>
    <w:p>
      <w:pPr>
        <w:pStyle w:val="ListNumber"/>
      </w:pPr>
      <w:r>
        <w:t>运行对应 pipeline 脚本完成编辑、评估、汇总和 artifact 打包。</w:t>
      </w:r>
    </w:p>
    <w:p>
      <w:pPr>
        <w:pStyle w:val="ListNumber"/>
      </w:pPr>
      <w:r>
        <w:t>仅将 summary/eval/csv/md/png 等小文件拉回本地分析，不传输模型权重、MOM2 stats 或 Wikipedia cache。</w:t>
      </w:r>
    </w:p>
    <w:p>
      <w:pPr>
        <w:pStyle w:val="Heading2"/>
      </w:pPr>
      <w:r>
        <w:t>5.8  运行环境与依赖</w:t>
      </w:r>
    </w:p>
    <w:p>
      <w:pPr>
        <w:ind w:firstLine="420"/>
      </w:pPr>
      <w:r>
        <w:rPr>
          <w:rFonts w:ascii="宋体" w:hAnsi="宋体" w:eastAsia="宋体"/>
          <w:sz w:val="21"/>
        </w:rPr>
        <w:t>主要运行环境为 Linux/AutoDL GPU 服务器，模型与缓存位于 /root/autodl-tmp。本地 Windows 负责代码修改、结果分析和论文整理。关键依赖包括 PyTorch、Transformers、Datasets、EasyEdit、PEFT、python-docx 等。</w:t>
      </w:r>
    </w:p>
    <w:p>
      <w:pPr>
        <w:pStyle w:val="Heading2"/>
      </w:pPr>
      <w:r>
        <w:t>5.9  AI 辅助开发记录</w:t>
      </w:r>
    </w:p>
    <w:p>
      <w:pPr>
        <w:ind w:firstLine="420"/>
      </w:pPr>
      <w:r>
        <w:rPr>
          <w:rFonts w:ascii="宋体" w:hAnsi="宋体" w:eastAsia="宋体"/>
          <w:sz w:val="21"/>
        </w:rPr>
        <w:t>项目开发过程中使用 AI 编程助手辅助生成脚本、整理运行命令、分析日志和润色论文文本。所有实验命令、结果口径和最终结论均经过人工确认，AI 作为辅助工具而非独立研究主体。</w:t>
      </w:r>
    </w:p>
    <w:p>
      <w:pPr>
        <w:pStyle w:val="Heading1"/>
      </w:pPr>
      <w:r>
        <w:t>6  结论</w:t>
      </w:r>
    </w:p>
    <w:p>
      <w:pPr>
        <w:ind w:firstLine="420"/>
      </w:pPr>
      <w:r>
        <w:rPr>
          <w:rFonts w:ascii="宋体" w:hAnsi="宋体" w:eastAsia="宋体"/>
          <w:sz w:val="21"/>
        </w:rPr>
        <w:t>本文围绕大语言模型隐私知识清洗任务，构建了从 synthetic privacy benchmark、LoRA 隐私记忆注入、ROME/MEMIT 模型编辑、PACE 闭环再编辑到指标审计和副作用分析的完整研究流程。实验验证了模型编辑压制可控隐私泄露的可行性，也揭示了当前策略在隐私压制和公开知识保持之间存在明显权衡。</w:t>
      </w:r>
    </w:p>
    <w:p>
      <w:pPr>
        <w:ind w:firstLine="420"/>
      </w:pPr>
      <w:r>
        <w:rPr>
          <w:rFonts w:ascii="宋体" w:hAnsi="宋体" w:eastAsia="宋体"/>
          <w:sz w:val="21"/>
        </w:rPr>
        <w:t>具体而言，ROME 能降低部分目标隐私值输出，但会带来明显 public damage；MEMIT 保留公开知识较好，但隐私压制能力不足；PACE 能显著压低泄露，却容易导致人物相关公开问题上的过度拒答。这些结果说明，隐私知识清洗不应只追求更高拒答率或更低目标值包含率，还必须同时控制 non-target knowledge 的副作用。</w:t>
      </w:r>
    </w:p>
    <w:p>
      <w:pPr>
        <w:ind w:firstLine="420"/>
      </w:pPr>
      <w:r>
        <w:rPr>
          <w:rFonts w:ascii="宋体" w:hAnsi="宋体" w:eastAsia="宋体"/>
          <w:sz w:val="21"/>
        </w:rPr>
        <w:t>基于上述发现，本文提出 CAPE-v0 作为后续改进方向，通过 public-anchor blocking 与 per-person edit budget 在请求选择阶段控制副作用。当前 CAPE-v0 已完成请求选择和报告生成，完整模型编辑评估仍需等待服务器实验结果回收后补充。本文的局限包括：实验基于 synthetic privacy setting，不代表真实预训练 PII 删除；PACE/CAPE 的 residual mining 与最终评估仍存在 held-out separation 不充分的问题；Public Contains 属于宽松保持指标，后续仍需更严格的人工或语义评估。</w:t>
      </w:r>
    </w:p>
    <w:p>
      <w:pPr>
        <w:pStyle w:val="Heading1"/>
      </w:pPr>
      <w:r>
        <w:t>参考文献</w:t>
      </w:r>
    </w:p>
    <w:p>
      <w:pPr>
        <w:ind w:firstLine="0"/>
      </w:pPr>
      <w:r>
        <w:t>[1] Carlini N., Tramer F., Wallace E., et al. Extracting Training Data from Large Language Models. USENIX Security Symposium, 2021.</w:t>
      </w:r>
    </w:p>
    <w:p>
      <w:pPr>
        <w:ind w:firstLine="0"/>
      </w:pPr>
      <w:r>
        <w:t>[2] Meng K., Bau D., Andonian A., Belinkov Y. Locating and Editing Factual Associations in GPT. Advances in Neural Information Processing Systems, 2022.</w:t>
      </w:r>
    </w:p>
    <w:p>
      <w:pPr>
        <w:ind w:firstLine="0"/>
      </w:pPr>
      <w:r>
        <w:t>[3] Meng K., Sharma A. S., Andonian A., Belinkov Y., Bau D. Mass-Editing Memory in a Transformer. arXiv:2210.07229, 2022.</w:t>
      </w:r>
    </w:p>
    <w:p>
      <w:pPr>
        <w:ind w:firstLine="0"/>
      </w:pPr>
      <w:r>
        <w:t>[4] Wang P., Zhang N., Tian B., et al. EasyEdit: An Easy-to-use Knowledge Editing Framework for Large Language Models. ACL Demo, 2024.</w:t>
      </w:r>
    </w:p>
    <w:p>
      <w:pPr>
        <w:ind w:firstLine="0"/>
      </w:pPr>
      <w:r>
        <w:t>[5] Hu E. J., Shen Y., Wallis P., et al. LoRA: Low-Rank Adaptation of Large Language Models. ICLR, 2022.</w:t>
      </w:r>
    </w:p>
    <w:p>
      <w:pPr>
        <w:ind w:firstLine="0"/>
      </w:pPr>
      <w:r>
        <w:t>[6] Bourtoule L., Chandrasekaran V., Choquette-Choo C. A., et al. Machine Unlearning. IEEE Symposium on Security and Privacy, 2021.</w:t>
      </w:r>
    </w:p>
    <w:p>
      <w:pPr>
        <w:ind w:firstLine="0"/>
      </w:pPr>
      <w:r>
        <w:t>[7] Wu X., Li J., Xu M., et al. DEPN: Detecting and Editing Privacy Neurons in Pretrained Language Models. EMNLP, 2023.</w:t>
      </w:r>
    </w:p>
    <w:p>
      <w:pPr>
        <w:ind w:firstLine="0"/>
      </w:pPr>
      <w:r>
        <w:t>[8] Dai D., Dong L., Hao Y., Sui Z., Chang B., Wei F. Knowledge Neurons in Pretrained Transformers. ACL, 2022.</w:t>
      </w:r>
    </w:p>
    <w:p>
      <w:pPr>
        <w:ind w:firstLine="0"/>
      </w:pPr>
      <w:r>
        <w:t>[9] Petroni F., Rocktaschel T., Riedel S., et al. Language Models as Knowledge Bases? EMNLP-IJCNLP, 2019.</w:t>
      </w:r>
    </w:p>
    <w:p>
      <w:pPr>
        <w:ind w:firstLine="0"/>
      </w:pPr>
      <w:r>
        <w:t>[10] Brown H., Lee K., Mireshghallah F., Tramer F., Shokri R. What Does It Mean for a Language Model to Preserve Privacy? ACM FAccT, 2022.</w:t>
      </w:r>
    </w:p>
    <w:p>
      <w:pPr>
        <w:ind w:firstLine="0"/>
      </w:pPr>
      <w:r>
        <w:t>[11] Lukas N., Salem A., Sim R., Tople S., Wutschitz L., Zanella-Beguelin S. Analyzing Leakage of Personally Identifiable Information in Language Models. IEEE Symposium on Security and Privacy, 2023.</w:t>
      </w:r>
    </w:p>
    <w:p>
      <w:pPr>
        <w:ind w:firstLine="0"/>
      </w:pPr>
      <w:r>
        <w:t>[12] Dwork C., Roth A. The Algorithmic Foundations of Differential Privacy. Foundations and Trends in Theoretical Computer Science, 2014.</w:t>
      </w:r>
    </w:p>
    <w:p>
      <w:pPr>
        <w:ind w:firstLine="0"/>
      </w:pPr>
      <w:r>
        <w:t>[13] Jang J., Yoon D., Yang S., et al. Knowledge Unlearning for Mitigating Privacy Risks in Language Models. arXiv preprint, 2023.</w:t>
      </w:r>
    </w:p>
    <w:p>
      <w:pPr>
        <w:ind w:firstLine="0"/>
      </w:pPr>
      <w:r>
        <w:t>[14] Eldan R., Russinovich M. Who's Harry Potter? Approximate Unlearning in LLMs. arXiv:2310.02238, 2023.</w:t>
      </w:r>
    </w:p>
    <w:sectPr w:rsidR="00FC693F" w:rsidRPr="0006063C" w:rsidSect="00034616">
      <w:pgSz w:w="12240" w:h="15840"/>
      <w:pgMar w:top="1440" w:right="1587" w:bottom="1440"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黑体" w:hAnsi="黑体" w:eastAsia="黑体"/>
      <w:b/>
      <w:bCs/>
      <w:color w:val="1F4D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黑体" w:hAnsi="黑体" w:eastAsia="黑体"/>
      <w:b/>
      <w:bCs/>
      <w:color w:val="1F4D78"/>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