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960"/>
        <w:jc w:val="center"/>
      </w:pPr>
      <w:r>
        <w:rPr>
          <w:rFonts w:ascii="Times New Roman" w:hAnsi="Times New Roman" w:eastAsia="黑体"/>
          <w:b/>
          <w:sz w:val="44"/>
        </w:rPr>
        <w:t>课程论文</w:t>
      </w:r>
    </w:p>
    <w:p>
      <w:pPr>
        <w:spacing w:after="360"/>
        <w:jc w:val="center"/>
      </w:pPr>
      <w:r>
        <w:rPr>
          <w:rFonts w:ascii="Times New Roman" w:hAnsi="Times New Roman" w:eastAsia="宋体"/>
          <w:b w:val="0"/>
          <w:sz w:val="28"/>
        </w:rPr>
        <w:t>课  程：智能系统综合实践</w:t>
      </w:r>
    </w:p>
    <w:p>
      <w:pPr>
        <w:spacing w:after="360"/>
        <w:jc w:val="center"/>
      </w:pPr>
      <w:r>
        <w:rPr>
          <w:rFonts w:ascii="Times New Roman" w:hAnsi="Times New Roman" w:eastAsia="宋体"/>
          <w:b w:val="0"/>
          <w:sz w:val="28"/>
        </w:rPr>
        <w:t>题  目：基于模型编辑的大语言模型隐私知识清洗与保护研究</w:t>
      </w:r>
    </w:p>
    <w:p>
      <w:pPr>
        <w:spacing w:after="360"/>
        <w:jc w:val="center"/>
      </w:pPr>
      <w:r>
        <w:rPr>
          <w:rFonts w:ascii="Times New Roman" w:hAnsi="Times New Roman" w:eastAsia="宋体"/>
          <w:b w:val="0"/>
          <w:sz w:val="28"/>
        </w:rPr>
        <w:t>级、专业：        级  计算机科学与技术  专业        班</w:t>
      </w:r>
    </w:p>
    <w:p>
      <w:pPr>
        <w:spacing w:after="360"/>
        <w:jc w:val="center"/>
      </w:pPr>
      <w:r>
        <w:rPr>
          <w:rFonts w:ascii="Times New Roman" w:hAnsi="Times New Roman" w:eastAsia="宋体"/>
          <w:b w:val="0"/>
          <w:sz w:val="28"/>
        </w:rPr>
        <w:t>学生姓名：</w:t>
      </w:r>
    </w:p>
    <w:p>
      <w:pPr>
        <w:spacing w:after="360"/>
        <w:jc w:val="center"/>
      </w:pPr>
      <w:r>
        <w:rPr>
          <w:rFonts w:ascii="Times New Roman" w:hAnsi="Times New Roman" w:eastAsia="宋体"/>
          <w:b w:val="0"/>
          <w:sz w:val="28"/>
        </w:rPr>
        <w:t>提交日期：2026 年 6 月 23 日</w:t>
      </w:r>
    </w:p>
    <w:p>
      <w:r>
        <w:br w:type="page"/>
      </w:r>
    </w:p>
    <w:tbl>
      <w:tblPr>
        <w:tblStyle w:val="TableGrid"/>
        <w:tblW w:type="auto" w:w="0"/>
        <w:jc w:val="center"/>
        <w:tblLook w:firstColumn="1" w:firstRow="1" w:lastColumn="0" w:lastRow="0" w:noHBand="0" w:noVBand="1" w:val="04A0"/>
      </w:tblPr>
      <w:tblGrid>
        <w:gridCol w:w="8731"/>
      </w:tblGrid>
      <w:tr>
        <w:tc>
          <w:tcPr>
            <w:tcW w:type="dxa" w:w="8731"/>
          </w:tcPr>
          <w:p>
            <w:pPr>
              <w:spacing w:line="360" w:lineRule="auto"/>
            </w:pPr>
            <w:r/>
            <w:r>
              <w:rPr>
                <w:rFonts w:ascii="Times New Roman" w:hAnsi="Times New Roman" w:eastAsia="宋体"/>
                <w:b w:val="0"/>
                <w:sz w:val="24"/>
              </w:rPr>
              <w:t>摘要：</w:t>
              <w:br/>
              <w:t>大语言模型在预训练和后训练过程中会把大量语言模式和事实关联压缩进参数，其中部分关联可能对应电话号码、邮箱等个人可识别信息。当模型在后续应用中面对直接询问、改写询问或补全式提示时，这类参数化隐私记忆可能被重新触发，进而产生隐私泄露风险。仅依赖输出过滤或提示层拒答虽然部署成本较低，但不能直接改变模型内部已经形成的知识关联；全量重训或机器遗忘又往往需要较高计算成本和原始训练数据访问权限。针对这一矛盾，本文研究基于模型编辑的隐私知识清洗问题，关注如何在压制目标隐私事实输出的同时，尽量保持同主体公开知识、同关系其他主体公开知识和通用知识回答能力。</w:t>
              <w:br/>
              <w:t>本文首先构建 private/public 解耦的合成隐私评测基准，将电话号码、邮箱等隐私事实与职业、学校、雇主、家乡等公开事实显式分离，并设计 direct、paraphrase、completion、roleplay、context 等多类攻击提示。为了获得可控且可复现的待清洗对象，本文使用低秩适配（Low-Rank Adaptation，LoRA）向 Qwen2.5-7B 注入合成隐私与公开事实，并将适配器合并为统一的隐私泄露模型。在此基础上，本文将 ROME、MEMIT、FT 等通用模型编辑方法适配到隐私拒答式清洗任务，并提出 PACE、CAPE 与 CAPE-Anchor 三类请求选择层策略：PACE 根据残余泄露样本进行闭环再编辑，CAPE 引入副作用感知筛选，CAPE-Anchor 进一步在二轮请求集合中加入公开知识锚点，以缓解闭环再编辑造成的 public collapse。</w:t>
              <w:br/>
              <w:t>实验结果显示，提示拒答几乎不能改变模型内部隐私记忆；MEMIT 保留公开知识较好但隐私压制不足，ROME 处于隐私压制与知识保持的中间区域，FT、PACE 和 CAPE 则形成强隐私压制但公开知识保持较弱的端点。CAPE-Anchor 在 Qwen synthetic privacy 主任务上形成了更合理的隐私压制—知识保持折中：相对于 naive PACE/CAPE，它提高了公开知识保持能力，但也会牺牲部分隐私压制强度。因此，本文将其结论限定为有限有效改进，而非零损伤方案或全局占优方案。进一步的 Qwen CounterFact/zsRE 实验表明，closed-loop wrapper 可以迁移到公开事实编辑任务中运行，但效果中等；GPT-J-6B 上的第二模型验证则显示，未重新调参的 wrapper 存在明显迁移边界。总体而言，本文建立了可复现的隐私知识清洗评测流程，并揭示了模型编辑隐私清洗中的隐私压制、公开知识保持与过度拒答之间的结构性权衡。</w:t>
            </w:r>
          </w:p>
        </w:tc>
      </w:tr>
      <w:tr>
        <w:tc>
          <w:tcPr>
            <w:tcW w:type="dxa" w:w="8731"/>
          </w:tcPr>
          <w:p>
            <w:pPr>
              <w:spacing w:line="360" w:lineRule="auto"/>
            </w:pPr>
            <w:r/>
            <w:r>
              <w:rPr>
                <w:rFonts w:ascii="Times New Roman" w:hAnsi="Times New Roman" w:eastAsia="宋体"/>
                <w:b w:val="0"/>
                <w:sz w:val="24"/>
              </w:rPr>
              <w:t>关键词：大语言模型；模型编辑；隐私知识清洗；知识保持；过度拒答；PACE；CAPE-Anchor</w:t>
            </w:r>
          </w:p>
        </w:tc>
      </w:tr>
    </w:tbl>
    <w:p/>
    <w:p>
      <w:pPr>
        <w:pStyle w:val="Heading1"/>
        <w:spacing w:before="240" w:after="240"/>
        <w:jc w:val="center"/>
      </w:pPr>
      <w:r>
        <w:rPr>
          <w:rFonts w:ascii="Times New Roman" w:hAnsi="Times New Roman" w:eastAsia="黑体"/>
          <w:b/>
          <w:sz w:val="32"/>
        </w:rPr>
        <w:t>1  绪论</w:t>
      </w:r>
    </w:p>
    <w:p>
      <w:pPr>
        <w:pStyle w:val="Heading2"/>
        <w:spacing w:before="200" w:after="120"/>
      </w:pPr>
      <w:r>
        <w:rPr>
          <w:rFonts w:ascii="Times New Roman" w:hAnsi="Times New Roman" w:eastAsia="黑体"/>
          <w:b/>
          <w:sz w:val="28"/>
        </w:rPr>
        <w:t>1.1  研究背景与意义</w:t>
      </w:r>
    </w:p>
    <w:p>
      <w:pPr>
        <w:spacing w:line="360" w:lineRule="auto" w:before="0" w:after="0"/>
        <w:ind w:firstLine="480"/>
      </w:pPr>
      <w:r>
        <w:rPr>
          <w:rFonts w:ascii="Times New Roman" w:hAnsi="Times New Roman" w:eastAsia="宋体"/>
          <w:b w:val="0"/>
          <w:sz w:val="24"/>
        </w:rPr>
        <w:t>大语言模型已经成为智能系统的重要基础设施，被广泛应用于问答、办公自动化、代码生成和知识服务等场景。模型通过大规模语料学习语言规律和事实关联，在获得强生成能力的同时，也可能记忆训练语料或后训练数据中的具体事实。若这些事实涉及电话号码、邮箱、住址、工作单位等敏感信息，模型在特定提示下可能输出隐私内容，进而带来安全、合规和信任风险。</w:t>
      </w:r>
    </w:p>
    <w:p>
      <w:pPr>
        <w:spacing w:line="360" w:lineRule="auto" w:before="0" w:after="0"/>
        <w:ind w:firstLine="480"/>
      </w:pPr>
      <w:r>
        <w:rPr>
          <w:rFonts w:ascii="Times New Roman" w:hAnsi="Times New Roman" w:eastAsia="宋体"/>
          <w:b w:val="0"/>
          <w:sz w:val="24"/>
        </w:rPr>
        <w:t>传统防护方式多发生在输出层，例如关键词过滤、安全分类器和拒答模板。这类方法部署便利，但没有直接改变模型内部已经形成的知识关联。对于改写询问、补全诱导、上下文诱导等攻击形式，外部过滤策略可能出现漏检。模型编辑则尝试在参数层面对特定事实关联进行局部修改，为隐私知识清洗提供了不同于重训和输出过滤的技术路径。</w:t>
      </w:r>
    </w:p>
    <w:p>
      <w:pPr>
        <w:spacing w:line="360" w:lineRule="auto" w:before="0" w:after="0"/>
        <w:ind w:firstLine="480"/>
      </w:pPr>
      <w:r>
        <w:rPr>
          <w:rFonts w:ascii="Times New Roman" w:hAnsi="Times New Roman" w:eastAsia="宋体"/>
          <w:b w:val="0"/>
          <w:sz w:val="24"/>
        </w:rPr>
        <w:t>隐私清洗任务与普通事实修正不同。事实编辑通常希望把错误事实替换为正确事实，而隐私清洗希望模型对目标隐私查询不输出敏感值，同时保留同一人物的公开信息、其他人物的相关公开知识和一般知识能力。因此，该任务需要同时考察隐私压制、知识保持和过度拒答。只统计隐私查询上的拒答比例，容易把宽泛拒答误判为清洗效果。</w:t>
      </w:r>
    </w:p>
    <w:p>
      <w:pPr>
        <w:spacing w:line="360" w:lineRule="auto" w:before="0" w:after="0"/>
        <w:ind w:firstLine="480"/>
      </w:pPr>
      <w:r>
        <w:rPr>
          <w:rFonts w:ascii="Times New Roman" w:hAnsi="Times New Roman" w:eastAsia="宋体"/>
          <w:b w:val="0"/>
          <w:sz w:val="24"/>
        </w:rPr>
        <w:t>从应用场景看，隐私清洗具有明确的现实需求。企业知识库、客服对话、邮件语料和个性化助手都可能包含半结构化个人信息。模型一旦在后训练阶段接触这些数据，后续即使删除原始文件，也可能仍在参数中保留可触发关联。对于部署方而言，理想策略应当在不重新训练整个模型的前提下，降低特定隐私值被输出的概率，同时尽量维持模型对非敏感问题的正常回答能力。</w:t>
      </w:r>
    </w:p>
    <w:p>
      <w:pPr>
        <w:spacing w:line="360" w:lineRule="auto" w:before="0" w:after="0"/>
        <w:ind w:firstLine="480"/>
      </w:pPr>
      <w:r>
        <w:rPr>
          <w:rFonts w:ascii="Times New Roman" w:hAnsi="Times New Roman" w:eastAsia="宋体"/>
          <w:b w:val="0"/>
          <w:sz w:val="24"/>
        </w:rPr>
        <w:t>从研究方法看，隐私清洗需要将安全目标和效用目标放在同一实验框架中评估。若只报告隐私泄露下降，方法可能通过对整类人物问题拒答获得较好数值；若只报告公开知识保持，方法又可能没有真正压制敏感值。本文将二者合并为多目标问题，并把公开问题拒答率作为副作用指标，目的是让隐私保护效果和知识损伤同时可见。</w:t>
      </w:r>
    </w:p>
    <w:p>
      <w:pPr>
        <w:pStyle w:val="Heading2"/>
        <w:spacing w:before="200" w:after="120"/>
      </w:pPr>
      <w:r>
        <w:rPr>
          <w:rFonts w:ascii="Times New Roman" w:hAnsi="Times New Roman" w:eastAsia="黑体"/>
          <w:b/>
          <w:sz w:val="28"/>
        </w:rPr>
        <w:t>1.2  国内外研究现状</w:t>
      </w:r>
    </w:p>
    <w:p>
      <w:pPr>
        <w:spacing w:line="360" w:lineRule="auto" w:before="0" w:after="0"/>
        <w:ind w:firstLine="480"/>
      </w:pPr>
      <w:r>
        <w:rPr>
          <w:rFonts w:ascii="Times New Roman" w:hAnsi="Times New Roman" w:eastAsia="宋体"/>
          <w:b w:val="0"/>
          <w:sz w:val="24"/>
        </w:rPr>
        <w:t>训练数据记忆和隐私抽取研究表明，神经语言模型可能在特定条件下复现训练样本中的长片段或结构化信息[1-3]。电话号码、邮箱和身份标识等个人信息具有明显格式特征，既便于正则检测，也可能在补全式提示中被模型输出。机器遗忘和差分隐私从训练机制层面对隐私风险进行控制，但往往需要重新训练、访问原始训练数据或引入较高效用代价[4-5]。</w:t>
      </w:r>
    </w:p>
    <w:p>
      <w:pPr>
        <w:spacing w:line="360" w:lineRule="auto" w:before="0" w:after="0"/>
        <w:ind w:firstLine="480"/>
      </w:pPr>
      <w:r>
        <w:rPr>
          <w:rFonts w:ascii="Times New Roman" w:hAnsi="Times New Roman" w:eastAsia="宋体"/>
          <w:b w:val="0"/>
          <w:sz w:val="24"/>
        </w:rPr>
        <w:t>模型编辑研究关注在不全量重训的情况下修改模型中的特定知识。ROME 通过定位事实关联对应的 MLP 层表征并执行局部更新来实现单条知识编辑[7]；MEMIT 将这种思路扩展到多事实批量编辑[8]；MEND、SERAC、IKE、GRACE 等方法则分别从元学习、外部记忆、上下文学习或适配器角度探索编辑机制[9-11]。EasyEdit 将多种编辑方法统一到同一工程框架中，为同模型、同数据、同评估协议下的横向比较提供了基础[14-15]。</w:t>
      </w:r>
    </w:p>
    <w:p>
      <w:pPr>
        <w:spacing w:line="360" w:lineRule="auto" w:before="0" w:after="0"/>
        <w:ind w:firstLine="480"/>
      </w:pPr>
      <w:r>
        <w:rPr>
          <w:rFonts w:ascii="Times New Roman" w:hAnsi="Times New Roman" w:eastAsia="宋体"/>
          <w:b w:val="0"/>
          <w:sz w:val="24"/>
        </w:rPr>
        <w:t>现有模型编辑评测通常强调可靠性、泛化性和局部性，但隐私清洗还需要显式衡量公开知识是否被误伤。尤其在拒答式目标下，编辑器可能学到宽泛的拒答模式，使人物相关公开问题也被拒绝。本文将公开问题拒答率纳入评估，用于刻画隐私清洗中的副作用。</w:t>
      </w:r>
    </w:p>
    <w:p>
      <w:pPr>
        <w:spacing w:line="360" w:lineRule="auto" w:before="0" w:after="0"/>
        <w:ind w:firstLine="480"/>
      </w:pPr>
      <w:r>
        <w:rPr>
          <w:rFonts w:ascii="Times New Roman" w:hAnsi="Times New Roman" w:eastAsia="宋体"/>
          <w:b w:val="0"/>
          <w:sz w:val="24"/>
        </w:rPr>
        <w:t>训练数据抽取研究通常从攻击者视角出发，衡量模型是否会在提示诱导下输出训练样本。机器遗忘研究则更关注从模型中移除某些样本或概念的影响[5,21-22]。与这两类工作相比，本文的实验对象更具体：在后训练注入的可控隐私事实上，观察标准模型编辑器是否能够实现目标隐私清洗，以及这种清洗会对公开事实造成怎样的副作用。</w:t>
      </w:r>
    </w:p>
    <w:p>
      <w:pPr>
        <w:spacing w:line="360" w:lineRule="auto" w:before="0" w:after="0"/>
        <w:ind w:firstLine="480"/>
      </w:pPr>
      <w:r>
        <w:rPr>
          <w:rFonts w:ascii="Times New Roman" w:hAnsi="Times New Roman" w:eastAsia="宋体"/>
          <w:b w:val="0"/>
          <w:sz w:val="24"/>
        </w:rPr>
        <w:t>通用知识编辑 benchmark 多以 CounterFact、zsRE 或 LAMA 等事实性任务为核心，目标通常是把某个关系对象改为新对象，并通过 locality 指标观察非目标事实是否保持[16-17]。隐私清洗中的目标输出并非另一个公开事实，而是拒绝泄露敏感值；这使得 locality 的含义发生变化。公开事实保持率和公开问题拒答率因此成为本文实验中更贴合任务的局部性度量。</w:t>
      </w:r>
    </w:p>
    <w:p>
      <w:pPr>
        <w:pStyle w:val="Heading2"/>
        <w:spacing w:before="200" w:after="120"/>
      </w:pPr>
      <w:r>
        <w:rPr>
          <w:rFonts w:ascii="Times New Roman" w:hAnsi="Times New Roman" w:eastAsia="黑体"/>
          <w:b/>
          <w:sz w:val="28"/>
        </w:rPr>
        <w:t>1.3  现有方法不足</w:t>
      </w:r>
    </w:p>
    <w:p>
      <w:pPr>
        <w:spacing w:line="360" w:lineRule="auto" w:before="0" w:after="0"/>
        <w:ind w:firstLine="480"/>
      </w:pPr>
      <w:r>
        <w:rPr>
          <w:rFonts w:ascii="Times New Roman" w:hAnsi="Times New Roman" w:eastAsia="宋体"/>
          <w:b w:val="0"/>
          <w:sz w:val="24"/>
        </w:rPr>
        <w:t>面向隐私清洗的主要困难在于任务目标同时包含敏感值压制和非敏感知识保持。若编辑过弱，模型仍可能在补全或上下文提示下泄露隐私；若编辑过强，模型可能对同主体公开知识产生拒答，导致服务能力下降。该权衡关系使单一指标难以完整评价方法优劣。</w:t>
      </w:r>
    </w:p>
    <w:p>
      <w:pPr>
        <w:spacing w:line="360" w:lineRule="auto" w:before="0" w:after="0"/>
        <w:ind w:firstLine="480"/>
      </w:pPr>
      <w:r>
        <w:rPr>
          <w:rFonts w:ascii="Times New Roman" w:hAnsi="Times New Roman" w:eastAsia="宋体"/>
          <w:b w:val="0"/>
          <w:sz w:val="24"/>
        </w:rPr>
        <w:t>另一个困难来自实验可控性。真实个人信息难以确认其是否存在于训练语料，也难以在公开论文中直接展示和复现。本文采用合成隐私评测基准，目的在于提供可控、可归因和可重复的实验环境。该设置适合机制分析，但外部有效性仍需要公开数据集和公开模型进一步验证。</w:t>
      </w:r>
    </w:p>
    <w:p>
      <w:pPr>
        <w:spacing w:line="360" w:lineRule="auto" w:before="0" w:after="0"/>
        <w:ind w:firstLine="480"/>
      </w:pPr>
      <w:r>
        <w:rPr>
          <w:rFonts w:ascii="Times New Roman" w:hAnsi="Times New Roman" w:eastAsia="宋体"/>
          <w:b w:val="0"/>
          <w:sz w:val="24"/>
        </w:rPr>
        <w:t>第三个困难来自攻击提示的多样性。直接询问只覆盖最显式的泄露路径，改写询问、补全诱导、角色扮演和上下文诱导可能触发不同的内部关联。一个编辑请求若只约束 canonical prompt，可能无法覆盖续写式攻击；但如果对所有失败提示都反复再编辑，又可能导致拒答模式扩散。因此，请求构造本身也是隐私清洗效果的重要因素。</w:t>
      </w:r>
    </w:p>
    <w:p>
      <w:pPr>
        <w:spacing w:line="360" w:lineRule="auto" w:before="0" w:after="0"/>
        <w:ind w:firstLine="480"/>
      </w:pPr>
      <w:r>
        <w:rPr>
          <w:rFonts w:ascii="Times New Roman" w:hAnsi="Times New Roman" w:eastAsia="宋体"/>
          <w:b w:val="0"/>
          <w:sz w:val="24"/>
        </w:rPr>
        <w:t>第四个困难来自评估指标的解释边界。自动 contains 匹配可以稳定统计目标值是否出现，但对自然语言回答质量的覆盖有限；正则指标可以识别电话和邮箱格式，但覆盖范围集中在结构化隐私类型；拒答标记能衡量安全倾向，但合理拒答和过度拒答还需要结合问题类型区分。本文在结果分析中保留这些边界，使实验结论与指标能力相匹配。</w:t>
      </w:r>
    </w:p>
    <w:p>
      <w:pPr>
        <w:pStyle w:val="Heading2"/>
        <w:spacing w:before="200" w:after="120"/>
      </w:pPr>
      <w:r>
        <w:rPr>
          <w:rFonts w:ascii="Times New Roman" w:hAnsi="Times New Roman" w:eastAsia="黑体"/>
          <w:b/>
          <w:sz w:val="28"/>
        </w:rPr>
        <w:t>1.4  本文研究内容与贡献</w:t>
      </w:r>
    </w:p>
    <w:p>
      <w:pPr>
        <w:spacing w:line="360" w:lineRule="auto" w:before="0" w:after="0"/>
        <w:ind w:firstLine="480"/>
      </w:pPr>
      <w:r>
        <w:rPr>
          <w:rFonts w:ascii="Times New Roman" w:hAnsi="Times New Roman" w:eastAsia="宋体"/>
          <w:b w:val="0"/>
          <w:sz w:val="24"/>
        </w:rPr>
        <w:t>本文围绕“基于模型编辑的大语言模型隐私知识清洗”构建完整实验流程。首先，构造包含隐私事实和公开事实的合成数据集；其次，通过 LoRA 注入形成统一的隐私泄露模型；再次，在同一模型和同一评估协议下比较 ROME、MEMIT、FT、PACE、CAPE 和 CAPE-Anchor；最后，从隐私值包含率、公开知识包含式保持率、公开问题拒答率以及公开事实编辑迁移验证等维度分析各方法的行为边界。</w:t>
      </w:r>
    </w:p>
    <w:p>
      <w:pPr>
        <w:spacing w:line="360" w:lineRule="auto" w:before="0" w:after="0"/>
        <w:ind w:firstLine="480"/>
      </w:pPr>
      <w:r>
        <w:rPr>
          <w:rFonts w:ascii="Times New Roman" w:hAnsi="Times New Roman" w:eastAsia="宋体"/>
          <w:b w:val="0"/>
          <w:sz w:val="24"/>
        </w:rPr>
        <w:t>本文贡献包括四点。第一，构建 private/public 解耦的隐私清洗评测基准，使目标隐私压制和公开知识保持能够同时度量。第二，基于 LoRA 构造可控泄露模型，并在 EasyEdit 框架下将 ROME、MEMIT、FT 等编辑方法适配到隐私拒答式清洗任务。第三，提出 PACE、CAPE 与 CAPE-Anchor 三类 wrapper 层请求选择策略，用于分析残余泄露闭环再编辑、过度拒答和公开知识锚点约束。第四，建立隐私压制—知识保持权衡分析框架，将 Public Refusal、attack-type split、Qwen public transfer 和 GPT-J boundary check 纳入同一结果口径。</w:t>
      </w:r>
    </w:p>
    <w:p>
      <w:pPr>
        <w:spacing w:line="360" w:lineRule="auto" w:before="0" w:after="0"/>
        <w:ind w:firstLine="480"/>
      </w:pPr>
      <w:r>
        <w:rPr>
          <w:rFonts w:ascii="Times New Roman" w:hAnsi="Times New Roman" w:eastAsia="宋体"/>
          <w:b w:val="0"/>
          <w:sz w:val="24"/>
        </w:rPr>
        <w:t>在方法定位上，PACE、CAPE 和 CAPE-Anchor 均属于编辑器外层策略，而非新的底层参数更新算法。这样的设计使实验能够保持 ROME/MEMIT 原始实现相对干净，同时把研究重点放在隐私任务特有的请求选择和副作用控制上。本文最终主张也相应保持克制：CAPE-Anchor 不是在所有指标上占优的新编辑器，而是在 Qwen synthetic privacy 主任务上形成了更合理的隐私压制—知识保持折中。</w:t>
      </w:r>
    </w:p>
    <w:p>
      <w:pPr>
        <w:pStyle w:val="Heading2"/>
        <w:spacing w:before="200" w:after="120"/>
      </w:pPr>
      <w:r>
        <w:rPr>
          <w:rFonts w:ascii="Times New Roman" w:hAnsi="Times New Roman" w:eastAsia="黑体"/>
          <w:b/>
          <w:sz w:val="28"/>
        </w:rPr>
        <w:t>1.5  论文结构</w:t>
      </w:r>
    </w:p>
    <w:p>
      <w:pPr>
        <w:spacing w:line="360" w:lineRule="auto" w:before="0" w:after="0"/>
        <w:ind w:firstLine="480"/>
      </w:pPr>
      <w:r>
        <w:rPr>
          <w:rFonts w:ascii="Times New Roman" w:hAnsi="Times New Roman" w:eastAsia="宋体"/>
          <w:b w:val="0"/>
          <w:sz w:val="24"/>
        </w:rPr>
        <w:t>第 2 章介绍相关技术与任务定义；第 3 章给出隐私知识清洗框架设计；第 4 章报告实验设置与结果分析；第 5 章说明系统实现和复现机制；第 6 章总结全文并讨论后续工作。</w:t>
      </w:r>
    </w:p>
    <w:p>
      <w:pPr>
        <w:pStyle w:val="Heading1"/>
        <w:spacing w:before="240" w:after="240"/>
        <w:jc w:val="center"/>
      </w:pPr>
      <w:r>
        <w:rPr>
          <w:rFonts w:ascii="Times New Roman" w:hAnsi="Times New Roman" w:eastAsia="黑体"/>
          <w:b/>
          <w:sz w:val="32"/>
        </w:rPr>
        <w:t>2  相关技术与问题定义</w:t>
      </w:r>
    </w:p>
    <w:p>
      <w:pPr>
        <w:pStyle w:val="Heading2"/>
        <w:spacing w:before="200" w:after="120"/>
      </w:pPr>
      <w:r>
        <w:rPr>
          <w:rFonts w:ascii="Times New Roman" w:hAnsi="Times New Roman" w:eastAsia="黑体"/>
          <w:b/>
          <w:sz w:val="28"/>
        </w:rPr>
        <w:t>2.1  大语言模型中的参数化知识与隐私记忆</w:t>
      </w:r>
    </w:p>
    <w:p>
      <w:pPr>
        <w:spacing w:line="360" w:lineRule="auto" w:before="0" w:after="0"/>
        <w:ind w:firstLine="480"/>
      </w:pPr>
      <w:r>
        <w:rPr>
          <w:rFonts w:ascii="Times New Roman" w:hAnsi="Times New Roman" w:eastAsia="宋体"/>
          <w:b w:val="0"/>
          <w:sz w:val="24"/>
        </w:rPr>
        <w:t>大语言模型可被视为在参数中编码了大量语言模式和事实关联。前馈层和注意力层共同参与知识存储与调用，其中部分研究指出 Transformer 前馈层具有类似键值记忆的作用。隐私记忆可以理解为模型在参数中形成的关于个人敏感事实的可触发关联。当查询提示与该关联匹配时，模型可能输出对应敏感值。</w:t>
      </w:r>
    </w:p>
    <w:p>
      <w:pPr>
        <w:spacing w:line="360" w:lineRule="auto" w:before="0" w:after="0"/>
        <w:ind w:firstLine="480"/>
      </w:pPr>
      <w:r>
        <w:rPr>
          <w:rFonts w:ascii="Times New Roman" w:hAnsi="Times New Roman" w:eastAsia="宋体"/>
          <w:b w:val="0"/>
          <w:sz w:val="24"/>
        </w:rPr>
        <w:t>参数化知识的特点在于其并不以显式数据库记录形式存在，而是分布在大量权重和激活模式中。隐私事实一旦进入这种表示空间，删除原始训练样本并不必然消除模型输出该事实的能力。模型编辑的研究价值正来自这一点：它尝试在较低重训成本下修改局部知识关联，从而为后训练隐私清洗提供可操作路径。</w:t>
      </w:r>
    </w:p>
    <w:p>
      <w:pPr>
        <w:pStyle w:val="Heading2"/>
        <w:spacing w:before="200" w:after="120"/>
      </w:pPr>
      <w:r>
        <w:rPr>
          <w:rFonts w:ascii="Times New Roman" w:hAnsi="Times New Roman" w:eastAsia="黑体"/>
          <w:b/>
          <w:sz w:val="28"/>
        </w:rPr>
        <w:t>2.2  LoRA 参数高效微调</w:t>
      </w:r>
    </w:p>
    <w:p>
      <w:pPr>
        <w:spacing w:line="360" w:lineRule="auto" w:before="0" w:after="0"/>
        <w:ind w:firstLine="480"/>
      </w:pPr>
      <w:r>
        <w:rPr>
          <w:rFonts w:ascii="Times New Roman" w:hAnsi="Times New Roman" w:eastAsia="宋体"/>
          <w:b w:val="0"/>
          <w:sz w:val="24"/>
        </w:rPr>
        <w:t>LoRA 通过低秩矩阵近似对模型权重增量进行参数高效更新，在保持基础模型主体参数不变的情况下完成任务适配[6]。本文利用 MLP-only LoRA 将合成隐私事实与公开事实注入模型，使编辑前模型具有稳定、可测量的隐私泄露行为。该步骤用于构造统一实验起点，后续清洗效果由模型编辑阶段负责评估。</w:t>
      </w:r>
    </w:p>
    <w:p>
      <w:pPr>
        <w:spacing w:line="360" w:lineRule="auto" w:before="0" w:after="0"/>
        <w:ind w:firstLine="480"/>
      </w:pPr>
      <w:r>
        <w:rPr>
          <w:rFonts w:ascii="Times New Roman" w:hAnsi="Times New Roman" w:eastAsia="宋体"/>
          <w:b w:val="0"/>
          <w:sz w:val="24"/>
        </w:rPr>
        <w:t>本文选择 LoRA 构造泄露模型，是因为它能够以较低成本向模型注入可控事实，而不需要重新训练全部参数。MLP-only 设置使注入更集中于事实表达相关模块，也便于后续使用 ROME/MEMIT 等编辑器观察 MLP 层编辑效果。该设计将“构造泄露对象”和“执行隐私清洗”分离，减少实验解释中的混杂因素。</w:t>
      </w:r>
    </w:p>
    <w:p>
      <w:pPr>
        <w:pStyle w:val="Heading2"/>
        <w:spacing w:before="200" w:after="120"/>
      </w:pPr>
      <w:r>
        <w:rPr>
          <w:rFonts w:ascii="Times New Roman" w:hAnsi="Times New Roman" w:eastAsia="黑体"/>
          <w:b/>
          <w:sz w:val="28"/>
        </w:rPr>
        <w:t>2.3  模型编辑与 EasyEdit 框架</w:t>
      </w:r>
    </w:p>
    <w:p>
      <w:pPr>
        <w:spacing w:line="360" w:lineRule="auto" w:before="0" w:after="0"/>
        <w:ind w:firstLine="480"/>
      </w:pPr>
      <w:r>
        <w:rPr>
          <w:rFonts w:ascii="Times New Roman" w:hAnsi="Times New Roman" w:eastAsia="宋体"/>
          <w:b w:val="0"/>
          <w:sz w:val="24"/>
        </w:rPr>
        <w:t>模型编辑旨在以较低代价修改模型对特定知识的响应。EasyEdit 提供统一接口，使 ROME、MEMIT 等方法可以在相同输入格式和评估流程下运行。本文将 EasyEdit 作为基础工程框架，但不修改 ROME 和 MEMIT 的底层更新公式，所有改进集中在数据构造、请求选择和评估分析层面。</w:t>
      </w:r>
    </w:p>
    <w:p>
      <w:pPr>
        <w:spacing w:line="360" w:lineRule="auto" w:before="0" w:after="0"/>
        <w:ind w:firstLine="480"/>
      </w:pPr>
      <w:r>
        <w:rPr>
          <w:rFonts w:ascii="Times New Roman" w:hAnsi="Times New Roman" w:eastAsia="宋体"/>
          <w:b w:val="0"/>
          <w:sz w:val="24"/>
        </w:rPr>
        <w:t>统一框架对本文尤为重要。若不同方法使用不同数据预处理、不同生成参数或不同评估脚本，结果差异可能来自工程细节而非方法本身。本文将请求格式、生成设置、full private/public 评估和结果汇总统一在同一流水线中，使 ROME、MEMIT、PACE 和 CAPE 的比较具有更清晰的控制变量。</w:t>
      </w:r>
    </w:p>
    <w:p>
      <w:pPr>
        <w:pStyle w:val="Heading2"/>
        <w:spacing w:before="200" w:after="120"/>
      </w:pPr>
      <w:r>
        <w:rPr>
          <w:rFonts w:ascii="Times New Roman" w:hAnsi="Times New Roman" w:eastAsia="黑体"/>
          <w:b/>
          <w:sz w:val="28"/>
        </w:rPr>
        <w:t>2.4  基础编辑方法与闭环请求选择</w:t>
      </w:r>
    </w:p>
    <w:p>
      <w:pPr>
        <w:spacing w:line="360" w:lineRule="auto" w:before="0" w:after="0"/>
        <w:ind w:firstLine="480"/>
      </w:pPr>
      <w:r>
        <w:rPr>
          <w:rFonts w:ascii="Times New Roman" w:hAnsi="Times New Roman" w:eastAsia="宋体"/>
          <w:b w:val="0"/>
          <w:sz w:val="24"/>
        </w:rPr>
        <w:t>ROME 面向单条事实编辑，通过定位事实关联在模型中的关键层并执行秩一更新来改变目标输出[7]。MEMIT 面向批量事实编辑，在多个层上估计更新并同时注入多条编辑约束[8]。二者均源于普通事实编辑任务，原始目标通常是把错误事实替换为另一个正确事实；本文将其改造为拒答式隐私清洗，即把目标隐私查询映射到安全拒答表达。</w:t>
      </w:r>
    </w:p>
    <w:p>
      <w:pPr>
        <w:spacing w:line="360" w:lineRule="auto" w:before="0" w:after="0"/>
        <w:ind w:firstLine="480"/>
      </w:pPr>
      <w:r>
        <w:rPr>
          <w:rFonts w:ascii="Times New Roman" w:hAnsi="Times New Roman" w:eastAsia="宋体"/>
          <w:b w:val="0"/>
          <w:sz w:val="24"/>
        </w:rPr>
        <w:t>除 ROME 和 MEMIT 外，本文还纳入 FT、KN 与 IKE 作为对照。FT 通过直接参数微调学习拒答目标，能够形成强覆盖式更新，但也更容易破坏非目标知识。KN 基于知识神经元定位思想修改与特定事实相关的神经元，对计算资源和定位过程较敏感。IKE 属于基于上下文示例的编辑方式，本身不直接修改模型参数，但依赖检索或句向量模型构造示例。上述方法共同构成本文的基础编辑器对照组，用于观察不同编辑范式在隐私拒答目标下的行为端点。</w:t>
      </w:r>
    </w:p>
    <w:p>
      <w:pPr>
        <w:spacing w:line="360" w:lineRule="auto" w:before="0" w:after="0"/>
        <w:ind w:firstLine="480"/>
      </w:pPr>
      <w:r>
        <w:rPr>
          <w:rFonts w:ascii="Times New Roman" w:hAnsi="Times New Roman" w:eastAsia="宋体"/>
          <w:b w:val="0"/>
          <w:sz w:val="24"/>
        </w:rPr>
        <w:t>需要强调的是，PACE、CAPE 与 CAPE-Anchor 并不是新的底层参数更新算法，而是位于基础编辑器外层的请求选择策略。它们保持底层编辑器实现不变，通过决定哪些残余泄露样本进入二轮编辑、是否引入公开知识锚点以及如何控制请求规模，来调节隐私压制与公开知识保持之间的权衡。这样的定位使本文能够把算法更新和请求构造区分开来，避免把 wrapper 层效果误写成基础编辑器本身的改进。</w:t>
      </w:r>
    </w:p>
    <w:p>
      <w:pPr>
        <w:pStyle w:val="Heading2"/>
        <w:spacing w:before="200" w:after="120"/>
      </w:pPr>
      <w:r>
        <w:rPr>
          <w:rFonts w:ascii="Times New Roman" w:hAnsi="Times New Roman" w:eastAsia="黑体"/>
          <w:b/>
          <w:sz w:val="28"/>
        </w:rPr>
        <w:t>2.5  隐私知识清洗任务定义</w:t>
      </w:r>
    </w:p>
    <w:p>
      <w:pPr>
        <w:spacing w:line="360" w:lineRule="auto" w:before="0" w:after="0"/>
        <w:ind w:firstLine="480"/>
      </w:pPr>
      <w:r>
        <w:rPr>
          <w:rFonts w:ascii="Times New Roman" w:hAnsi="Times New Roman" w:eastAsia="宋体"/>
          <w:b w:val="0"/>
          <w:sz w:val="24"/>
        </w:rPr>
        <w:t>设原模型为 M，编辑后模型为 M'，待清洗隐私事实集合为 K_F，需要保留的公开事实集合为 K_R。隐私知识清洗要求 M' 在隐私查询集合上降低目标敏感值输出，在公开查询集合上保持正确公开事实，并避免把非敏感问题泛化为拒答。</w:t>
      </w:r>
    </w:p>
    <w:p>
      <w:pPr>
        <w:spacing w:line="360" w:lineRule="auto" w:before="0" w:after="0"/>
        <w:ind w:firstLine="480"/>
      </w:pPr>
      <w:r>
        <w:rPr>
          <w:rFonts w:ascii="Times New Roman" w:hAnsi="Times New Roman" w:eastAsia="宋体"/>
          <w:b w:val="0"/>
          <w:sz w:val="24"/>
        </w:rPr>
        <w:t>在本文设置中，K_F 包含需要清洗的电话号码和邮箱等隐私事实，K_R 包含职业、学校、雇主和家乡等公开事实。查询集合 Q_F 覆盖多类攻击提示，查询集合 Q_R 覆盖同主体公开知识、同关系其他主体公开知识和通用知识。这样的划分使隐私清洗被定义为一个多目标优化问题，而非单一拒答任务。</w:t>
      </w:r>
    </w:p>
    <w:p>
      <w:pPr>
        <w:spacing w:line="360" w:lineRule="auto" w:before="0" w:after="0"/>
        <w:jc w:val="center"/>
      </w:pPr>
      <w:r>
        <w:rPr>
          <w:rFonts w:ascii="Times New Roman" w:hAnsi="Times New Roman" w:eastAsia="宋体"/>
          <w:b w:val="0"/>
          <w:sz w:val="22"/>
        </w:rPr>
        <w:t>\mathcal{J}(M') = \operatorname{Leakage}(M', \mathcal{K}_{F}) + \lambda \operatorname{UtilityLoss}(M, M', \mathcal{K}_{R}) + \mu \operatorname{OverRefusal}(M', \mathcal{K}_{R})</w:t>
      </w:r>
    </w:p>
    <w:p>
      <w:pPr>
        <w:pStyle w:val="Heading2"/>
        <w:spacing w:before="200" w:after="120"/>
      </w:pPr>
      <w:r>
        <w:rPr>
          <w:rFonts w:ascii="Times New Roman" w:hAnsi="Times New Roman" w:eastAsia="黑体"/>
          <w:b/>
          <w:sz w:val="28"/>
        </w:rPr>
        <w:t>2.6  评价指标与审计口径</w:t>
      </w:r>
    </w:p>
    <w:p>
      <w:pPr>
        <w:spacing w:line="360" w:lineRule="auto" w:before="0" w:after="0"/>
        <w:ind w:firstLine="480"/>
      </w:pPr>
      <w:r>
        <w:rPr>
          <w:rFonts w:ascii="Times New Roman" w:hAnsi="Times New Roman" w:eastAsia="宋体"/>
          <w:b w:val="0"/>
          <w:sz w:val="24"/>
        </w:rPr>
        <w:t>本文将隐私值包含率作为目标隐私泄露的主要自动指标。该指标判断目标敏感值是否作为归一化子串出现在模型输出中，适合衡量电话号码、邮箱等显式隐私值泄露。PII 格式匹配率进一步统计输出是否出现目标格式的敏感串，但仅覆盖电话和邮箱等可正则检测类型。</w:t>
      </w:r>
    </w:p>
    <w:p>
      <w:pPr>
        <w:spacing w:line="360" w:lineRule="auto" w:before="0" w:after="0"/>
        <w:ind w:firstLine="480"/>
      </w:pPr>
      <w:r>
        <w:rPr>
          <w:rFonts w:ascii="Times New Roman" w:hAnsi="Times New Roman" w:eastAsia="宋体"/>
          <w:b w:val="0"/>
          <w:sz w:val="24"/>
        </w:rPr>
        <w:t>公开知识包含式保持率衡量公开事实答案是否出现在公开问题输出中。由于该指标采用包含式匹配，它反映的是目标公开值是否被提及，而非完整语义正确率。公开问题拒答率统计公开问题中出现拒答标记的比例，用于衡量过度拒答副作用。</w:t>
      </w:r>
    </w:p>
    <w:p>
      <w:pPr>
        <w:spacing w:line="360" w:lineRule="auto" w:before="0" w:after="0"/>
        <w:ind w:firstLine="480"/>
      </w:pPr>
      <w:r>
        <w:rPr>
          <w:rFonts w:ascii="Times New Roman" w:hAnsi="Times New Roman" w:eastAsia="宋体"/>
          <w:b w:val="0"/>
          <w:sz w:val="24"/>
        </w:rPr>
        <w:t>三类指标之间存在天然张力。隐私值包含率越低，说明目标敏感值越少出现在输出中；公开知识包含式保持率越高，说明非敏感事实越可能被保留；公开问题拒答率越高，则说明拒答行为可能扩散到保留集合。本文在表格和图中同时呈现这三类指标，以避免将强拒答误读为高质量清洗。</w:t>
      </w:r>
    </w:p>
    <w:p>
      <w:pPr>
        <w:spacing w:line="360" w:lineRule="auto" w:before="0" w:after="0"/>
        <w:ind w:firstLine="480"/>
      </w:pPr>
      <w:r>
        <w:rPr>
          <w:rFonts w:ascii="Times New Roman" w:hAnsi="Times New Roman" w:eastAsia="宋体"/>
          <w:b w:val="0"/>
          <w:sz w:val="24"/>
        </w:rPr>
        <w:t>需要强调的是，本文的自动指标服务于可复现实验比较。对于最终部署场景，仍需结合人工标注、语义相似度或安全评测模型进一步判断回答质量。例如，模型可能没有输出目标值，但生成了含糊或错误的公开回答；也可能没有命中拒答标记，却以礼貌回避方式拒绝回答。自动评估提供稳定基线，人工评估可作为后续补充。</w:t>
      </w:r>
    </w:p>
    <w:p>
      <w:pPr>
        <w:spacing w:line="360" w:lineRule="auto" w:before="0" w:after="0"/>
        <w:jc w:val="center"/>
      </w:pPr>
      <w:r>
        <w:rPr>
          <w:rFonts w:ascii="Times New Roman" w:hAnsi="Times New Roman" w:eastAsia="宋体"/>
          <w:b w:val="0"/>
          <w:sz w:val="22"/>
        </w:rPr>
        <w:t>\operatorname{PVC}=\frac{1}{|\mathcal{Q}_{F}|}\sum_{q \in \mathcal{Q}_{F}}\mathbf{1}\left[\operatorname{norm}(v_q)\subset\operatorname{norm}(M'(q))\right]</w:t>
      </w:r>
    </w:p>
    <w:p>
      <w:pPr>
        <w:spacing w:line="360" w:lineRule="auto" w:before="0" w:after="0"/>
        <w:jc w:val="center"/>
      </w:pPr>
      <w:r>
        <w:rPr>
          <w:rFonts w:ascii="Times New Roman" w:hAnsi="Times New Roman" w:eastAsia="宋体"/>
          <w:b w:val="0"/>
          <w:sz w:val="22"/>
        </w:rPr>
        <w:t>\operatorname{PC}=\frac{1}{|\mathcal{Q}_{R}|}\sum_{q \in \mathcal{Q}_{R}}\mathbf{1}\left[\operatorname{norm}(a_q)\subset\operatorname{norm}(M'(q))\right]</w:t>
      </w:r>
    </w:p>
    <w:p>
      <w:pPr>
        <w:spacing w:line="360" w:lineRule="auto" w:before="0" w:after="0"/>
        <w:jc w:val="center"/>
      </w:pPr>
      <w:r>
        <w:rPr>
          <w:rFonts w:ascii="Times New Roman" w:hAnsi="Times New Roman" w:eastAsia="宋体"/>
          <w:b w:val="0"/>
          <w:sz w:val="22"/>
        </w:rPr>
        <w:t>\operatorname{PRef}=\frac{1}{|\mathcal{Q}_{R}|}\sum_{q \in \mathcal{Q}_{R}}\mathbf{1}\left[M'(q)\in\mathcal{S}\right]</w:t>
      </w:r>
    </w:p>
    <w:p>
      <w:pPr>
        <w:pStyle w:val="Heading1"/>
        <w:spacing w:before="240" w:after="240"/>
        <w:jc w:val="center"/>
      </w:pPr>
      <w:r>
        <w:rPr>
          <w:rFonts w:ascii="Times New Roman" w:hAnsi="Times New Roman" w:eastAsia="黑体"/>
          <w:b/>
          <w:sz w:val="32"/>
        </w:rPr>
        <w:t>3  隐私知识清洗框架设计</w:t>
      </w:r>
    </w:p>
    <w:p>
      <w:pPr>
        <w:pStyle w:val="Heading2"/>
        <w:spacing w:before="200" w:after="120"/>
      </w:pPr>
      <w:r>
        <w:rPr>
          <w:rFonts w:ascii="Times New Roman" w:hAnsi="Times New Roman" w:eastAsia="黑体"/>
          <w:b/>
          <w:sz w:val="28"/>
        </w:rPr>
        <w:t>3.1  总体框架</w:t>
      </w:r>
    </w:p>
    <w:p>
      <w:pPr>
        <w:spacing w:line="360" w:lineRule="auto" w:before="0" w:after="0"/>
        <w:ind w:firstLine="480"/>
      </w:pPr>
      <w:r>
        <w:rPr>
          <w:rFonts w:ascii="Times New Roman" w:hAnsi="Times New Roman" w:eastAsia="宋体"/>
          <w:b w:val="0"/>
          <w:sz w:val="24"/>
        </w:rPr>
        <w:t>本文框架由四个阶段组成：合成隐私数据构造、可控泄露模型构造、模型编辑执行和多维评估分析。数据阶段明确区分隐私事实和公开事实；注入阶段通过 LoRA 构造统一的待编辑模型；编辑阶段比较基础编辑器与闭环策略；评估阶段同时报告隐私压制、知识保持和过度拒答。</w:t>
      </w:r>
    </w:p>
    <w:p>
      <w:pPr>
        <w:spacing w:line="360" w:lineRule="auto" w:before="0" w:after="0"/>
        <w:ind w:firstLine="480"/>
      </w:pPr>
      <w:r>
        <w:rPr>
          <w:rFonts w:ascii="Times New Roman" w:hAnsi="Times New Roman" w:eastAsia="宋体"/>
          <w:b w:val="0"/>
          <w:sz w:val="24"/>
        </w:rPr>
        <w:t>总体框架的设计原则是将实验对象、编辑算法和评估协议解耦。实验对象由合成数据和 LoRA 注入决定，编辑算法由 EasyEdit 中的 ROME/MEMIT 承担，请求选择由 PACE/CAPE 控制，评估协议由统一生成和统计脚本实现。这种分层设计能够清楚地区分“模型是否已经学会隐私事实”“编辑器是否压制隐私输出”“请求选择是否引入副作用”等问题。</w:t>
      </w:r>
    </w:p>
    <w:p>
      <w:pPr>
        <w:spacing w:line="360" w:lineRule="auto" w:before="0" w:after="0"/>
        <w:jc w:val="center"/>
      </w:pPr>
      <w:r>
        <w:rPr>
          <w:rFonts w:ascii="Times New Roman" w:hAnsi="Times New Roman" w:eastAsia="宋体"/>
          <w:b w:val="0"/>
          <w:sz w:val="21"/>
        </w:rPr>
        <w:t>图 1  隐私知识清洗总体框架</w:t>
      </w:r>
    </w:p>
    <w:p>
      <w:pPr>
        <w:jc w:val="center"/>
      </w:pPr>
      <w:r>
        <w:drawing>
          <wp:inline xmlns:a="http://schemas.openxmlformats.org/drawingml/2006/main" xmlns:pic="http://schemas.openxmlformats.org/drawingml/2006/picture">
            <wp:extent cx="5040000" cy="2289662"/>
            <wp:docPr id="1" name="Picture 1"/>
            <wp:cNvGraphicFramePr>
              <a:graphicFrameLocks noChangeAspect="1"/>
            </wp:cNvGraphicFramePr>
            <a:graphic>
              <a:graphicData uri="http://schemas.openxmlformats.org/drawingml/2006/picture">
                <pic:pic>
                  <pic:nvPicPr>
                    <pic:cNvPr id="0" name="fig1_framework_pipeline.png"/>
                    <pic:cNvPicPr/>
                  </pic:nvPicPr>
                  <pic:blipFill>
                    <a:blip r:embed="rId17"/>
                    <a:stretch>
                      <a:fillRect/>
                    </a:stretch>
                  </pic:blipFill>
                  <pic:spPr>
                    <a:xfrm>
                      <a:off x="0" y="0"/>
                      <a:ext cx="5040000" cy="2289662"/>
                    </a:xfrm>
                    <a:prstGeom prst="rect"/>
                  </pic:spPr>
                </pic:pic>
              </a:graphicData>
            </a:graphic>
          </wp:inline>
        </w:drawing>
      </w:r>
    </w:p>
    <w:p>
      <w:pPr>
        <w:pStyle w:val="Heading2"/>
        <w:spacing w:before="200" w:after="120"/>
      </w:pPr>
      <w:r>
        <w:rPr>
          <w:rFonts w:ascii="Times New Roman" w:hAnsi="Times New Roman" w:eastAsia="黑体"/>
          <w:b/>
          <w:sz w:val="28"/>
        </w:rPr>
        <w:t>3.2  合成隐私评测基准构建</w:t>
      </w:r>
    </w:p>
    <w:p>
      <w:pPr>
        <w:spacing w:line="360" w:lineRule="auto" w:before="0" w:after="0"/>
        <w:ind w:firstLine="480"/>
      </w:pPr>
      <w:r>
        <w:rPr>
          <w:rFonts w:ascii="Times New Roman" w:hAnsi="Times New Roman" w:eastAsia="宋体"/>
          <w:b w:val="0"/>
          <w:sz w:val="24"/>
        </w:rPr>
        <w:t>评测基准包含 100 个虚拟人物。每个人物具有电话号码、邮箱等隐私事实，以及职业、学校、雇主、家乡等公开事实。公开事实进一步划分为同主体公开知识、同关系其他主体公开知识和通用知识，用于观察编辑是否只影响目标隐私，还是扩散到相邻公开知识。</w:t>
      </w:r>
    </w:p>
    <w:p>
      <w:pPr>
        <w:spacing w:line="360" w:lineRule="auto" w:before="0" w:after="0"/>
        <w:ind w:firstLine="480"/>
      </w:pPr>
      <w:r>
        <w:rPr>
          <w:rFonts w:ascii="Times New Roman" w:hAnsi="Times New Roman" w:eastAsia="宋体"/>
          <w:b w:val="0"/>
          <w:sz w:val="24"/>
        </w:rPr>
        <w:t>合成数据的优势在于 ground truth 可控。每个隐私值和公开值均由实验脚本生成，因此可以精确判断模型输出是否包含目标值。与真实 PII 相比，合成数据避免了公开论文中展示真实个人信息的伦理和合规问题，同时保留了电话号码、邮箱等结构化隐私格式，使泄露检测具有可重复性。</w:t>
      </w:r>
    </w:p>
    <w:p>
      <w:pPr>
        <w:spacing w:line="360" w:lineRule="auto" w:before="0" w:after="0"/>
        <w:ind w:firstLine="480"/>
      </w:pPr>
      <w:r>
        <w:rPr>
          <w:rFonts w:ascii="Times New Roman" w:hAnsi="Times New Roman" w:eastAsia="宋体"/>
          <w:b w:val="0"/>
          <w:sz w:val="24"/>
        </w:rPr>
        <w:t>该基准还特别设计了多种攻击提示。直接询问用于衡量最显式的泄露风险；改写询问用于观察语义等价表达是否绕过编辑；补全诱导用于测试模型在续写场景下是否延续个人资料；角色扮演和上下文诱导用于模拟更复杂的交互式提示。这些攻击类型共同构成隐私清洗的压力测试集合。</w:t>
      </w:r>
    </w:p>
    <w:p>
      <w:pPr>
        <w:spacing w:line="360" w:lineRule="auto" w:before="0" w:after="0"/>
        <w:jc w:val="center"/>
      </w:pPr>
      <w:r>
        <w:rPr>
          <w:rFonts w:ascii="Times New Roman" w:hAnsi="Times New Roman" w:eastAsia="宋体"/>
          <w:b w:val="0"/>
          <w:sz w:val="21"/>
        </w:rPr>
        <w:t>表 1  V2 合成隐私评测基准统计</w:t>
      </w:r>
    </w:p>
    <w:tbl>
      <w:tblPr>
        <w:tblStyle w:val="TableGrid"/>
        <w:tblW w:type="auto" w:w="0"/>
        <w:jc w:val="center"/>
        <w:tblLayout w:type="autofit"/>
        <w:tblLook w:firstColumn="1" w:firstRow="1" w:lastColumn="0" w:lastRow="0" w:noHBand="0" w:noVBand="1" w:val="04A0"/>
      </w:tblPr>
      <w:tblGrid>
        <w:gridCol w:w="4365"/>
        <w:gridCol w:w="4365"/>
      </w:tblGrid>
      <w:tr>
        <w:tc>
          <w:tcPr>
            <w:tcW w:type="dxa" w:w="4365"/>
            <w:vAlign w:val="center"/>
            <w:shd w:fill="E8EEF5"/>
          </w:tcPr>
          <w:p>
            <w:pPr>
              <w:spacing w:line="276" w:lineRule="auto"/>
              <w:jc w:val="center"/>
            </w:pPr>
            <w:r/>
            <w:r>
              <w:rPr>
                <w:rFonts w:ascii="Times New Roman" w:hAnsi="Times New Roman" w:eastAsia="宋体"/>
                <w:b/>
                <w:sz w:val="17"/>
              </w:rPr>
              <w:t>项目</w:t>
            </w:r>
          </w:p>
        </w:tc>
        <w:tc>
          <w:tcPr>
            <w:tcW w:type="dxa" w:w="4365"/>
            <w:vAlign w:val="center"/>
            <w:shd w:fill="E8EEF5"/>
          </w:tcPr>
          <w:p>
            <w:pPr>
              <w:spacing w:line="276" w:lineRule="auto"/>
              <w:jc w:val="center"/>
            </w:pPr>
            <w:r/>
            <w:r>
              <w:rPr>
                <w:rFonts w:ascii="Times New Roman" w:hAnsi="Times New Roman" w:eastAsia="宋体"/>
                <w:b/>
                <w:sz w:val="17"/>
              </w:rPr>
              <w:t>规模或说明</w:t>
            </w:r>
          </w:p>
        </w:tc>
      </w:tr>
      <w:tr>
        <w:tc>
          <w:tcPr>
            <w:tcW w:type="dxa" w:w="4365"/>
            <w:vAlign w:val="center"/>
          </w:tcPr>
          <w:p>
            <w:pPr>
              <w:spacing w:line="276" w:lineRule="auto"/>
              <w:jc w:val="center"/>
            </w:pPr>
            <w:r/>
            <w:r>
              <w:rPr>
                <w:rFonts w:ascii="Times New Roman" w:hAnsi="Times New Roman" w:eastAsia="宋体"/>
                <w:b w:val="0"/>
                <w:sz w:val="17"/>
              </w:rPr>
              <w:t>人物数量</w:t>
            </w:r>
          </w:p>
        </w:tc>
        <w:tc>
          <w:tcPr>
            <w:tcW w:type="dxa" w:w="4365"/>
            <w:vAlign w:val="center"/>
          </w:tcPr>
          <w:p>
            <w:pPr>
              <w:spacing w:line="276" w:lineRule="auto"/>
              <w:jc w:val="center"/>
            </w:pPr>
            <w:r/>
            <w:r>
              <w:rPr>
                <w:rFonts w:ascii="Times New Roman" w:hAnsi="Times New Roman" w:eastAsia="宋体"/>
                <w:b w:val="0"/>
                <w:sz w:val="17"/>
              </w:rPr>
              <w:t>100</w:t>
            </w:r>
          </w:p>
        </w:tc>
      </w:tr>
      <w:tr>
        <w:tc>
          <w:tcPr>
            <w:tcW w:type="dxa" w:w="4365"/>
            <w:vAlign w:val="center"/>
          </w:tcPr>
          <w:p>
            <w:pPr>
              <w:spacing w:line="276" w:lineRule="auto"/>
              <w:jc w:val="center"/>
            </w:pPr>
            <w:r/>
            <w:r>
              <w:rPr>
                <w:rFonts w:ascii="Times New Roman" w:hAnsi="Times New Roman" w:eastAsia="宋体"/>
                <w:b w:val="0"/>
                <w:sz w:val="17"/>
              </w:rPr>
              <w:t>隐私事实类型</w:t>
            </w:r>
          </w:p>
        </w:tc>
        <w:tc>
          <w:tcPr>
            <w:tcW w:type="dxa" w:w="4365"/>
            <w:vAlign w:val="center"/>
          </w:tcPr>
          <w:p>
            <w:pPr>
              <w:spacing w:line="276" w:lineRule="auto"/>
              <w:jc w:val="center"/>
            </w:pPr>
            <w:r/>
            <w:r>
              <w:rPr>
                <w:rFonts w:ascii="Times New Roman" w:hAnsi="Times New Roman" w:eastAsia="宋体"/>
                <w:b w:val="0"/>
                <w:sz w:val="17"/>
              </w:rPr>
              <w:t>电话、邮箱</w:t>
            </w:r>
          </w:p>
        </w:tc>
      </w:tr>
      <w:tr>
        <w:tc>
          <w:tcPr>
            <w:tcW w:type="dxa" w:w="4365"/>
            <w:vAlign w:val="center"/>
          </w:tcPr>
          <w:p>
            <w:pPr>
              <w:spacing w:line="276" w:lineRule="auto"/>
              <w:jc w:val="center"/>
            </w:pPr>
            <w:r/>
            <w:r>
              <w:rPr>
                <w:rFonts w:ascii="Times New Roman" w:hAnsi="Times New Roman" w:eastAsia="宋体"/>
                <w:b w:val="0"/>
                <w:sz w:val="17"/>
              </w:rPr>
              <w:t>公开事实类型</w:t>
            </w:r>
          </w:p>
        </w:tc>
        <w:tc>
          <w:tcPr>
            <w:tcW w:type="dxa" w:w="4365"/>
            <w:vAlign w:val="center"/>
          </w:tcPr>
          <w:p>
            <w:pPr>
              <w:spacing w:line="276" w:lineRule="auto"/>
              <w:jc w:val="center"/>
            </w:pPr>
            <w:r/>
            <w:r>
              <w:rPr>
                <w:rFonts w:ascii="Times New Roman" w:hAnsi="Times New Roman" w:eastAsia="宋体"/>
                <w:b w:val="0"/>
                <w:sz w:val="17"/>
              </w:rPr>
              <w:t>职业、学校、雇主、家乡等</w:t>
            </w:r>
          </w:p>
        </w:tc>
      </w:tr>
      <w:tr>
        <w:tc>
          <w:tcPr>
            <w:tcW w:type="dxa" w:w="4365"/>
            <w:vAlign w:val="center"/>
          </w:tcPr>
          <w:p>
            <w:pPr>
              <w:spacing w:line="276" w:lineRule="auto"/>
              <w:jc w:val="center"/>
            </w:pPr>
            <w:r/>
            <w:r>
              <w:rPr>
                <w:rFonts w:ascii="Times New Roman" w:hAnsi="Times New Roman" w:eastAsia="宋体"/>
                <w:b w:val="0"/>
                <w:sz w:val="17"/>
              </w:rPr>
              <w:t>隐私攻击提示</w:t>
            </w:r>
          </w:p>
        </w:tc>
        <w:tc>
          <w:tcPr>
            <w:tcW w:type="dxa" w:w="4365"/>
            <w:vAlign w:val="center"/>
          </w:tcPr>
          <w:p>
            <w:pPr>
              <w:spacing w:line="276" w:lineRule="auto"/>
              <w:jc w:val="left"/>
            </w:pPr>
            <w:r/>
            <w:r>
              <w:rPr>
                <w:rFonts w:ascii="Times New Roman" w:hAnsi="Times New Roman" w:eastAsia="宋体"/>
                <w:b w:val="0"/>
                <w:sz w:val="17"/>
              </w:rPr>
              <w:t>direct、paraphrase、completion、roleplay、context</w:t>
            </w:r>
          </w:p>
        </w:tc>
      </w:tr>
      <w:tr>
        <w:tc>
          <w:tcPr>
            <w:tcW w:type="dxa" w:w="4365"/>
            <w:vAlign w:val="center"/>
          </w:tcPr>
          <w:p>
            <w:pPr>
              <w:spacing w:line="276" w:lineRule="auto"/>
              <w:jc w:val="center"/>
            </w:pPr>
            <w:r/>
            <w:r>
              <w:rPr>
                <w:rFonts w:ascii="Times New Roman" w:hAnsi="Times New Roman" w:eastAsia="宋体"/>
                <w:b w:val="0"/>
                <w:sz w:val="17"/>
              </w:rPr>
              <w:t>完整隐私评估</w:t>
            </w:r>
          </w:p>
        </w:tc>
        <w:tc>
          <w:tcPr>
            <w:tcW w:type="dxa" w:w="4365"/>
            <w:vAlign w:val="center"/>
          </w:tcPr>
          <w:p>
            <w:pPr>
              <w:spacing w:line="276" w:lineRule="auto"/>
              <w:jc w:val="center"/>
            </w:pPr>
            <w:r/>
            <w:r>
              <w:rPr>
                <w:rFonts w:ascii="Times New Roman" w:hAnsi="Times New Roman" w:eastAsia="宋体"/>
                <w:b w:val="0"/>
                <w:sz w:val="17"/>
              </w:rPr>
              <w:t>3000 条生成</w:t>
            </w:r>
          </w:p>
        </w:tc>
      </w:tr>
      <w:tr>
        <w:tc>
          <w:tcPr>
            <w:tcW w:type="dxa" w:w="4365"/>
            <w:vAlign w:val="center"/>
          </w:tcPr>
          <w:p>
            <w:pPr>
              <w:spacing w:line="276" w:lineRule="auto"/>
              <w:jc w:val="center"/>
            </w:pPr>
            <w:r/>
            <w:r>
              <w:rPr>
                <w:rFonts w:ascii="Times New Roman" w:hAnsi="Times New Roman" w:eastAsia="宋体"/>
                <w:b w:val="0"/>
                <w:sz w:val="17"/>
              </w:rPr>
              <w:t>公开知识评估</w:t>
            </w:r>
          </w:p>
        </w:tc>
        <w:tc>
          <w:tcPr>
            <w:tcW w:type="dxa" w:w="4365"/>
            <w:vAlign w:val="center"/>
          </w:tcPr>
          <w:p>
            <w:pPr>
              <w:spacing w:line="276" w:lineRule="auto"/>
              <w:jc w:val="center"/>
            </w:pPr>
            <w:r/>
            <w:r>
              <w:rPr>
                <w:rFonts w:ascii="Times New Roman" w:hAnsi="Times New Roman" w:eastAsia="宋体"/>
                <w:b w:val="0"/>
                <w:sz w:val="17"/>
              </w:rPr>
              <w:t>2520 条生成</w:t>
            </w:r>
          </w:p>
        </w:tc>
      </w:tr>
    </w:tbl>
    <w:p/>
    <w:p>
      <w:pPr>
        <w:pStyle w:val="Heading2"/>
        <w:spacing w:before="200" w:after="120"/>
      </w:pPr>
      <w:r>
        <w:rPr>
          <w:rFonts w:ascii="Times New Roman" w:hAnsi="Times New Roman" w:eastAsia="黑体"/>
          <w:b/>
          <w:sz w:val="28"/>
        </w:rPr>
        <w:t>3.3  可控隐私泄露模型构造</w:t>
      </w:r>
    </w:p>
    <w:p>
      <w:pPr>
        <w:spacing w:line="360" w:lineRule="auto" w:before="0" w:after="0"/>
        <w:ind w:firstLine="480"/>
      </w:pPr>
      <w:r>
        <w:rPr>
          <w:rFonts w:ascii="Times New Roman" w:hAnsi="Times New Roman" w:eastAsia="宋体"/>
          <w:b w:val="0"/>
          <w:sz w:val="24"/>
        </w:rPr>
        <w:t>本文使用 MLP-only LoRA 将隐私事实和公开事实共同注入 Qwen2.5-7B，并将适配器合并为待编辑模型。合并后模型在隐私查询上具有较高泄露率，同时在公开问题上保持较高包含式保持率，说明该模型适合作为统一编辑起点。</w:t>
      </w:r>
    </w:p>
    <w:p>
      <w:pPr>
        <w:spacing w:line="360" w:lineRule="auto" w:before="0" w:after="0"/>
        <w:ind w:firstLine="480"/>
      </w:pPr>
      <w:r>
        <w:rPr>
          <w:rFonts w:ascii="Times New Roman" w:hAnsi="Times New Roman" w:eastAsia="宋体"/>
          <w:b w:val="0"/>
          <w:sz w:val="24"/>
        </w:rPr>
        <w:t>选择合并后的模型作为编辑对象还有一个重要原因：ROME 和 MEMIT 在运行时直接修改模型参数，如果继续依赖外部 adapter，会增加编辑对象和评估路径的不确定性。将 LoRA adapter 合并后，所有方法面对的是同一个普通 causal language model，便于比较编辑前后的参数级影响。</w:t>
      </w:r>
    </w:p>
    <w:p>
      <w:pPr>
        <w:pStyle w:val="Heading2"/>
        <w:spacing w:before="200" w:after="120"/>
      </w:pPr>
      <w:r>
        <w:rPr>
          <w:rFonts w:ascii="Times New Roman" w:hAnsi="Times New Roman" w:eastAsia="黑体"/>
          <w:b/>
          <w:sz w:val="28"/>
        </w:rPr>
        <w:t>3.4  基于基础编辑器的隐私拒答编辑</w:t>
      </w:r>
    </w:p>
    <w:p>
      <w:pPr>
        <w:spacing w:line="360" w:lineRule="auto" w:before="0" w:after="0"/>
        <w:ind w:firstLine="480"/>
      </w:pPr>
      <w:r>
        <w:rPr>
          <w:rFonts w:ascii="Times New Roman" w:hAnsi="Times New Roman" w:eastAsia="宋体"/>
          <w:b w:val="0"/>
          <w:sz w:val="24"/>
        </w:rPr>
        <w:t>第一轮编辑将隐私事实对应请求改写为拒答目标，使模型在目标隐私查询上倾向于拒绝输出敏感值。ROME、MEMIT 与 FT 等基础编辑器使用各自标准设置运行。该阶段用于观察基础编辑器在隐私清洗任务中的默认行为。</w:t>
      </w:r>
    </w:p>
    <w:p>
      <w:pPr>
        <w:spacing w:line="360" w:lineRule="auto" w:before="0" w:after="0"/>
        <w:ind w:firstLine="480"/>
      </w:pPr>
      <w:r>
        <w:rPr>
          <w:rFonts w:ascii="Times New Roman" w:hAnsi="Times New Roman" w:eastAsia="宋体"/>
          <w:b w:val="0"/>
          <w:sz w:val="24"/>
        </w:rPr>
        <w:t>拒答目标的设置反映了隐私清洗的任务特点。对于电话号码或邮箱，目标不是把旧值替换为另一个值，而是让模型避免输出该敏感值。因此编辑请求将原始隐私查询映射到安全拒答表达。该设计能够直接评估编辑器是否可以把事实编辑机制迁移到隐私保护目标。</w:t>
      </w:r>
    </w:p>
    <w:p>
      <w:pPr>
        <w:pStyle w:val="Heading2"/>
        <w:spacing w:before="200" w:after="120"/>
      </w:pPr>
      <w:r>
        <w:rPr>
          <w:rFonts w:ascii="Times New Roman" w:hAnsi="Times New Roman" w:eastAsia="黑体"/>
          <w:b/>
          <w:sz w:val="28"/>
        </w:rPr>
        <w:t>3.5  PACE 隐私感知闭环编辑</w:t>
      </w:r>
    </w:p>
    <w:p>
      <w:pPr>
        <w:spacing w:line="360" w:lineRule="auto" w:before="0" w:after="0"/>
        <w:ind w:firstLine="480"/>
      </w:pPr>
      <w:r>
        <w:rPr>
          <w:rFonts w:ascii="Times New Roman" w:hAnsi="Times New Roman" w:eastAsia="宋体"/>
          <w:b w:val="0"/>
          <w:sz w:val="24"/>
        </w:rPr>
        <w:t>PACE 是仅基于残余泄露风险的闭环再编辑策略，可视为无副作用约束的基础请求选择策略。其核心思想是在第一轮编辑后重新评估残余泄露，从仍然泄露的样本中构造第二轮编辑请求，再执行补充编辑。该策略保持底层编辑器公式不变，通过残余泄露驱动请求构造。形式上，PACE 可以多轮迭代，直到残余泄露低于阈值或达到编辑预算；本文实验采用二轮实例化，是为了控制运行成本和过度拒答风险。</w:t>
      </w:r>
    </w:p>
    <w:p>
      <w:pPr>
        <w:spacing w:line="360" w:lineRule="auto" w:before="0" w:after="0"/>
        <w:ind w:firstLine="480"/>
      </w:pPr>
      <w:r>
        <w:rPr>
          <w:rFonts w:ascii="Times New Roman" w:hAnsi="Times New Roman" w:eastAsia="宋体"/>
          <w:b w:val="0"/>
          <w:sz w:val="24"/>
        </w:rPr>
        <w:t>闭环策略的动机来自基础编辑器覆盖不足。单轮 direct-only 请求主要约束 canonical query，面对改写、补全或上下文提示时可能仍有残余泄露。PACE 将评估结果反馈到请求构造阶段，使失败样本能够被再次编辑。该设计提高了隐私压制强度，也带来更高的副作用风险。</w:t>
      </w:r>
    </w:p>
    <w:p>
      <w:pPr>
        <w:spacing w:line="360" w:lineRule="auto" w:before="0" w:after="0"/>
        <w:ind w:firstLine="480"/>
      </w:pPr>
      <w:r>
        <w:rPr>
          <w:rFonts w:ascii="Times New Roman" w:hAnsi="Times New Roman" w:eastAsia="宋体"/>
          <w:b w:val="0"/>
          <w:sz w:val="24"/>
        </w:rPr>
        <w:t>算法 1  隐私知识清洗总体流程</w:t>
      </w:r>
    </w:p>
    <w:p>
      <w:pPr>
        <w:spacing w:line="360" w:lineRule="auto" w:before="0" w:after="0"/>
        <w:ind w:firstLine="480"/>
      </w:pPr>
      <w:r>
        <w:rPr>
          <w:rFonts w:ascii="Times New Roman" w:hAnsi="Times New Roman" w:eastAsia="宋体"/>
          <w:b w:val="0"/>
          <w:sz w:val="24"/>
        </w:rPr>
        <w:t>输入：基础模型 M，合成隐私数据集 D，基础编辑器 E，评估提示集合 Q。</w:t>
      </w:r>
    </w:p>
    <w:p>
      <w:pPr>
        <w:spacing w:line="360" w:lineRule="auto" w:before="0" w:after="0"/>
        <w:ind w:firstLine="480"/>
      </w:pPr>
      <w:r>
        <w:rPr>
          <w:rFonts w:ascii="Times New Roman" w:hAnsi="Times New Roman" w:eastAsia="宋体"/>
          <w:b w:val="0"/>
          <w:sz w:val="24"/>
        </w:rPr>
        <w:t>输出：编辑后模型 M'，评估报告 R。</w:t>
      </w:r>
    </w:p>
    <w:p>
      <w:pPr>
        <w:spacing w:line="360" w:lineRule="auto" w:before="0" w:after="0"/>
        <w:ind w:firstLine="480"/>
      </w:pPr>
      <w:r>
        <w:rPr>
          <w:rFonts w:ascii="Times New Roman" w:hAnsi="Times New Roman" w:eastAsia="宋体"/>
          <w:b w:val="0"/>
          <w:sz w:val="24"/>
        </w:rPr>
        <w:t>1. 构造隐私事实集合 K_F 与公开事实集合 K_R；</w:t>
      </w:r>
    </w:p>
    <w:p>
      <w:pPr>
        <w:spacing w:line="360" w:lineRule="auto" w:before="0" w:after="0"/>
        <w:ind w:firstLine="480"/>
      </w:pPr>
      <w:r>
        <w:rPr>
          <w:rFonts w:ascii="Times New Roman" w:hAnsi="Times New Roman" w:eastAsia="宋体"/>
          <w:b w:val="0"/>
          <w:sz w:val="24"/>
        </w:rPr>
        <w:t>2. 通过 LoRA 将 K_F 与 K_R 注入模型，得到 M_leak；</w:t>
      </w:r>
    </w:p>
    <w:p>
      <w:pPr>
        <w:spacing w:line="360" w:lineRule="auto" w:before="0" w:after="0"/>
        <w:ind w:firstLine="480"/>
      </w:pPr>
      <w:r>
        <w:rPr>
          <w:rFonts w:ascii="Times New Roman" w:hAnsi="Times New Roman" w:eastAsia="宋体"/>
          <w:b w:val="0"/>
          <w:sz w:val="24"/>
        </w:rPr>
        <w:t>3. 根据 K_F 构造第一轮编辑请求集合 R_1；</w:t>
      </w:r>
    </w:p>
    <w:p>
      <w:pPr>
        <w:spacing w:line="360" w:lineRule="auto" w:before="0" w:after="0"/>
        <w:ind w:firstLine="480"/>
      </w:pPr>
      <w:r>
        <w:rPr>
          <w:rFonts w:ascii="Times New Roman" w:hAnsi="Times New Roman" w:eastAsia="宋体"/>
          <w:b w:val="0"/>
          <w:sz w:val="24"/>
        </w:rPr>
        <w:t>4. 使用编辑器 E 对 M_leak 执行第一轮编辑，得到 M_1；</w:t>
      </w:r>
    </w:p>
    <w:p>
      <w:pPr>
        <w:spacing w:line="360" w:lineRule="auto" w:before="0" w:after="0"/>
        <w:ind w:firstLine="480"/>
      </w:pPr>
      <w:r>
        <w:rPr>
          <w:rFonts w:ascii="Times New Roman" w:hAnsi="Times New Roman" w:eastAsia="宋体"/>
          <w:b w:val="0"/>
          <w:sz w:val="24"/>
        </w:rPr>
        <w:t>5. 在攻击提示集合上评估 M_1，得到残余泄露集合 C；</w:t>
      </w:r>
    </w:p>
    <w:p>
      <w:pPr>
        <w:spacing w:line="360" w:lineRule="auto" w:before="0" w:after="0"/>
        <w:ind w:firstLine="480"/>
      </w:pPr>
      <w:r>
        <w:rPr>
          <w:rFonts w:ascii="Times New Roman" w:hAnsi="Times New Roman" w:eastAsia="宋体"/>
          <w:b w:val="0"/>
          <w:sz w:val="24"/>
        </w:rPr>
        <w:t>6. 根据 PACE 或 CAPE 策略构造第二轮请求集合 R_2；</w:t>
      </w:r>
    </w:p>
    <w:p>
      <w:pPr>
        <w:spacing w:line="360" w:lineRule="auto" w:before="0" w:after="0"/>
        <w:ind w:firstLine="480"/>
      </w:pPr>
      <w:r>
        <w:rPr>
          <w:rFonts w:ascii="Times New Roman" w:hAnsi="Times New Roman" w:eastAsia="宋体"/>
          <w:b w:val="0"/>
          <w:sz w:val="24"/>
        </w:rPr>
        <w:t>7. 基于 R_1 与 R_2 得到最终编辑模型 M'；</w:t>
      </w:r>
    </w:p>
    <w:p>
      <w:pPr>
        <w:spacing w:line="360" w:lineRule="auto" w:before="0" w:after="0"/>
        <w:ind w:firstLine="480"/>
      </w:pPr>
      <w:r>
        <w:rPr>
          <w:rFonts w:ascii="Times New Roman" w:hAnsi="Times New Roman" w:eastAsia="宋体"/>
          <w:b w:val="0"/>
          <w:sz w:val="24"/>
        </w:rPr>
        <w:t>8. 计算隐私泄露、公开知识保持和过度拒答指标。</w:t>
      </w:r>
    </w:p>
    <w:p>
      <w:pPr>
        <w:pStyle w:val="Heading2"/>
        <w:spacing w:before="200" w:after="120"/>
      </w:pPr>
      <w:r>
        <w:rPr>
          <w:rFonts w:ascii="Times New Roman" w:hAnsi="Times New Roman" w:eastAsia="黑体"/>
          <w:b/>
          <w:sz w:val="28"/>
        </w:rPr>
        <w:t>3.6  CAPE 副作用感知请求筛选</w:t>
      </w:r>
    </w:p>
    <w:p>
      <w:pPr>
        <w:spacing w:line="360" w:lineRule="auto" w:before="0" w:after="0"/>
        <w:ind w:firstLine="480"/>
      </w:pPr>
      <w:r>
        <w:rPr>
          <w:rFonts w:ascii="Times New Roman" w:hAnsi="Times New Roman" w:eastAsia="宋体"/>
          <w:b w:val="0"/>
          <w:sz w:val="24"/>
        </w:rPr>
        <w:t>CAPE 是引入公开知识锚点、主体预算和请求数量控制的副作用感知请求筛选策略。该策略从残余泄露候选中选择请求，同时加入公开知识锚点约束、每主体编辑预算和总请求数限制。其目标是在保留残余泄露修复能力的同时降低过度拒答风险。</w:t>
      </w:r>
    </w:p>
    <w:p>
      <w:pPr>
        <w:spacing w:line="360" w:lineRule="auto" w:before="0" w:after="0"/>
        <w:ind w:firstLine="480"/>
      </w:pPr>
      <w:r>
        <w:rPr>
          <w:rFonts w:ascii="Times New Roman" w:hAnsi="Times New Roman" w:eastAsia="宋体"/>
          <w:b w:val="0"/>
          <w:sz w:val="24"/>
        </w:rPr>
        <w:t>CAPE 的核心假设是，并非所有残余泄露候选都适合作为第二轮编辑请求。覆盖主体过多、提示形式过杂或与公开知识高度耦合的请求，可能把拒答模式扩散到保留集合。通过限制每个主体的编辑预算、设置总请求上限并优先选择风险更明确的候选，CAPE 尝试把闭环再编辑从“尽可能多地压制”调整为“在副作用可控范围内压制”。</w:t>
      </w:r>
    </w:p>
    <w:p>
      <w:pPr>
        <w:spacing w:line="360" w:lineRule="auto" w:before="0" w:after="0"/>
        <w:jc w:val="center"/>
      </w:pPr>
      <w:r>
        <w:rPr>
          <w:rFonts w:ascii="Times New Roman" w:hAnsi="Times New Roman" w:eastAsia="宋体"/>
          <w:b w:val="0"/>
          <w:sz w:val="22"/>
        </w:rPr>
        <w:t>\operatorname{score}(q)=\operatorname{Risk}_{\mathrm{leak}}(q)-\lambda \operatorname{Risk}_{\mathrm{loc}}(q)</w:t>
      </w:r>
    </w:p>
    <w:p>
      <w:pPr>
        <w:spacing w:line="360" w:lineRule="auto" w:before="0" w:after="0"/>
        <w:ind w:firstLine="480"/>
      </w:pPr>
      <w:r>
        <w:rPr>
          <w:rFonts w:ascii="Times New Roman" w:hAnsi="Times New Roman" w:eastAsia="宋体"/>
          <w:b w:val="0"/>
          <w:sz w:val="24"/>
        </w:rPr>
        <w:t>算法 2  CAPE 副作用感知请求筛选</w:t>
      </w:r>
    </w:p>
    <w:p>
      <w:pPr>
        <w:spacing w:line="360" w:lineRule="auto" w:before="0" w:after="0"/>
        <w:ind w:firstLine="480"/>
      </w:pPr>
      <w:r>
        <w:rPr>
          <w:rFonts w:ascii="Times New Roman" w:hAnsi="Times New Roman" w:eastAsia="宋体"/>
          <w:b w:val="0"/>
          <w:sz w:val="24"/>
        </w:rPr>
        <w:t>输入：残余泄露候选集合 C，公开知识评估结果 P，每主体预算 B，总请求上限 T。</w:t>
      </w:r>
    </w:p>
    <w:p>
      <w:pPr>
        <w:spacing w:line="360" w:lineRule="auto" w:before="0" w:after="0"/>
        <w:ind w:firstLine="480"/>
      </w:pPr>
      <w:r>
        <w:rPr>
          <w:rFonts w:ascii="Times New Roman" w:hAnsi="Times New Roman" w:eastAsia="宋体"/>
          <w:b w:val="0"/>
          <w:sz w:val="24"/>
        </w:rPr>
        <w:t>输出：第二轮编辑请求集合 R_2。</w:t>
      </w:r>
    </w:p>
    <w:p>
      <w:pPr>
        <w:spacing w:line="360" w:lineRule="auto" w:before="0" w:after="0"/>
        <w:ind w:firstLine="480"/>
      </w:pPr>
      <w:r>
        <w:rPr>
          <w:rFonts w:ascii="Times New Roman" w:hAnsi="Times New Roman" w:eastAsia="宋体"/>
          <w:b w:val="0"/>
          <w:sz w:val="24"/>
        </w:rPr>
        <w:t>1. 对每个候选 q 计算泄露风险和局部性风险；</w:t>
      </w:r>
    </w:p>
    <w:p>
      <w:pPr>
        <w:spacing w:line="360" w:lineRule="auto" w:before="0" w:after="0"/>
        <w:ind w:firstLine="480"/>
      </w:pPr>
      <w:r>
        <w:rPr>
          <w:rFonts w:ascii="Times New Roman" w:hAnsi="Times New Roman" w:eastAsia="宋体"/>
          <w:b w:val="0"/>
          <w:sz w:val="24"/>
        </w:rPr>
        <w:t>2. 若候选所属主体的公开知识保持低于阈值，则跳过该主体；</w:t>
      </w:r>
    </w:p>
    <w:p>
      <w:pPr>
        <w:spacing w:line="360" w:lineRule="auto" w:before="0" w:after="0"/>
        <w:ind w:firstLine="480"/>
      </w:pPr>
      <w:r>
        <w:rPr>
          <w:rFonts w:ascii="Times New Roman" w:hAnsi="Times New Roman" w:eastAsia="宋体"/>
          <w:b w:val="0"/>
          <w:sz w:val="24"/>
        </w:rPr>
        <w:t>3. 按隐私值包含、PII 格式匹配和敏感格式输出优先级排序；</w:t>
      </w:r>
    </w:p>
    <w:p>
      <w:pPr>
        <w:spacing w:line="360" w:lineRule="auto" w:before="0" w:after="0"/>
        <w:ind w:firstLine="480"/>
      </w:pPr>
      <w:r>
        <w:rPr>
          <w:rFonts w:ascii="Times New Roman" w:hAnsi="Times New Roman" w:eastAsia="宋体"/>
          <w:b w:val="0"/>
          <w:sz w:val="24"/>
        </w:rPr>
        <w:t>4. 在不超过每主体预算 B 的前提下选择候选；</w:t>
      </w:r>
    </w:p>
    <w:p>
      <w:pPr>
        <w:spacing w:line="360" w:lineRule="auto" w:before="0" w:after="0"/>
        <w:ind w:firstLine="480"/>
      </w:pPr>
      <w:r>
        <w:rPr>
          <w:rFonts w:ascii="Times New Roman" w:hAnsi="Times New Roman" w:eastAsia="宋体"/>
          <w:b w:val="0"/>
          <w:sz w:val="24"/>
        </w:rPr>
        <w:t>5. 当总请求数达到 T 时停止；</w:t>
      </w:r>
    </w:p>
    <w:p>
      <w:pPr>
        <w:spacing w:line="360" w:lineRule="auto" w:before="0" w:after="0"/>
        <w:ind w:firstLine="480"/>
      </w:pPr>
      <w:r>
        <w:rPr>
          <w:rFonts w:ascii="Times New Roman" w:hAnsi="Times New Roman" w:eastAsia="宋体"/>
          <w:b w:val="0"/>
          <w:sz w:val="24"/>
        </w:rPr>
        <w:t>6. 将选中候选规范化为第二轮拒答编辑请求。</w:t>
      </w:r>
    </w:p>
    <w:p>
      <w:pPr>
        <w:spacing w:line="360" w:lineRule="auto" w:before="0" w:after="0"/>
        <w:jc w:val="center"/>
      </w:pPr>
      <w:r>
        <w:rPr>
          <w:rFonts w:ascii="Times New Roman" w:hAnsi="Times New Roman" w:eastAsia="宋体"/>
          <w:b w:val="0"/>
          <w:sz w:val="21"/>
        </w:rPr>
        <w:t>图 2  PACE/CAPE-Anchor 请求选择机制示意图</w:t>
      </w:r>
    </w:p>
    <w:p>
      <w:pPr>
        <w:jc w:val="center"/>
      </w:pPr>
      <w:r>
        <w:drawing>
          <wp:inline xmlns:a="http://schemas.openxmlformats.org/drawingml/2006/main" xmlns:pic="http://schemas.openxmlformats.org/drawingml/2006/picture">
            <wp:extent cx="5040000" cy="2671728"/>
            <wp:docPr id="2" name="Picture 2"/>
            <wp:cNvGraphicFramePr>
              <a:graphicFrameLocks noChangeAspect="1"/>
            </wp:cNvGraphicFramePr>
            <a:graphic>
              <a:graphicData uri="http://schemas.openxmlformats.org/drawingml/2006/picture">
                <pic:pic>
                  <pic:nvPicPr>
                    <pic:cNvPr id="0" name="fig2_pace_cape_anchor_mechanism.png"/>
                    <pic:cNvPicPr/>
                  </pic:nvPicPr>
                  <pic:blipFill>
                    <a:blip r:embed="rId18"/>
                    <a:stretch>
                      <a:fillRect/>
                    </a:stretch>
                  </pic:blipFill>
                  <pic:spPr>
                    <a:xfrm>
                      <a:off x="0" y="0"/>
                      <a:ext cx="5040000" cy="2671728"/>
                    </a:xfrm>
                    <a:prstGeom prst="rect"/>
                  </pic:spPr>
                </pic:pic>
              </a:graphicData>
            </a:graphic>
          </wp:inline>
        </w:drawing>
      </w:r>
    </w:p>
    <w:p>
      <w:pPr>
        <w:pStyle w:val="Heading2"/>
        <w:spacing w:before="200" w:after="120"/>
      </w:pPr>
      <w:r>
        <w:rPr>
          <w:rFonts w:ascii="Times New Roman" w:hAnsi="Times New Roman" w:eastAsia="黑体"/>
          <w:b/>
          <w:sz w:val="28"/>
        </w:rPr>
        <w:t>3.7  CAPE-Anchor 公开知识锚点约束</w:t>
      </w:r>
    </w:p>
    <w:p>
      <w:pPr>
        <w:spacing w:line="360" w:lineRule="auto" w:before="0" w:after="0"/>
        <w:ind w:firstLine="480"/>
      </w:pPr>
      <w:r>
        <w:rPr>
          <w:rFonts w:ascii="Times New Roman" w:hAnsi="Times New Roman" w:eastAsia="宋体"/>
          <w:b w:val="0"/>
          <w:sz w:val="24"/>
        </w:rPr>
        <w:t>CAPE-Anchor 是在 PACE/CAPE 基础上加入公开知识锚点的请求选择策略。其动机来自实验中的一个关键现象：仅根据残余泄露样本继续编辑，虽然可以进一步压低目标隐私值输出，但也容易把拒答模式扩散到同主体公开问题，形成 public collapse。换言之，隐私查询上的高拒答率并不必然意味着清洗质量更高；如果公开问题也被拒答，模型的可用性会明显下降。</w:t>
      </w:r>
    </w:p>
    <w:p>
      <w:pPr>
        <w:spacing w:line="360" w:lineRule="auto" w:before="0" w:after="0"/>
        <w:ind w:firstLine="480"/>
      </w:pPr>
      <w:r>
        <w:rPr>
          <w:rFonts w:ascii="Times New Roman" w:hAnsi="Times New Roman" w:eastAsia="宋体"/>
          <w:b w:val="0"/>
          <w:sz w:val="24"/>
        </w:rPr>
        <w:t>CAPE-Anchor 不改变 ROME 等基础编辑器的参数更新公式，而是在二轮请求集合中同时放入隐私修复请求和公开知识锚点请求。形式上，最终请求集合为：</w:t>
      </w:r>
    </w:p>
    <w:p>
      <w:pPr>
        <w:spacing w:line="360" w:lineRule="auto" w:before="0" w:after="0"/>
        <w:jc w:val="center"/>
      </w:pPr>
      <w:r>
        <w:rPr>
          <w:rFonts w:ascii="Times New Roman" w:hAnsi="Times New Roman" w:eastAsia="宋体"/>
          <w:b w:val="0"/>
          <w:sz w:val="22"/>
        </w:rPr>
        <w:t>R_{final} = R_{round1} \cup R_{privacy} \cup R_{anchor}</w:t>
      </w:r>
    </w:p>
    <w:p>
      <w:pPr>
        <w:spacing w:line="360" w:lineRule="auto" w:before="0" w:after="0"/>
        <w:ind w:firstLine="480"/>
      </w:pPr>
      <w:r>
        <w:rPr>
          <w:rFonts w:ascii="Times New Roman" w:hAnsi="Times New Roman" w:eastAsia="宋体"/>
          <w:b w:val="0"/>
          <w:sz w:val="24"/>
        </w:rPr>
        <w:t>其中，$R_{round1}$ 表示第一轮隐私拒答请求，$R_{privacy}$ 表示由残余泄露样本构造的二轮隐私修复请求，$R_{anchor}$ 表示与目标主体相关的公开知识锚点请求。公开锚点的作用不是让模型学习新的公开事实，而是在闭环再编辑过程中保留“该主体仍存在可回答的非敏感问题”这一约束信号。</w:t>
      </w:r>
    </w:p>
    <w:p>
      <w:pPr>
        <w:spacing w:line="360" w:lineRule="auto" w:before="0" w:after="0"/>
        <w:ind w:firstLine="480"/>
      </w:pPr>
      <w:r>
        <w:rPr>
          <w:rFonts w:ascii="Times New Roman" w:hAnsi="Times New Roman" w:eastAsia="宋体"/>
          <w:b w:val="0"/>
          <w:sz w:val="24"/>
        </w:rPr>
        <w:t>本文只采用有限配置检验 CAPE-Anchor 的作用，而不进行大规模参数搜索。K0 可视为不加入公开锚点的受限闭环对照，K1 和 K2 分别加入不同数量的公开锚点。正文分析关注这些配置在隐私值包含率和公开知识保持率之间形成的操作点，而不是把具体工程参数作为方法贡献。</w:t>
      </w:r>
    </w:p>
    <w:p>
      <w:pPr>
        <w:pStyle w:val="Heading1"/>
        <w:spacing w:before="240" w:after="240"/>
        <w:jc w:val="center"/>
      </w:pPr>
      <w:r>
        <w:rPr>
          <w:rFonts w:ascii="Times New Roman" w:hAnsi="Times New Roman" w:eastAsia="黑体"/>
          <w:b/>
          <w:sz w:val="32"/>
        </w:rPr>
        <w:t>4  实验设置与结果分析</w:t>
      </w:r>
    </w:p>
    <w:p>
      <w:pPr>
        <w:pStyle w:val="Heading2"/>
        <w:spacing w:before="200" w:after="120"/>
      </w:pPr>
      <w:r>
        <w:rPr>
          <w:rFonts w:ascii="Times New Roman" w:hAnsi="Times New Roman" w:eastAsia="黑体"/>
          <w:b/>
          <w:sz w:val="28"/>
        </w:rPr>
        <w:t>4.1  实验设置</w:t>
      </w:r>
    </w:p>
    <w:p>
      <w:pPr>
        <w:spacing w:line="360" w:lineRule="auto" w:before="0" w:after="0"/>
        <w:ind w:firstLine="480"/>
      </w:pPr>
      <w:r>
        <w:rPr>
          <w:rFonts w:ascii="Times New Roman" w:hAnsi="Times New Roman" w:eastAsia="宋体"/>
          <w:b w:val="0"/>
          <w:sz w:val="24"/>
        </w:rPr>
        <w:t>本文实验围绕两个层级展开。第一层是 synthetic privacy 主实验，使用合并后的 Qwen2.5-7B 隐私泄露模型评估不同编辑方法在隐私压制、公开知识保持和过度拒答方面的差异。第二层是公开事实编辑迁移验证，使用 CounterFact 与 zsRE 检查 ROME-based closed-loop wrapper 在非隐私 factual editing 场景中的外部行为。两类实验的任务含义不同，因此本文将其分表报告，不把公开事实编辑结果写成 PII 清洗效果。</w:t>
      </w:r>
    </w:p>
    <w:p>
      <w:pPr>
        <w:spacing w:line="360" w:lineRule="auto" w:before="0" w:after="0"/>
        <w:ind w:firstLine="480"/>
      </w:pPr>
      <w:r>
        <w:rPr>
          <w:rFonts w:ascii="Times New Roman" w:hAnsi="Times New Roman" w:eastAsia="宋体"/>
          <w:b w:val="0"/>
          <w:sz w:val="24"/>
        </w:rPr>
        <w:t>synthetic privacy 主实验使用同一合并后泄露模型、同一合成数据集、同一批 private/public 查询集合和同一套自动评估指标。这样的控制变量设计保证方法差异主要来自编辑器和请求选择策略，而不是数据切分、模型版本或生成设置差异。公开事实编辑实验则采用 200-case 规模，用于在有限资源条件下观察 wrapper 的迁移趋势和边界。</w:t>
      </w:r>
    </w:p>
    <w:p>
      <w:pPr>
        <w:pStyle w:val="Heading2"/>
        <w:spacing w:before="200" w:after="120"/>
      </w:pPr>
      <w:r>
        <w:rPr>
          <w:rFonts w:ascii="Times New Roman" w:hAnsi="Times New Roman" w:eastAsia="黑体"/>
          <w:b/>
          <w:sz w:val="28"/>
        </w:rPr>
        <w:t>4.2  数据集与模型</w:t>
      </w:r>
    </w:p>
    <w:p>
      <w:pPr>
        <w:spacing w:line="360" w:lineRule="auto" w:before="0" w:after="0"/>
        <w:ind w:firstLine="480"/>
      </w:pPr>
      <w:r>
        <w:rPr>
          <w:rFonts w:ascii="Times New Roman" w:hAnsi="Times New Roman" w:eastAsia="宋体"/>
          <w:b w:val="0"/>
          <w:sz w:val="24"/>
        </w:rPr>
        <w:t>合成隐私数据集包含 100 个虚拟人物，每个人物包含隐私事实和公开事实。隐私事实主要包括电话号码、邮箱等结构化 PII，公开事实包括职业、学校、雇主、家乡等非敏感知识。该设计使隐私清洗不再只是“是否拒答”的单指标任务，而是同时考察模型是否保留应当回答的公开事实。</w:t>
      </w:r>
    </w:p>
    <w:p>
      <w:pPr>
        <w:spacing w:line="360" w:lineRule="auto" w:before="0" w:after="0"/>
        <w:ind w:firstLine="480"/>
      </w:pPr>
      <w:r>
        <w:rPr>
          <w:rFonts w:ascii="Times New Roman" w:hAnsi="Times New Roman" w:eastAsia="宋体"/>
          <w:b w:val="0"/>
          <w:sz w:val="24"/>
        </w:rPr>
        <w:t>待编辑模型由 Qwen2.5-7B 通过 MLP-only LoRA 注入隐私与公开事实后合并得到。编辑前模型的隐私值包含率为 0.9387，公开知识保持率为 0.9766，说明模型同时具有稳定隐私记忆和公开事实记忆。因此，后续若隐私泄露下降，可以归因于编辑产生的压制效果；若公开知识保持下降，则应视为编辑副作用。</w:t>
      </w:r>
    </w:p>
    <w:p>
      <w:pPr>
        <w:spacing w:line="360" w:lineRule="auto" w:before="0" w:after="0"/>
        <w:jc w:val="center"/>
      </w:pPr>
      <w:r>
        <w:rPr>
          <w:rFonts w:ascii="Times New Roman" w:hAnsi="Times New Roman" w:eastAsia="宋体"/>
          <w:b w:val="0"/>
          <w:sz w:val="21"/>
        </w:rPr>
        <w:t>表 2 给出主要实验平台与运行环境。该表只用于说明实验资源条件，不作为算法贡献。KN 的部分定位过程和 GPT-J wrapper 的第二模型验证均受到资源与超参数敏感性影响，相关内容在第 4.10 节作为边界分析处理。</w:t>
      </w:r>
    </w:p>
    <w:p>
      <w:pPr>
        <w:spacing w:line="360" w:lineRule="auto" w:before="0" w:after="0"/>
        <w:jc w:val="center"/>
      </w:pPr>
      <w:r>
        <w:rPr>
          <w:rFonts w:ascii="Times New Roman" w:hAnsi="Times New Roman" w:eastAsia="宋体"/>
          <w:b w:val="0"/>
          <w:sz w:val="21"/>
        </w:rPr>
        <w:t>表 2  实验平台与主要配置</w:t>
      </w:r>
    </w:p>
    <w:tbl>
      <w:tblPr>
        <w:tblStyle w:val="TableGrid"/>
        <w:tblW w:type="auto" w:w="0"/>
        <w:jc w:val="center"/>
        <w:tblLayout w:type="autofit"/>
        <w:tblLook w:firstColumn="1" w:firstRow="1" w:lastColumn="0" w:lastRow="0" w:noHBand="0" w:noVBand="1" w:val="04A0"/>
      </w:tblPr>
      <w:tblGrid>
        <w:gridCol w:w="4365"/>
        <w:gridCol w:w="4365"/>
      </w:tblGrid>
      <w:tr>
        <w:tc>
          <w:tcPr>
            <w:tcW w:type="dxa" w:w="4365"/>
            <w:vAlign w:val="center"/>
            <w:shd w:fill="E8EEF5"/>
          </w:tcPr>
          <w:p>
            <w:pPr>
              <w:spacing w:line="276" w:lineRule="auto"/>
              <w:jc w:val="center"/>
            </w:pPr>
            <w:r/>
            <w:r>
              <w:rPr>
                <w:rFonts w:ascii="Times New Roman" w:hAnsi="Times New Roman" w:eastAsia="宋体"/>
                <w:b/>
                <w:sz w:val="17"/>
              </w:rPr>
              <w:t>配置项</w:t>
            </w:r>
          </w:p>
        </w:tc>
        <w:tc>
          <w:tcPr>
            <w:tcW w:type="dxa" w:w="4365"/>
            <w:vAlign w:val="center"/>
            <w:shd w:fill="E8EEF5"/>
          </w:tcPr>
          <w:p>
            <w:pPr>
              <w:spacing w:line="276" w:lineRule="auto"/>
              <w:jc w:val="center"/>
            </w:pPr>
            <w:r/>
            <w:r>
              <w:rPr>
                <w:rFonts w:ascii="Times New Roman" w:hAnsi="Times New Roman" w:eastAsia="宋体"/>
                <w:b/>
                <w:sz w:val="17"/>
              </w:rPr>
              <w:t>配置内容</w:t>
            </w:r>
          </w:p>
        </w:tc>
      </w:tr>
      <w:tr>
        <w:tc>
          <w:tcPr>
            <w:tcW w:type="dxa" w:w="4365"/>
            <w:vAlign w:val="center"/>
          </w:tcPr>
          <w:p>
            <w:pPr>
              <w:spacing w:line="276" w:lineRule="auto"/>
              <w:jc w:val="center"/>
            </w:pPr>
            <w:r/>
            <w:r>
              <w:rPr>
                <w:rFonts w:ascii="Times New Roman" w:hAnsi="Times New Roman" w:eastAsia="宋体"/>
                <w:b w:val="0"/>
                <w:sz w:val="17"/>
              </w:rPr>
              <w:t>GPU</w:t>
            </w:r>
          </w:p>
        </w:tc>
        <w:tc>
          <w:tcPr>
            <w:tcW w:type="dxa" w:w="4365"/>
            <w:vAlign w:val="center"/>
          </w:tcPr>
          <w:p>
            <w:pPr>
              <w:spacing w:line="276" w:lineRule="auto"/>
              <w:jc w:val="left"/>
            </w:pPr>
            <w:r/>
            <w:r>
              <w:rPr>
                <w:rFonts w:ascii="Times New Roman" w:hAnsi="Times New Roman" w:eastAsia="宋体"/>
                <w:b w:val="0"/>
                <w:sz w:val="17"/>
              </w:rPr>
              <w:t>NVIDIA vGPU-48GB，48GB 显存</w:t>
            </w:r>
          </w:p>
        </w:tc>
      </w:tr>
      <w:tr>
        <w:tc>
          <w:tcPr>
            <w:tcW w:type="dxa" w:w="4365"/>
            <w:vAlign w:val="center"/>
          </w:tcPr>
          <w:p>
            <w:pPr>
              <w:spacing w:line="276" w:lineRule="auto"/>
              <w:jc w:val="center"/>
            </w:pPr>
            <w:r/>
            <w:r>
              <w:rPr>
                <w:rFonts w:ascii="Times New Roman" w:hAnsi="Times New Roman" w:eastAsia="宋体"/>
                <w:b w:val="0"/>
                <w:sz w:val="17"/>
              </w:rPr>
              <w:t>CPU</w:t>
            </w:r>
          </w:p>
        </w:tc>
        <w:tc>
          <w:tcPr>
            <w:tcW w:type="dxa" w:w="4365"/>
            <w:vAlign w:val="center"/>
          </w:tcPr>
          <w:p>
            <w:pPr>
              <w:spacing w:line="276" w:lineRule="auto"/>
              <w:jc w:val="left"/>
            </w:pPr>
            <w:r/>
            <w:r>
              <w:rPr>
                <w:rFonts w:ascii="Times New Roman" w:hAnsi="Times New Roman" w:eastAsia="宋体"/>
                <w:b w:val="0"/>
                <w:sz w:val="17"/>
              </w:rPr>
              <w:t>20 vCPU Intel Xeon Platinum 8470Q</w:t>
            </w:r>
          </w:p>
        </w:tc>
      </w:tr>
      <w:tr>
        <w:tc>
          <w:tcPr>
            <w:tcW w:type="dxa" w:w="4365"/>
            <w:vAlign w:val="center"/>
          </w:tcPr>
          <w:p>
            <w:pPr>
              <w:spacing w:line="276" w:lineRule="auto"/>
              <w:jc w:val="center"/>
            </w:pPr>
            <w:r/>
            <w:r>
              <w:rPr>
                <w:rFonts w:ascii="Times New Roman" w:hAnsi="Times New Roman" w:eastAsia="宋体"/>
                <w:b w:val="0"/>
                <w:sz w:val="17"/>
              </w:rPr>
              <w:t>内存</w:t>
            </w:r>
          </w:p>
        </w:tc>
        <w:tc>
          <w:tcPr>
            <w:tcW w:type="dxa" w:w="4365"/>
            <w:vAlign w:val="center"/>
          </w:tcPr>
          <w:p>
            <w:pPr>
              <w:spacing w:line="276" w:lineRule="auto"/>
              <w:jc w:val="center"/>
            </w:pPr>
            <w:r/>
            <w:r>
              <w:rPr>
                <w:rFonts w:ascii="Times New Roman" w:hAnsi="Times New Roman" w:eastAsia="宋体"/>
                <w:b w:val="0"/>
                <w:sz w:val="17"/>
              </w:rPr>
              <w:t>90GB</w:t>
            </w:r>
          </w:p>
        </w:tc>
      </w:tr>
      <w:tr>
        <w:tc>
          <w:tcPr>
            <w:tcW w:type="dxa" w:w="4365"/>
            <w:vAlign w:val="center"/>
          </w:tcPr>
          <w:p>
            <w:pPr>
              <w:spacing w:line="276" w:lineRule="auto"/>
              <w:jc w:val="center"/>
            </w:pPr>
            <w:r/>
            <w:r>
              <w:rPr>
                <w:rFonts w:ascii="Times New Roman" w:hAnsi="Times New Roman" w:eastAsia="宋体"/>
                <w:b w:val="0"/>
                <w:sz w:val="17"/>
              </w:rPr>
              <w:t>数据盘</w:t>
            </w:r>
          </w:p>
        </w:tc>
        <w:tc>
          <w:tcPr>
            <w:tcW w:type="dxa" w:w="4365"/>
            <w:vAlign w:val="center"/>
          </w:tcPr>
          <w:p>
            <w:pPr>
              <w:spacing w:line="276" w:lineRule="auto"/>
              <w:jc w:val="center"/>
            </w:pPr>
            <w:r/>
            <w:r>
              <w:rPr>
                <w:rFonts w:ascii="Times New Roman" w:hAnsi="Times New Roman" w:eastAsia="宋体"/>
                <w:b w:val="0"/>
                <w:sz w:val="17"/>
              </w:rPr>
              <w:t>50GB SSD</w:t>
            </w:r>
          </w:p>
        </w:tc>
      </w:tr>
      <w:tr>
        <w:tc>
          <w:tcPr>
            <w:tcW w:type="dxa" w:w="4365"/>
            <w:vAlign w:val="center"/>
          </w:tcPr>
          <w:p>
            <w:pPr>
              <w:spacing w:line="276" w:lineRule="auto"/>
              <w:jc w:val="center"/>
            </w:pPr>
            <w:r/>
            <w:r>
              <w:rPr>
                <w:rFonts w:ascii="Times New Roman" w:hAnsi="Times New Roman" w:eastAsia="宋体"/>
                <w:b w:val="0"/>
                <w:sz w:val="17"/>
              </w:rPr>
              <w:t>主要框架</w:t>
            </w:r>
          </w:p>
        </w:tc>
        <w:tc>
          <w:tcPr>
            <w:tcW w:type="dxa" w:w="4365"/>
            <w:vAlign w:val="center"/>
          </w:tcPr>
          <w:p>
            <w:pPr>
              <w:spacing w:line="276" w:lineRule="auto"/>
              <w:jc w:val="left"/>
            </w:pPr>
            <w:r/>
            <w:r>
              <w:rPr>
                <w:rFonts w:ascii="Times New Roman" w:hAnsi="Times New Roman" w:eastAsia="宋体"/>
                <w:b w:val="0"/>
                <w:sz w:val="17"/>
              </w:rPr>
              <w:t>PyTorch, Transformers, EasyEdit</w:t>
            </w:r>
          </w:p>
        </w:tc>
      </w:tr>
      <w:tr>
        <w:tc>
          <w:tcPr>
            <w:tcW w:type="dxa" w:w="4365"/>
            <w:vAlign w:val="center"/>
          </w:tcPr>
          <w:p>
            <w:pPr>
              <w:spacing w:line="276" w:lineRule="auto"/>
              <w:jc w:val="center"/>
            </w:pPr>
            <w:r/>
            <w:r>
              <w:rPr>
                <w:rFonts w:ascii="Times New Roman" w:hAnsi="Times New Roman" w:eastAsia="宋体"/>
                <w:b w:val="0"/>
                <w:sz w:val="17"/>
              </w:rPr>
              <w:t>主要模型</w:t>
            </w:r>
          </w:p>
        </w:tc>
        <w:tc>
          <w:tcPr>
            <w:tcW w:type="dxa" w:w="4365"/>
            <w:vAlign w:val="center"/>
          </w:tcPr>
          <w:p>
            <w:pPr>
              <w:spacing w:line="276" w:lineRule="auto"/>
              <w:jc w:val="left"/>
            </w:pPr>
            <w:r/>
            <w:r>
              <w:rPr>
                <w:rFonts w:ascii="Times New Roman" w:hAnsi="Times New Roman" w:eastAsia="宋体"/>
                <w:b w:val="0"/>
                <w:sz w:val="17"/>
              </w:rPr>
              <w:t>Qwen2.5-7B, GPT-J-6B</w:t>
            </w:r>
          </w:p>
        </w:tc>
      </w:tr>
      <w:tr>
        <w:tc>
          <w:tcPr>
            <w:tcW w:type="dxa" w:w="4365"/>
            <w:vAlign w:val="center"/>
          </w:tcPr>
          <w:p>
            <w:pPr>
              <w:spacing w:line="276" w:lineRule="auto"/>
              <w:jc w:val="center"/>
            </w:pPr>
            <w:r/>
            <w:r>
              <w:rPr>
                <w:rFonts w:ascii="Times New Roman" w:hAnsi="Times New Roman" w:eastAsia="宋体"/>
                <w:b w:val="0"/>
                <w:sz w:val="17"/>
              </w:rPr>
              <w:t>主要任务</w:t>
            </w:r>
          </w:p>
        </w:tc>
        <w:tc>
          <w:tcPr>
            <w:tcW w:type="dxa" w:w="4365"/>
            <w:vAlign w:val="center"/>
          </w:tcPr>
          <w:p>
            <w:pPr>
              <w:spacing w:line="276" w:lineRule="auto"/>
              <w:jc w:val="left"/>
            </w:pPr>
            <w:r/>
            <w:r>
              <w:rPr>
                <w:rFonts w:ascii="Times New Roman" w:hAnsi="Times New Roman" w:eastAsia="宋体"/>
                <w:b w:val="0"/>
                <w:sz w:val="17"/>
              </w:rPr>
              <w:t>synthetic privacy, CounterFact, zsRE</w:t>
            </w:r>
          </w:p>
        </w:tc>
      </w:tr>
    </w:tbl>
    <w:p/>
    <w:p>
      <w:pPr>
        <w:spacing w:line="360" w:lineRule="auto" w:before="0" w:after="0"/>
        <w:jc w:val="center"/>
      </w:pPr>
      <w:r>
        <w:rPr>
          <w:rFonts w:ascii="Times New Roman" w:hAnsi="Times New Roman" w:eastAsia="宋体"/>
          <w:b w:val="0"/>
          <w:sz w:val="21"/>
        </w:rPr>
        <w:t>表 2 说明本文实验是在单卡 48GB 显存条件下完成的。该设置足以支持 Qwen synthetic 主实验和 200-case public transfer，但不适合继续扩展更大规模多模型矩阵。因此，本文将未完成或资源受限项明确列入 failure/resource limitation 表，而不是把缺失项隐含为有效结果。</w:t>
      </w:r>
    </w:p>
    <w:p>
      <w:pPr>
        <w:pStyle w:val="Heading2"/>
        <w:spacing w:before="200" w:after="120"/>
      </w:pPr>
      <w:r>
        <w:rPr>
          <w:rFonts w:ascii="Times New Roman" w:hAnsi="Times New Roman" w:eastAsia="黑体"/>
          <w:b/>
          <w:sz w:val="28"/>
        </w:rPr>
        <w:t>4.3  评价指标</w:t>
      </w:r>
    </w:p>
    <w:p>
      <w:pPr>
        <w:spacing w:line="360" w:lineRule="auto" w:before="0" w:after="0"/>
        <w:ind w:firstLine="480"/>
      </w:pPr>
      <w:r>
        <w:rPr>
          <w:rFonts w:ascii="Times New Roman" w:hAnsi="Times New Roman" w:eastAsia="宋体"/>
          <w:b w:val="0"/>
          <w:sz w:val="24"/>
        </w:rPr>
        <w:t>隐私值包含率衡量模型输出是否包含目标隐私值，数值越低表示目标泄露越少。敏感格式率统计输出中是否出现电话、邮箱等敏感格式，能够反映模型是否仍倾向生成 PII 形态内容。公开知识保持率衡量公开答案是否出现在模型输出中，数值越高表示非敏感知识越可能被保留。</w:t>
      </w:r>
    </w:p>
    <w:p>
      <w:pPr>
        <w:spacing w:line="360" w:lineRule="auto" w:before="0" w:after="0"/>
        <w:ind w:firstLine="480"/>
      </w:pPr>
      <w:r>
        <w:rPr>
          <w:rFonts w:ascii="Times New Roman" w:hAnsi="Times New Roman" w:eastAsia="宋体"/>
          <w:b w:val="0"/>
          <w:sz w:val="24"/>
        </w:rPr>
        <w:t>公开问题拒答率用于衡量过度拒答。对于隐私问题，拒答通常是期望行为；但对于职业、学校、雇主等公开问题，拒答意味着模型把隐私保护目标扩散到了保留集合。因此，private refusal 高不等于清洗质量高，必须结合 public retain 和 public refusal 同时解释。</w:t>
      </w:r>
    </w:p>
    <w:p>
      <w:pPr>
        <w:pStyle w:val="Heading2"/>
        <w:spacing w:before="200" w:after="120"/>
      </w:pPr>
      <w:r>
        <w:rPr>
          <w:rFonts w:ascii="Times New Roman" w:hAnsi="Times New Roman" w:eastAsia="黑体"/>
          <w:b/>
          <w:sz w:val="28"/>
        </w:rPr>
        <w:t>4.4  合成隐私基准主实验</w:t>
      </w:r>
    </w:p>
    <w:p>
      <w:pPr>
        <w:spacing w:line="360" w:lineRule="auto" w:before="0" w:after="0"/>
        <w:jc w:val="center"/>
      </w:pPr>
      <w:r>
        <w:rPr>
          <w:rFonts w:ascii="Times New Roman" w:hAnsi="Times New Roman" w:eastAsia="宋体"/>
          <w:b w:val="0"/>
          <w:sz w:val="21"/>
        </w:rPr>
        <w:t>表 3 汇总 synthetic privacy 主实验结果。合并后泄露模型的隐私值包含率为 0.9387，公开知识保持率为 0.9766，说明该模型适合作为统一编辑起点。提示拒答的隐私值包含率仍为 0.9490，表明仅在提示层要求模型拒答并不能改变参数中已经形成的隐私事实关联。</w:t>
      </w:r>
    </w:p>
    <w:p>
      <w:pPr>
        <w:spacing w:line="360" w:lineRule="auto" w:before="0" w:after="0"/>
        <w:jc w:val="center"/>
      </w:pPr>
      <w:r>
        <w:rPr>
          <w:rFonts w:ascii="Times New Roman" w:hAnsi="Times New Roman" w:eastAsia="宋体"/>
          <w:b w:val="0"/>
          <w:sz w:val="21"/>
        </w:rPr>
        <w:t>表 3  合成隐私基准主实验结果（↓越低越好，↑越高越好）</w:t>
      </w:r>
    </w:p>
    <w:tbl>
      <w:tblPr>
        <w:tblStyle w:val="TableGrid"/>
        <w:tblW w:type="auto" w:w="0"/>
        <w:jc w:val="center"/>
        <w:tblLayout w:type="autofit"/>
        <w:tblLook w:firstColumn="1" w:firstRow="1" w:lastColumn="0" w:lastRow="0" w:noHBand="0" w:noVBand="1" w:val="04A0"/>
      </w:tblPr>
      <w:tblGrid>
        <w:gridCol w:w="1455"/>
        <w:gridCol w:w="1455"/>
        <w:gridCol w:w="1455"/>
        <w:gridCol w:w="1455"/>
        <w:gridCol w:w="1455"/>
        <w:gridCol w:w="1455"/>
      </w:tblGrid>
      <w:tr>
        <w:tc>
          <w:tcPr>
            <w:tcW w:type="dxa" w:w="1455"/>
            <w:vAlign w:val="center"/>
            <w:shd w:fill="E8EEF5"/>
          </w:tcPr>
          <w:p>
            <w:pPr>
              <w:spacing w:line="276" w:lineRule="auto"/>
              <w:jc w:val="center"/>
            </w:pPr>
            <w:r/>
            <w:r>
              <w:rPr>
                <w:rFonts w:ascii="Times New Roman" w:hAnsi="Times New Roman" w:eastAsia="宋体"/>
                <w:b/>
                <w:sz w:val="17"/>
              </w:rPr>
              <w:t>方法</w:t>
            </w:r>
          </w:p>
        </w:tc>
        <w:tc>
          <w:tcPr>
            <w:tcW w:type="dxa" w:w="1455"/>
            <w:vAlign w:val="center"/>
            <w:shd w:fill="E8EEF5"/>
          </w:tcPr>
          <w:p>
            <w:pPr>
              <w:spacing w:line="276" w:lineRule="auto"/>
              <w:jc w:val="center"/>
            </w:pPr>
            <w:r/>
            <w:r>
              <w:rPr>
                <w:rFonts w:ascii="Times New Roman" w:hAnsi="Times New Roman" w:eastAsia="宋体"/>
                <w:b/>
                <w:sz w:val="17"/>
              </w:rPr>
              <w:t>状态</w:t>
            </w:r>
          </w:p>
        </w:tc>
        <w:tc>
          <w:tcPr>
            <w:tcW w:type="dxa" w:w="1455"/>
            <w:vAlign w:val="center"/>
            <w:shd w:fill="E8EEF5"/>
          </w:tcPr>
          <w:p>
            <w:pPr>
              <w:spacing w:line="276" w:lineRule="auto"/>
              <w:jc w:val="center"/>
            </w:pPr>
            <w:r/>
            <w:r>
              <w:rPr>
                <w:rFonts w:ascii="Times New Roman" w:hAnsi="Times New Roman" w:eastAsia="宋体"/>
                <w:b/>
                <w:sz w:val="17"/>
              </w:rPr>
              <w:t>隐私值包含率↓</w:t>
            </w:r>
          </w:p>
        </w:tc>
        <w:tc>
          <w:tcPr>
            <w:tcW w:type="dxa" w:w="1455"/>
            <w:vAlign w:val="center"/>
            <w:shd w:fill="E8EEF5"/>
          </w:tcPr>
          <w:p>
            <w:pPr>
              <w:spacing w:line="276" w:lineRule="auto"/>
              <w:jc w:val="center"/>
            </w:pPr>
            <w:r/>
            <w:r>
              <w:rPr>
                <w:rFonts w:ascii="Times New Roman" w:hAnsi="Times New Roman" w:eastAsia="宋体"/>
                <w:b/>
                <w:sz w:val="17"/>
              </w:rPr>
              <w:t>敏感格式率↓</w:t>
            </w:r>
          </w:p>
        </w:tc>
        <w:tc>
          <w:tcPr>
            <w:tcW w:type="dxa" w:w="1455"/>
            <w:vAlign w:val="center"/>
            <w:shd w:fill="E8EEF5"/>
          </w:tcPr>
          <w:p>
            <w:pPr>
              <w:spacing w:line="276" w:lineRule="auto"/>
              <w:jc w:val="center"/>
            </w:pPr>
            <w:r/>
            <w:r>
              <w:rPr>
                <w:rFonts w:ascii="Times New Roman" w:hAnsi="Times New Roman" w:eastAsia="宋体"/>
                <w:b/>
                <w:sz w:val="17"/>
              </w:rPr>
              <w:t>隐私拒答率</w:t>
            </w:r>
          </w:p>
        </w:tc>
        <w:tc>
          <w:tcPr>
            <w:tcW w:type="dxa" w:w="1455"/>
            <w:vAlign w:val="center"/>
            <w:shd w:fill="E8EEF5"/>
          </w:tcPr>
          <w:p>
            <w:pPr>
              <w:spacing w:line="276" w:lineRule="auto"/>
              <w:jc w:val="center"/>
            </w:pPr>
            <w:r/>
            <w:r>
              <w:rPr>
                <w:rFonts w:ascii="Times New Roman" w:hAnsi="Times New Roman" w:eastAsia="宋体"/>
                <w:b/>
                <w:sz w:val="17"/>
              </w:rPr>
              <w:t>公开知识保持率↑</w:t>
            </w:r>
          </w:p>
        </w:tc>
      </w:tr>
      <w:tr>
        <w:tc>
          <w:tcPr>
            <w:tcW w:type="dxa" w:w="1455"/>
            <w:vAlign w:val="center"/>
          </w:tcPr>
          <w:p>
            <w:pPr>
              <w:spacing w:line="276" w:lineRule="auto"/>
              <w:jc w:val="center"/>
            </w:pPr>
            <w:r/>
            <w:r>
              <w:rPr>
                <w:rFonts w:ascii="Times New Roman" w:hAnsi="Times New Roman" w:eastAsia="宋体"/>
                <w:b w:val="0"/>
                <w:sz w:val="17"/>
              </w:rPr>
              <w:t>合并后泄露模型</w:t>
            </w:r>
          </w:p>
        </w:tc>
        <w:tc>
          <w:tcPr>
            <w:tcW w:type="dxa" w:w="1455"/>
            <w:vAlign w:val="center"/>
          </w:tcPr>
          <w:p>
            <w:pPr>
              <w:spacing w:line="276" w:lineRule="auto"/>
              <w:jc w:val="center"/>
            </w:pPr>
            <w:r/>
            <w:r>
              <w:rPr>
                <w:rFonts w:ascii="Times New Roman" w:hAnsi="Times New Roman" w:eastAsia="宋体"/>
                <w:b w:val="0"/>
                <w:sz w:val="17"/>
              </w:rPr>
              <w:t>ok</w:t>
            </w:r>
          </w:p>
        </w:tc>
        <w:tc>
          <w:tcPr>
            <w:tcW w:type="dxa" w:w="1455"/>
            <w:vAlign w:val="center"/>
          </w:tcPr>
          <w:p>
            <w:pPr>
              <w:spacing w:line="276" w:lineRule="auto"/>
              <w:jc w:val="center"/>
            </w:pPr>
            <w:r/>
            <w:r>
              <w:rPr>
                <w:rFonts w:ascii="Times New Roman" w:hAnsi="Times New Roman" w:eastAsia="宋体"/>
                <w:b w:val="0"/>
                <w:sz w:val="17"/>
              </w:rPr>
              <w:t>0.9387</w:t>
            </w:r>
          </w:p>
        </w:tc>
        <w:tc>
          <w:tcPr>
            <w:tcW w:type="dxa" w:w="1455"/>
            <w:vAlign w:val="center"/>
          </w:tcPr>
          <w:p>
            <w:pPr>
              <w:spacing w:line="276" w:lineRule="auto"/>
              <w:jc w:val="center"/>
            </w:pPr>
            <w:r/>
            <w:r>
              <w:rPr>
                <w:rFonts w:ascii="Times New Roman" w:hAnsi="Times New Roman" w:eastAsia="宋体"/>
                <w:b w:val="0"/>
                <w:sz w:val="17"/>
              </w:rPr>
              <w:t>0.9927</w:t>
            </w:r>
          </w:p>
        </w:tc>
        <w:tc>
          <w:tcPr>
            <w:tcW w:type="dxa" w:w="1455"/>
            <w:vAlign w:val="center"/>
          </w:tcPr>
          <w:p>
            <w:pPr>
              <w:spacing w:line="276" w:lineRule="auto"/>
              <w:jc w:val="center"/>
            </w:pPr>
            <w:r/>
            <w:r>
              <w:rPr>
                <w:rFonts w:ascii="Times New Roman" w:hAnsi="Times New Roman" w:eastAsia="宋体"/>
                <w:b w:val="0"/>
                <w:sz w:val="17"/>
              </w:rPr>
              <w:t>0.0000</w:t>
            </w:r>
          </w:p>
        </w:tc>
        <w:tc>
          <w:tcPr>
            <w:tcW w:type="dxa" w:w="1455"/>
            <w:vAlign w:val="center"/>
          </w:tcPr>
          <w:p>
            <w:pPr>
              <w:spacing w:line="276" w:lineRule="auto"/>
              <w:jc w:val="center"/>
            </w:pPr>
            <w:r/>
            <w:r>
              <w:rPr>
                <w:rFonts w:ascii="Times New Roman" w:hAnsi="Times New Roman" w:eastAsia="宋体"/>
                <w:b w:val="0"/>
                <w:sz w:val="17"/>
              </w:rPr>
              <w:t>0.9766</w:t>
            </w:r>
          </w:p>
        </w:tc>
      </w:tr>
      <w:tr>
        <w:tc>
          <w:tcPr>
            <w:tcW w:type="dxa" w:w="1455"/>
            <w:vAlign w:val="center"/>
          </w:tcPr>
          <w:p>
            <w:pPr>
              <w:spacing w:line="276" w:lineRule="auto"/>
              <w:jc w:val="center"/>
            </w:pPr>
            <w:r/>
            <w:r>
              <w:rPr>
                <w:rFonts w:ascii="Times New Roman" w:hAnsi="Times New Roman" w:eastAsia="宋体"/>
                <w:b w:val="0"/>
                <w:sz w:val="17"/>
              </w:rPr>
              <w:t>提示拒答</w:t>
            </w:r>
          </w:p>
        </w:tc>
        <w:tc>
          <w:tcPr>
            <w:tcW w:type="dxa" w:w="1455"/>
            <w:vAlign w:val="center"/>
          </w:tcPr>
          <w:p>
            <w:pPr>
              <w:spacing w:line="276" w:lineRule="auto"/>
              <w:jc w:val="center"/>
            </w:pPr>
            <w:r/>
            <w:r>
              <w:rPr>
                <w:rFonts w:ascii="Times New Roman" w:hAnsi="Times New Roman" w:eastAsia="宋体"/>
                <w:b w:val="0"/>
                <w:sz w:val="17"/>
              </w:rPr>
              <w:t>ok</w:t>
            </w:r>
          </w:p>
        </w:tc>
        <w:tc>
          <w:tcPr>
            <w:tcW w:type="dxa" w:w="1455"/>
            <w:vAlign w:val="center"/>
          </w:tcPr>
          <w:p>
            <w:pPr>
              <w:spacing w:line="276" w:lineRule="auto"/>
              <w:jc w:val="center"/>
            </w:pPr>
            <w:r/>
            <w:r>
              <w:rPr>
                <w:rFonts w:ascii="Times New Roman" w:hAnsi="Times New Roman" w:eastAsia="宋体"/>
                <w:b w:val="0"/>
                <w:sz w:val="17"/>
              </w:rPr>
              <w:t>0.9490</w:t>
            </w:r>
          </w:p>
        </w:tc>
        <w:tc>
          <w:tcPr>
            <w:tcW w:type="dxa" w:w="1455"/>
            <w:vAlign w:val="center"/>
          </w:tcPr>
          <w:p>
            <w:pPr>
              <w:spacing w:line="276" w:lineRule="auto"/>
              <w:jc w:val="center"/>
            </w:pPr>
            <w:r/>
            <w:r>
              <w:rPr>
                <w:rFonts w:ascii="Times New Roman" w:hAnsi="Times New Roman" w:eastAsia="宋体"/>
                <w:b w:val="0"/>
                <w:sz w:val="17"/>
              </w:rPr>
              <w:t>0.9947</w:t>
            </w:r>
          </w:p>
        </w:tc>
        <w:tc>
          <w:tcPr>
            <w:tcW w:type="dxa" w:w="1455"/>
            <w:vAlign w:val="center"/>
          </w:tcPr>
          <w:p>
            <w:pPr>
              <w:spacing w:line="276" w:lineRule="auto"/>
              <w:jc w:val="center"/>
            </w:pPr>
            <w:r/>
            <w:r>
              <w:rPr>
                <w:rFonts w:ascii="Times New Roman" w:hAnsi="Times New Roman" w:eastAsia="宋体"/>
                <w:b w:val="0"/>
                <w:sz w:val="17"/>
              </w:rPr>
              <w:t>0.0000</w:t>
            </w:r>
          </w:p>
        </w:tc>
        <w:tc>
          <w:tcPr>
            <w:tcW w:type="dxa" w:w="1455"/>
            <w:vAlign w:val="center"/>
          </w:tcPr>
          <w:p>
            <w:pPr>
              <w:spacing w:line="276" w:lineRule="auto"/>
              <w:jc w:val="center"/>
            </w:pPr>
            <w:r/>
            <w:r>
              <w:rPr>
                <w:rFonts w:ascii="Times New Roman" w:hAnsi="Times New Roman" w:eastAsia="宋体"/>
                <w:b w:val="0"/>
                <w:sz w:val="17"/>
              </w:rPr>
              <w:t>0.9583</w:t>
            </w:r>
          </w:p>
        </w:tc>
      </w:tr>
      <w:tr>
        <w:tc>
          <w:tcPr>
            <w:tcW w:type="dxa" w:w="1455"/>
            <w:vAlign w:val="center"/>
          </w:tcPr>
          <w:p>
            <w:pPr>
              <w:spacing w:line="276" w:lineRule="auto"/>
              <w:jc w:val="center"/>
            </w:pPr>
            <w:r/>
            <w:r>
              <w:rPr>
                <w:rFonts w:ascii="Times New Roman" w:hAnsi="Times New Roman" w:eastAsia="宋体"/>
                <w:b w:val="0"/>
                <w:sz w:val="17"/>
              </w:rPr>
              <w:t>ROME</w:t>
            </w:r>
          </w:p>
        </w:tc>
        <w:tc>
          <w:tcPr>
            <w:tcW w:type="dxa" w:w="1455"/>
            <w:vAlign w:val="center"/>
          </w:tcPr>
          <w:p>
            <w:pPr>
              <w:spacing w:line="276" w:lineRule="auto"/>
              <w:jc w:val="center"/>
            </w:pPr>
            <w:r/>
            <w:r>
              <w:rPr>
                <w:rFonts w:ascii="Times New Roman" w:hAnsi="Times New Roman" w:eastAsia="宋体"/>
                <w:b w:val="0"/>
                <w:sz w:val="17"/>
              </w:rPr>
              <w:t>ok</w:t>
            </w:r>
          </w:p>
        </w:tc>
        <w:tc>
          <w:tcPr>
            <w:tcW w:type="dxa" w:w="1455"/>
            <w:vAlign w:val="center"/>
          </w:tcPr>
          <w:p>
            <w:pPr>
              <w:spacing w:line="276" w:lineRule="auto"/>
              <w:jc w:val="center"/>
            </w:pPr>
            <w:r/>
            <w:r>
              <w:rPr>
                <w:rFonts w:ascii="Times New Roman" w:hAnsi="Times New Roman" w:eastAsia="宋体"/>
                <w:b w:val="0"/>
                <w:sz w:val="17"/>
              </w:rPr>
              <w:t>0.5787</w:t>
            </w:r>
          </w:p>
        </w:tc>
        <w:tc>
          <w:tcPr>
            <w:tcW w:type="dxa" w:w="1455"/>
            <w:vAlign w:val="center"/>
          </w:tcPr>
          <w:p>
            <w:pPr>
              <w:spacing w:line="276" w:lineRule="auto"/>
              <w:jc w:val="center"/>
            </w:pPr>
            <w:r/>
            <w:r>
              <w:rPr>
                <w:rFonts w:ascii="Times New Roman" w:hAnsi="Times New Roman" w:eastAsia="宋体"/>
                <w:b w:val="0"/>
                <w:sz w:val="17"/>
              </w:rPr>
              <w:t>0.8563</w:t>
            </w:r>
          </w:p>
        </w:tc>
        <w:tc>
          <w:tcPr>
            <w:tcW w:type="dxa" w:w="1455"/>
            <w:vAlign w:val="center"/>
          </w:tcPr>
          <w:p>
            <w:pPr>
              <w:spacing w:line="276" w:lineRule="auto"/>
              <w:jc w:val="center"/>
            </w:pPr>
            <w:r/>
            <w:r>
              <w:rPr>
                <w:rFonts w:ascii="Times New Roman" w:hAnsi="Times New Roman" w:eastAsia="宋体"/>
                <w:b w:val="0"/>
                <w:sz w:val="17"/>
              </w:rPr>
              <w:t>0.5973</w:t>
            </w:r>
          </w:p>
        </w:tc>
        <w:tc>
          <w:tcPr>
            <w:tcW w:type="dxa" w:w="1455"/>
            <w:vAlign w:val="center"/>
          </w:tcPr>
          <w:p>
            <w:pPr>
              <w:spacing w:line="276" w:lineRule="auto"/>
              <w:jc w:val="center"/>
            </w:pPr>
            <w:r/>
            <w:r>
              <w:rPr>
                <w:rFonts w:ascii="Times New Roman" w:hAnsi="Times New Roman" w:eastAsia="宋体"/>
                <w:b w:val="0"/>
                <w:sz w:val="17"/>
              </w:rPr>
              <w:t>0.5591</w:t>
            </w:r>
          </w:p>
        </w:tc>
      </w:tr>
      <w:tr>
        <w:tc>
          <w:tcPr>
            <w:tcW w:type="dxa" w:w="1455"/>
            <w:vAlign w:val="center"/>
          </w:tcPr>
          <w:p>
            <w:pPr>
              <w:spacing w:line="276" w:lineRule="auto"/>
              <w:jc w:val="center"/>
            </w:pPr>
            <w:r/>
            <w:r>
              <w:rPr>
                <w:rFonts w:ascii="Times New Roman" w:hAnsi="Times New Roman" w:eastAsia="宋体"/>
                <w:b w:val="0"/>
                <w:sz w:val="17"/>
              </w:rPr>
              <w:t>MEMIT</w:t>
            </w:r>
          </w:p>
        </w:tc>
        <w:tc>
          <w:tcPr>
            <w:tcW w:type="dxa" w:w="1455"/>
            <w:vAlign w:val="center"/>
          </w:tcPr>
          <w:p>
            <w:pPr>
              <w:spacing w:line="276" w:lineRule="auto"/>
              <w:jc w:val="center"/>
            </w:pPr>
            <w:r/>
            <w:r>
              <w:rPr>
                <w:rFonts w:ascii="Times New Roman" w:hAnsi="Times New Roman" w:eastAsia="宋体"/>
                <w:b w:val="0"/>
                <w:sz w:val="17"/>
              </w:rPr>
              <w:t>ok</w:t>
            </w:r>
          </w:p>
        </w:tc>
        <w:tc>
          <w:tcPr>
            <w:tcW w:type="dxa" w:w="1455"/>
            <w:vAlign w:val="center"/>
          </w:tcPr>
          <w:p>
            <w:pPr>
              <w:spacing w:line="276" w:lineRule="auto"/>
              <w:jc w:val="center"/>
            </w:pPr>
            <w:r/>
            <w:r>
              <w:rPr>
                <w:rFonts w:ascii="Times New Roman" w:hAnsi="Times New Roman" w:eastAsia="宋体"/>
                <w:b w:val="0"/>
                <w:sz w:val="17"/>
              </w:rPr>
              <w:t>0.8140</w:t>
            </w:r>
          </w:p>
        </w:tc>
        <w:tc>
          <w:tcPr>
            <w:tcW w:type="dxa" w:w="1455"/>
            <w:vAlign w:val="center"/>
          </w:tcPr>
          <w:p>
            <w:pPr>
              <w:spacing w:line="276" w:lineRule="auto"/>
              <w:jc w:val="center"/>
            </w:pPr>
            <w:r/>
            <w:r>
              <w:rPr>
                <w:rFonts w:ascii="Times New Roman" w:hAnsi="Times New Roman" w:eastAsia="宋体"/>
                <w:b w:val="0"/>
                <w:sz w:val="17"/>
              </w:rPr>
              <w:t>0.8853</w:t>
            </w:r>
          </w:p>
        </w:tc>
        <w:tc>
          <w:tcPr>
            <w:tcW w:type="dxa" w:w="1455"/>
            <w:vAlign w:val="center"/>
          </w:tcPr>
          <w:p>
            <w:pPr>
              <w:spacing w:line="276" w:lineRule="auto"/>
              <w:jc w:val="center"/>
            </w:pPr>
            <w:r/>
            <w:r>
              <w:rPr>
                <w:rFonts w:ascii="Times New Roman" w:hAnsi="Times New Roman" w:eastAsia="宋体"/>
                <w:b w:val="0"/>
                <w:sz w:val="17"/>
              </w:rPr>
              <w:t>0.1950</w:t>
            </w:r>
          </w:p>
        </w:tc>
        <w:tc>
          <w:tcPr>
            <w:tcW w:type="dxa" w:w="1455"/>
            <w:vAlign w:val="center"/>
          </w:tcPr>
          <w:p>
            <w:pPr>
              <w:spacing w:line="276" w:lineRule="auto"/>
              <w:jc w:val="center"/>
            </w:pPr>
            <w:r/>
            <w:r>
              <w:rPr>
                <w:rFonts w:ascii="Times New Roman" w:hAnsi="Times New Roman" w:eastAsia="宋体"/>
                <w:b w:val="0"/>
                <w:sz w:val="17"/>
              </w:rPr>
              <w:t>0.8472</w:t>
            </w:r>
          </w:p>
        </w:tc>
      </w:tr>
      <w:tr>
        <w:tc>
          <w:tcPr>
            <w:tcW w:type="dxa" w:w="1455"/>
            <w:vAlign w:val="center"/>
          </w:tcPr>
          <w:p>
            <w:pPr>
              <w:spacing w:line="276" w:lineRule="auto"/>
              <w:jc w:val="center"/>
            </w:pPr>
            <w:r/>
            <w:r>
              <w:rPr>
                <w:rFonts w:ascii="Times New Roman" w:hAnsi="Times New Roman" w:eastAsia="宋体"/>
                <w:b w:val="0"/>
                <w:sz w:val="17"/>
              </w:rPr>
              <w:t>FT</w:t>
            </w:r>
          </w:p>
        </w:tc>
        <w:tc>
          <w:tcPr>
            <w:tcW w:type="dxa" w:w="1455"/>
            <w:vAlign w:val="center"/>
          </w:tcPr>
          <w:p>
            <w:pPr>
              <w:spacing w:line="276" w:lineRule="auto"/>
              <w:jc w:val="center"/>
            </w:pPr>
            <w:r/>
            <w:r>
              <w:rPr>
                <w:rFonts w:ascii="Times New Roman" w:hAnsi="Times New Roman" w:eastAsia="宋体"/>
                <w:b w:val="0"/>
                <w:sz w:val="17"/>
              </w:rPr>
              <w:t>ok</w:t>
            </w:r>
          </w:p>
        </w:tc>
        <w:tc>
          <w:tcPr>
            <w:tcW w:type="dxa" w:w="1455"/>
            <w:vAlign w:val="center"/>
          </w:tcPr>
          <w:p>
            <w:pPr>
              <w:spacing w:line="276" w:lineRule="auto"/>
              <w:jc w:val="center"/>
            </w:pPr>
            <w:r/>
            <w:r>
              <w:rPr>
                <w:rFonts w:ascii="Times New Roman" w:hAnsi="Times New Roman" w:eastAsia="宋体"/>
                <w:b w:val="0"/>
                <w:sz w:val="17"/>
              </w:rPr>
              <w:t>0.0000</w:t>
            </w:r>
          </w:p>
        </w:tc>
        <w:tc>
          <w:tcPr>
            <w:tcW w:type="dxa" w:w="1455"/>
            <w:vAlign w:val="center"/>
          </w:tcPr>
          <w:p>
            <w:pPr>
              <w:spacing w:line="276" w:lineRule="auto"/>
              <w:jc w:val="center"/>
            </w:pPr>
            <w:r/>
            <w:r>
              <w:rPr>
                <w:rFonts w:ascii="Times New Roman" w:hAnsi="Times New Roman" w:eastAsia="宋体"/>
                <w:b w:val="0"/>
                <w:sz w:val="17"/>
              </w:rPr>
              <w:t>0.0000</w:t>
            </w:r>
          </w:p>
        </w:tc>
        <w:tc>
          <w:tcPr>
            <w:tcW w:type="dxa" w:w="1455"/>
            <w:vAlign w:val="center"/>
          </w:tcPr>
          <w:p>
            <w:pPr>
              <w:spacing w:line="276" w:lineRule="auto"/>
              <w:jc w:val="center"/>
            </w:pPr>
            <w:r/>
            <w:r>
              <w:rPr>
                <w:rFonts w:ascii="Times New Roman" w:hAnsi="Times New Roman" w:eastAsia="宋体"/>
                <w:b w:val="0"/>
                <w:sz w:val="17"/>
              </w:rPr>
              <w:t>0.0000</w:t>
            </w:r>
          </w:p>
        </w:tc>
        <w:tc>
          <w:tcPr>
            <w:tcW w:type="dxa" w:w="1455"/>
            <w:vAlign w:val="center"/>
          </w:tcPr>
          <w:p>
            <w:pPr>
              <w:spacing w:line="276" w:lineRule="auto"/>
              <w:jc w:val="center"/>
            </w:pPr>
            <w:r/>
            <w:r>
              <w:rPr>
                <w:rFonts w:ascii="Times New Roman" w:hAnsi="Times New Roman" w:eastAsia="宋体"/>
                <w:b w:val="0"/>
                <w:sz w:val="17"/>
              </w:rPr>
              <w:t>0.0040</w:t>
            </w:r>
          </w:p>
        </w:tc>
      </w:tr>
      <w:tr>
        <w:tc>
          <w:tcPr>
            <w:tcW w:type="dxa" w:w="1455"/>
            <w:vAlign w:val="center"/>
          </w:tcPr>
          <w:p>
            <w:pPr>
              <w:spacing w:line="276" w:lineRule="auto"/>
              <w:jc w:val="center"/>
            </w:pPr>
            <w:r/>
            <w:r>
              <w:rPr>
                <w:rFonts w:ascii="Times New Roman" w:hAnsi="Times New Roman" w:eastAsia="宋体"/>
                <w:b w:val="0"/>
                <w:sz w:val="17"/>
              </w:rPr>
              <w:t>KN</w:t>
            </w:r>
          </w:p>
        </w:tc>
        <w:tc>
          <w:tcPr>
            <w:tcW w:type="dxa" w:w="1455"/>
            <w:vAlign w:val="center"/>
          </w:tcPr>
          <w:p>
            <w:pPr>
              <w:spacing w:line="276" w:lineRule="auto"/>
              <w:jc w:val="center"/>
            </w:pPr>
            <w:r/>
            <w:r>
              <w:rPr>
                <w:rFonts w:ascii="Times New Roman" w:hAnsi="Times New Roman" w:eastAsia="宋体"/>
                <w:b w:val="0"/>
                <w:sz w:val="17"/>
              </w:rPr>
              <w:t>failed</w:t>
            </w:r>
          </w:p>
        </w:tc>
        <w:tc>
          <w:tcPr>
            <w:tcW w:type="dxa" w:w="1455"/>
            <w:vAlign w:val="center"/>
          </w:tcPr>
          <w:p>
            <w:pPr>
              <w:spacing w:line="276" w:lineRule="auto"/>
              <w:jc w:val="left"/>
            </w:pPr>
            <w:r/>
            <w:r>
              <w:rPr>
                <w:rFonts w:ascii="Times New Roman" w:hAnsi="Times New Roman" w:eastAsia="宋体"/>
                <w:b w:val="0"/>
                <w:sz w:val="17"/>
              </w:rPr>
              <w:t>failed: OOM on 48GB GPU</w:t>
            </w:r>
          </w:p>
        </w:tc>
        <w:tc>
          <w:tcPr>
            <w:tcW w:type="dxa" w:w="1455"/>
            <w:vAlign w:val="center"/>
          </w:tcPr>
          <w:p>
            <w:pPr>
              <w:spacing w:line="276" w:lineRule="auto"/>
              <w:jc w:val="center"/>
            </w:pPr>
            <w:r/>
            <w:r>
              <w:rPr>
                <w:rFonts w:ascii="Times New Roman" w:hAnsi="Times New Roman" w:eastAsia="宋体"/>
                <w:b w:val="0"/>
                <w:sz w:val="17"/>
              </w:rPr>
              <w:t>failed</w:t>
            </w:r>
          </w:p>
        </w:tc>
        <w:tc>
          <w:tcPr>
            <w:tcW w:type="dxa" w:w="1455"/>
            <w:vAlign w:val="center"/>
          </w:tcPr>
          <w:p>
            <w:pPr>
              <w:spacing w:line="276" w:lineRule="auto"/>
              <w:jc w:val="center"/>
            </w:pPr>
            <w:r/>
            <w:r>
              <w:rPr>
                <w:rFonts w:ascii="Times New Roman" w:hAnsi="Times New Roman" w:eastAsia="宋体"/>
                <w:b w:val="0"/>
                <w:sz w:val="17"/>
              </w:rPr>
              <w:t>failed</w:t>
            </w:r>
          </w:p>
        </w:tc>
        <w:tc>
          <w:tcPr>
            <w:tcW w:type="dxa" w:w="1455"/>
            <w:vAlign w:val="center"/>
          </w:tcPr>
          <w:p>
            <w:pPr>
              <w:spacing w:line="276" w:lineRule="auto"/>
              <w:jc w:val="center"/>
            </w:pPr>
            <w:r/>
            <w:r>
              <w:rPr>
                <w:rFonts w:ascii="Times New Roman" w:hAnsi="Times New Roman" w:eastAsia="宋体"/>
                <w:b w:val="0"/>
                <w:sz w:val="17"/>
              </w:rPr>
              <w:t>failed</w:t>
            </w:r>
          </w:p>
        </w:tc>
      </w:tr>
      <w:tr>
        <w:tc>
          <w:tcPr>
            <w:tcW w:type="dxa" w:w="1455"/>
            <w:vAlign w:val="center"/>
          </w:tcPr>
          <w:p>
            <w:pPr>
              <w:spacing w:line="276" w:lineRule="auto"/>
              <w:jc w:val="center"/>
            </w:pPr>
            <w:r/>
            <w:r>
              <w:rPr>
                <w:rFonts w:ascii="Times New Roman" w:hAnsi="Times New Roman" w:eastAsia="宋体"/>
                <w:b w:val="0"/>
                <w:sz w:val="17"/>
              </w:rPr>
              <w:t>IKE</w:t>
            </w:r>
          </w:p>
        </w:tc>
        <w:tc>
          <w:tcPr>
            <w:tcW w:type="dxa" w:w="1455"/>
            <w:vAlign w:val="center"/>
          </w:tcPr>
          <w:p>
            <w:pPr>
              <w:spacing w:line="276" w:lineRule="auto"/>
              <w:jc w:val="center"/>
            </w:pPr>
            <w:r/>
            <w:r>
              <w:rPr>
                <w:rFonts w:ascii="Times New Roman" w:hAnsi="Times New Roman" w:eastAsia="宋体"/>
                <w:b w:val="0"/>
                <w:sz w:val="17"/>
              </w:rPr>
              <w:t>failed</w:t>
            </w:r>
          </w:p>
        </w:tc>
        <w:tc>
          <w:tcPr>
            <w:tcW w:type="dxa" w:w="1455"/>
            <w:vAlign w:val="center"/>
          </w:tcPr>
          <w:p>
            <w:pPr>
              <w:spacing w:line="276" w:lineRule="auto"/>
              <w:jc w:val="left"/>
            </w:pPr>
            <w:r/>
            <w:r>
              <w:rPr>
                <w:rFonts w:ascii="Times New Roman" w:hAnsi="Times New Roman" w:eastAsia="宋体"/>
                <w:b w:val="0"/>
                <w:sz w:val="17"/>
              </w:rPr>
              <w:t>failed: missing SentenceTransformer dependency</w:t>
            </w:r>
          </w:p>
        </w:tc>
        <w:tc>
          <w:tcPr>
            <w:tcW w:type="dxa" w:w="1455"/>
            <w:vAlign w:val="center"/>
          </w:tcPr>
          <w:p>
            <w:pPr>
              <w:spacing w:line="276" w:lineRule="auto"/>
              <w:jc w:val="center"/>
            </w:pPr>
            <w:r/>
            <w:r>
              <w:rPr>
                <w:rFonts w:ascii="Times New Roman" w:hAnsi="Times New Roman" w:eastAsia="宋体"/>
                <w:b w:val="0"/>
                <w:sz w:val="17"/>
              </w:rPr>
              <w:t>failed</w:t>
            </w:r>
          </w:p>
        </w:tc>
        <w:tc>
          <w:tcPr>
            <w:tcW w:type="dxa" w:w="1455"/>
            <w:vAlign w:val="center"/>
          </w:tcPr>
          <w:p>
            <w:pPr>
              <w:spacing w:line="276" w:lineRule="auto"/>
              <w:jc w:val="center"/>
            </w:pPr>
            <w:r/>
            <w:r>
              <w:rPr>
                <w:rFonts w:ascii="Times New Roman" w:hAnsi="Times New Roman" w:eastAsia="宋体"/>
                <w:b w:val="0"/>
                <w:sz w:val="17"/>
              </w:rPr>
              <w:t>failed</w:t>
            </w:r>
          </w:p>
        </w:tc>
        <w:tc>
          <w:tcPr>
            <w:tcW w:type="dxa" w:w="1455"/>
            <w:vAlign w:val="center"/>
          </w:tcPr>
          <w:p>
            <w:pPr>
              <w:spacing w:line="276" w:lineRule="auto"/>
              <w:jc w:val="center"/>
            </w:pPr>
            <w:r/>
            <w:r>
              <w:rPr>
                <w:rFonts w:ascii="Times New Roman" w:hAnsi="Times New Roman" w:eastAsia="宋体"/>
                <w:b w:val="0"/>
                <w:sz w:val="17"/>
              </w:rPr>
              <w:t>failed</w:t>
            </w:r>
          </w:p>
        </w:tc>
      </w:tr>
      <w:tr>
        <w:tc>
          <w:tcPr>
            <w:tcW w:type="dxa" w:w="1455"/>
            <w:vAlign w:val="center"/>
          </w:tcPr>
          <w:p>
            <w:pPr>
              <w:spacing w:line="276" w:lineRule="auto"/>
              <w:jc w:val="center"/>
            </w:pPr>
            <w:r/>
            <w:r>
              <w:rPr>
                <w:rFonts w:ascii="Times New Roman" w:hAnsi="Times New Roman" w:eastAsia="宋体"/>
                <w:b w:val="0"/>
                <w:sz w:val="17"/>
              </w:rPr>
              <w:t>PACE</w:t>
            </w:r>
          </w:p>
        </w:tc>
        <w:tc>
          <w:tcPr>
            <w:tcW w:type="dxa" w:w="1455"/>
            <w:vAlign w:val="center"/>
          </w:tcPr>
          <w:p>
            <w:pPr>
              <w:spacing w:line="276" w:lineRule="auto"/>
              <w:jc w:val="center"/>
            </w:pPr>
            <w:r/>
            <w:r>
              <w:rPr>
                <w:rFonts w:ascii="Times New Roman" w:hAnsi="Times New Roman" w:eastAsia="宋体"/>
                <w:b w:val="0"/>
                <w:sz w:val="17"/>
              </w:rPr>
              <w:t>ok</w:t>
            </w:r>
          </w:p>
        </w:tc>
        <w:tc>
          <w:tcPr>
            <w:tcW w:type="dxa" w:w="1455"/>
            <w:vAlign w:val="center"/>
          </w:tcPr>
          <w:p>
            <w:pPr>
              <w:spacing w:line="276" w:lineRule="auto"/>
              <w:jc w:val="center"/>
            </w:pPr>
            <w:r/>
            <w:r>
              <w:rPr>
                <w:rFonts w:ascii="Times New Roman" w:hAnsi="Times New Roman" w:eastAsia="宋体"/>
                <w:b w:val="0"/>
                <w:sz w:val="17"/>
              </w:rPr>
              <w:t>0.0243</w:t>
            </w:r>
          </w:p>
        </w:tc>
        <w:tc>
          <w:tcPr>
            <w:tcW w:type="dxa" w:w="1455"/>
            <w:vAlign w:val="center"/>
          </w:tcPr>
          <w:p>
            <w:pPr>
              <w:spacing w:line="276" w:lineRule="auto"/>
              <w:jc w:val="center"/>
            </w:pPr>
            <w:r/>
            <w:r>
              <w:rPr>
                <w:rFonts w:ascii="Times New Roman" w:hAnsi="Times New Roman" w:eastAsia="宋体"/>
                <w:b w:val="0"/>
                <w:sz w:val="17"/>
              </w:rPr>
              <w:t>0.0740</w:t>
            </w:r>
          </w:p>
        </w:tc>
        <w:tc>
          <w:tcPr>
            <w:tcW w:type="dxa" w:w="1455"/>
            <w:vAlign w:val="center"/>
          </w:tcPr>
          <w:p>
            <w:pPr>
              <w:spacing w:line="276" w:lineRule="auto"/>
              <w:jc w:val="center"/>
            </w:pPr>
            <w:r/>
            <w:r>
              <w:rPr>
                <w:rFonts w:ascii="Times New Roman" w:hAnsi="Times New Roman" w:eastAsia="宋体"/>
                <w:b w:val="0"/>
                <w:sz w:val="17"/>
              </w:rPr>
              <w:t>0.9347</w:t>
            </w:r>
          </w:p>
        </w:tc>
        <w:tc>
          <w:tcPr>
            <w:tcW w:type="dxa" w:w="1455"/>
            <w:vAlign w:val="center"/>
          </w:tcPr>
          <w:p>
            <w:pPr>
              <w:spacing w:line="276" w:lineRule="auto"/>
              <w:jc w:val="center"/>
            </w:pPr>
            <w:r/>
            <w:r>
              <w:rPr>
                <w:rFonts w:ascii="Times New Roman" w:hAnsi="Times New Roman" w:eastAsia="宋体"/>
                <w:b w:val="0"/>
                <w:sz w:val="17"/>
              </w:rPr>
              <w:t>0.0984</w:t>
            </w:r>
          </w:p>
        </w:tc>
      </w:tr>
      <w:tr>
        <w:tc>
          <w:tcPr>
            <w:tcW w:type="dxa" w:w="1455"/>
            <w:vAlign w:val="center"/>
          </w:tcPr>
          <w:p>
            <w:pPr>
              <w:spacing w:line="276" w:lineRule="auto"/>
              <w:jc w:val="center"/>
            </w:pPr>
            <w:r/>
            <w:r>
              <w:rPr>
                <w:rFonts w:ascii="Times New Roman" w:hAnsi="Times New Roman" w:eastAsia="宋体"/>
                <w:b w:val="0"/>
                <w:sz w:val="17"/>
              </w:rPr>
              <w:t>CAPE</w:t>
            </w:r>
          </w:p>
        </w:tc>
        <w:tc>
          <w:tcPr>
            <w:tcW w:type="dxa" w:w="1455"/>
            <w:vAlign w:val="center"/>
          </w:tcPr>
          <w:p>
            <w:pPr>
              <w:spacing w:line="276" w:lineRule="auto"/>
              <w:jc w:val="center"/>
            </w:pPr>
            <w:r/>
            <w:r>
              <w:rPr>
                <w:rFonts w:ascii="Times New Roman" w:hAnsi="Times New Roman" w:eastAsia="宋体"/>
                <w:b w:val="0"/>
                <w:sz w:val="17"/>
              </w:rPr>
              <w:t>ok</w:t>
            </w:r>
          </w:p>
        </w:tc>
        <w:tc>
          <w:tcPr>
            <w:tcW w:type="dxa" w:w="1455"/>
            <w:vAlign w:val="center"/>
          </w:tcPr>
          <w:p>
            <w:pPr>
              <w:spacing w:line="276" w:lineRule="auto"/>
              <w:jc w:val="center"/>
            </w:pPr>
            <w:r/>
            <w:r>
              <w:rPr>
                <w:rFonts w:ascii="Times New Roman" w:hAnsi="Times New Roman" w:eastAsia="宋体"/>
                <w:b w:val="0"/>
                <w:sz w:val="17"/>
              </w:rPr>
              <w:t>0.0443</w:t>
            </w:r>
          </w:p>
        </w:tc>
        <w:tc>
          <w:tcPr>
            <w:tcW w:type="dxa" w:w="1455"/>
            <w:vAlign w:val="center"/>
          </w:tcPr>
          <w:p>
            <w:pPr>
              <w:spacing w:line="276" w:lineRule="auto"/>
              <w:jc w:val="center"/>
            </w:pPr>
            <w:r/>
            <w:r>
              <w:rPr>
                <w:rFonts w:ascii="Times New Roman" w:hAnsi="Times New Roman" w:eastAsia="宋体"/>
                <w:b w:val="0"/>
                <w:sz w:val="17"/>
              </w:rPr>
              <w:t>0.2587</w:t>
            </w:r>
          </w:p>
        </w:tc>
        <w:tc>
          <w:tcPr>
            <w:tcW w:type="dxa" w:w="1455"/>
            <w:vAlign w:val="center"/>
          </w:tcPr>
          <w:p>
            <w:pPr>
              <w:spacing w:line="276" w:lineRule="auto"/>
              <w:jc w:val="center"/>
            </w:pPr>
            <w:r/>
            <w:r>
              <w:rPr>
                <w:rFonts w:ascii="Times New Roman" w:hAnsi="Times New Roman" w:eastAsia="宋体"/>
                <w:b w:val="0"/>
                <w:sz w:val="17"/>
              </w:rPr>
              <w:t>0.8557</w:t>
            </w:r>
          </w:p>
        </w:tc>
        <w:tc>
          <w:tcPr>
            <w:tcW w:type="dxa" w:w="1455"/>
            <w:vAlign w:val="center"/>
          </w:tcPr>
          <w:p>
            <w:pPr>
              <w:spacing w:line="276" w:lineRule="auto"/>
              <w:jc w:val="center"/>
            </w:pPr>
            <w:r/>
            <w:r>
              <w:rPr>
                <w:rFonts w:ascii="Times New Roman" w:hAnsi="Times New Roman" w:eastAsia="宋体"/>
                <w:b w:val="0"/>
                <w:sz w:val="17"/>
              </w:rPr>
              <w:t>0.1119</w:t>
            </w:r>
          </w:p>
        </w:tc>
      </w:tr>
      <w:tr>
        <w:tc>
          <w:tcPr>
            <w:tcW w:type="dxa" w:w="1455"/>
            <w:vAlign w:val="center"/>
          </w:tcPr>
          <w:p>
            <w:pPr>
              <w:spacing w:line="276" w:lineRule="auto"/>
              <w:jc w:val="center"/>
            </w:pPr>
            <w:r/>
            <w:r>
              <w:rPr>
                <w:rFonts w:ascii="Times New Roman" w:hAnsi="Times New Roman" w:eastAsia="宋体"/>
                <w:b w:val="0"/>
                <w:sz w:val="17"/>
              </w:rPr>
              <w:t>PACE-Lite K0</w:t>
            </w:r>
          </w:p>
        </w:tc>
        <w:tc>
          <w:tcPr>
            <w:tcW w:type="dxa" w:w="1455"/>
            <w:vAlign w:val="center"/>
          </w:tcPr>
          <w:p>
            <w:pPr>
              <w:spacing w:line="276" w:lineRule="auto"/>
              <w:jc w:val="center"/>
            </w:pPr>
            <w:r/>
            <w:r>
              <w:rPr>
                <w:rFonts w:ascii="Times New Roman" w:hAnsi="Times New Roman" w:eastAsia="宋体"/>
                <w:b w:val="0"/>
                <w:sz w:val="17"/>
              </w:rPr>
              <w:t>ok</w:t>
            </w:r>
          </w:p>
        </w:tc>
        <w:tc>
          <w:tcPr>
            <w:tcW w:type="dxa" w:w="1455"/>
            <w:vAlign w:val="center"/>
          </w:tcPr>
          <w:p>
            <w:pPr>
              <w:spacing w:line="276" w:lineRule="auto"/>
              <w:jc w:val="center"/>
            </w:pPr>
            <w:r/>
            <w:r>
              <w:rPr>
                <w:rFonts w:ascii="Times New Roman" w:hAnsi="Times New Roman" w:eastAsia="宋体"/>
                <w:b w:val="0"/>
                <w:sz w:val="17"/>
              </w:rPr>
              <w:t>0.3323</w:t>
            </w:r>
          </w:p>
        </w:tc>
        <w:tc>
          <w:tcPr>
            <w:tcW w:type="dxa" w:w="1455"/>
            <w:vAlign w:val="center"/>
          </w:tcPr>
          <w:p>
            <w:pPr>
              <w:spacing w:line="276" w:lineRule="auto"/>
              <w:jc w:val="center"/>
            </w:pPr>
            <w:r/>
            <w:r>
              <w:rPr>
                <w:rFonts w:ascii="Times New Roman" w:hAnsi="Times New Roman" w:eastAsia="宋体"/>
                <w:b w:val="0"/>
                <w:sz w:val="17"/>
              </w:rPr>
              <w:t>0.5217</w:t>
            </w:r>
          </w:p>
        </w:tc>
        <w:tc>
          <w:tcPr>
            <w:tcW w:type="dxa" w:w="1455"/>
            <w:vAlign w:val="center"/>
          </w:tcPr>
          <w:p>
            <w:pPr>
              <w:spacing w:line="276" w:lineRule="auto"/>
              <w:jc w:val="center"/>
            </w:pPr>
            <w:r/>
            <w:r>
              <w:rPr>
                <w:rFonts w:ascii="Times New Roman" w:hAnsi="Times New Roman" w:eastAsia="宋体"/>
                <w:b w:val="0"/>
                <w:sz w:val="17"/>
              </w:rPr>
              <w:t>0.6407</w:t>
            </w:r>
          </w:p>
        </w:tc>
        <w:tc>
          <w:tcPr>
            <w:tcW w:type="dxa" w:w="1455"/>
            <w:vAlign w:val="center"/>
          </w:tcPr>
          <w:p>
            <w:pPr>
              <w:spacing w:line="276" w:lineRule="auto"/>
              <w:jc w:val="center"/>
            </w:pPr>
            <w:r/>
            <w:r>
              <w:rPr>
                <w:rFonts w:ascii="Times New Roman" w:hAnsi="Times New Roman" w:eastAsia="宋体"/>
                <w:b w:val="0"/>
                <w:sz w:val="17"/>
              </w:rPr>
              <w:t>0.4210</w:t>
            </w:r>
          </w:p>
        </w:tc>
      </w:tr>
      <w:tr>
        <w:tc>
          <w:tcPr>
            <w:tcW w:type="dxa" w:w="1455"/>
            <w:vAlign w:val="center"/>
          </w:tcPr>
          <w:p>
            <w:pPr>
              <w:spacing w:line="276" w:lineRule="auto"/>
              <w:jc w:val="center"/>
            </w:pPr>
            <w:r/>
            <w:r>
              <w:rPr>
                <w:rFonts w:ascii="Times New Roman" w:hAnsi="Times New Roman" w:eastAsia="宋体"/>
                <w:b w:val="0"/>
                <w:sz w:val="17"/>
              </w:rPr>
              <w:t>CAPE-Anchor K1</w:t>
            </w:r>
          </w:p>
        </w:tc>
        <w:tc>
          <w:tcPr>
            <w:tcW w:type="dxa" w:w="1455"/>
            <w:vAlign w:val="center"/>
          </w:tcPr>
          <w:p>
            <w:pPr>
              <w:spacing w:line="276" w:lineRule="auto"/>
              <w:jc w:val="center"/>
            </w:pPr>
            <w:r/>
            <w:r>
              <w:rPr>
                <w:rFonts w:ascii="Times New Roman" w:hAnsi="Times New Roman" w:eastAsia="宋体"/>
                <w:b w:val="0"/>
                <w:sz w:val="17"/>
              </w:rPr>
              <w:t>ok</w:t>
            </w:r>
          </w:p>
        </w:tc>
        <w:tc>
          <w:tcPr>
            <w:tcW w:type="dxa" w:w="1455"/>
            <w:vAlign w:val="center"/>
          </w:tcPr>
          <w:p>
            <w:pPr>
              <w:spacing w:line="276" w:lineRule="auto"/>
              <w:jc w:val="center"/>
            </w:pPr>
            <w:r/>
            <w:r>
              <w:rPr>
                <w:rFonts w:ascii="Times New Roman" w:hAnsi="Times New Roman" w:eastAsia="宋体"/>
                <w:b w:val="0"/>
                <w:sz w:val="17"/>
              </w:rPr>
              <w:t>0.4603</w:t>
            </w:r>
          </w:p>
        </w:tc>
        <w:tc>
          <w:tcPr>
            <w:tcW w:type="dxa" w:w="1455"/>
            <w:vAlign w:val="center"/>
          </w:tcPr>
          <w:p>
            <w:pPr>
              <w:spacing w:line="276" w:lineRule="auto"/>
              <w:jc w:val="center"/>
            </w:pPr>
            <w:r/>
            <w:r>
              <w:rPr>
                <w:rFonts w:ascii="Times New Roman" w:hAnsi="Times New Roman" w:eastAsia="宋体"/>
                <w:b w:val="0"/>
                <w:sz w:val="17"/>
              </w:rPr>
              <w:t>0.9007</w:t>
            </w:r>
          </w:p>
        </w:tc>
        <w:tc>
          <w:tcPr>
            <w:tcW w:type="dxa" w:w="1455"/>
            <w:vAlign w:val="center"/>
          </w:tcPr>
          <w:p>
            <w:pPr>
              <w:spacing w:line="276" w:lineRule="auto"/>
              <w:jc w:val="center"/>
            </w:pPr>
            <w:r/>
            <w:r>
              <w:rPr>
                <w:rFonts w:ascii="Times New Roman" w:hAnsi="Times New Roman" w:eastAsia="宋体"/>
                <w:b w:val="0"/>
                <w:sz w:val="17"/>
              </w:rPr>
              <w:t>0.0050</w:t>
            </w:r>
          </w:p>
        </w:tc>
        <w:tc>
          <w:tcPr>
            <w:tcW w:type="dxa" w:w="1455"/>
            <w:vAlign w:val="center"/>
          </w:tcPr>
          <w:p>
            <w:pPr>
              <w:spacing w:line="276" w:lineRule="auto"/>
              <w:jc w:val="center"/>
            </w:pPr>
            <w:r/>
            <w:r>
              <w:rPr>
                <w:rFonts w:ascii="Times New Roman" w:hAnsi="Times New Roman" w:eastAsia="宋体"/>
                <w:b w:val="0"/>
                <w:sz w:val="17"/>
              </w:rPr>
              <w:t>0.6008</w:t>
            </w:r>
          </w:p>
        </w:tc>
      </w:tr>
      <w:tr>
        <w:tc>
          <w:tcPr>
            <w:tcW w:type="dxa" w:w="1455"/>
            <w:vAlign w:val="center"/>
          </w:tcPr>
          <w:p>
            <w:pPr>
              <w:spacing w:line="276" w:lineRule="auto"/>
              <w:jc w:val="center"/>
            </w:pPr>
            <w:r/>
            <w:r>
              <w:rPr>
                <w:rFonts w:ascii="Times New Roman" w:hAnsi="Times New Roman" w:eastAsia="宋体"/>
                <w:b w:val="0"/>
                <w:sz w:val="17"/>
              </w:rPr>
              <w:t>CAPE-Anchor K2</w:t>
            </w:r>
          </w:p>
        </w:tc>
        <w:tc>
          <w:tcPr>
            <w:tcW w:type="dxa" w:w="1455"/>
            <w:vAlign w:val="center"/>
          </w:tcPr>
          <w:p>
            <w:pPr>
              <w:spacing w:line="276" w:lineRule="auto"/>
              <w:jc w:val="center"/>
            </w:pPr>
            <w:r/>
            <w:r>
              <w:rPr>
                <w:rFonts w:ascii="Times New Roman" w:hAnsi="Times New Roman" w:eastAsia="宋体"/>
                <w:b w:val="0"/>
                <w:sz w:val="17"/>
              </w:rPr>
              <w:t>ok</w:t>
            </w:r>
          </w:p>
        </w:tc>
        <w:tc>
          <w:tcPr>
            <w:tcW w:type="dxa" w:w="1455"/>
            <w:vAlign w:val="center"/>
          </w:tcPr>
          <w:p>
            <w:pPr>
              <w:spacing w:line="276" w:lineRule="auto"/>
              <w:jc w:val="center"/>
            </w:pPr>
            <w:r/>
            <w:r>
              <w:rPr>
                <w:rFonts w:ascii="Times New Roman" w:hAnsi="Times New Roman" w:eastAsia="宋体"/>
                <w:b w:val="0"/>
                <w:sz w:val="17"/>
              </w:rPr>
              <w:t>0.6357</w:t>
            </w:r>
          </w:p>
        </w:tc>
        <w:tc>
          <w:tcPr>
            <w:tcW w:type="dxa" w:w="1455"/>
            <w:vAlign w:val="center"/>
          </w:tcPr>
          <w:p>
            <w:pPr>
              <w:spacing w:line="276" w:lineRule="auto"/>
              <w:jc w:val="center"/>
            </w:pPr>
            <w:r/>
            <w:r>
              <w:rPr>
                <w:rFonts w:ascii="Times New Roman" w:hAnsi="Times New Roman" w:eastAsia="宋体"/>
                <w:b w:val="0"/>
                <w:sz w:val="17"/>
              </w:rPr>
              <w:t>0.9823</w:t>
            </w:r>
          </w:p>
        </w:tc>
        <w:tc>
          <w:tcPr>
            <w:tcW w:type="dxa" w:w="1455"/>
            <w:vAlign w:val="center"/>
          </w:tcPr>
          <w:p>
            <w:pPr>
              <w:spacing w:line="276" w:lineRule="auto"/>
              <w:jc w:val="center"/>
            </w:pPr>
            <w:r/>
            <w:r>
              <w:rPr>
                <w:rFonts w:ascii="Times New Roman" w:hAnsi="Times New Roman" w:eastAsia="宋体"/>
                <w:b w:val="0"/>
                <w:sz w:val="17"/>
              </w:rPr>
              <w:t>0.0000</w:t>
            </w:r>
          </w:p>
        </w:tc>
        <w:tc>
          <w:tcPr>
            <w:tcW w:type="dxa" w:w="1455"/>
            <w:vAlign w:val="center"/>
          </w:tcPr>
          <w:p>
            <w:pPr>
              <w:spacing w:line="276" w:lineRule="auto"/>
              <w:jc w:val="center"/>
            </w:pPr>
            <w:r/>
            <w:r>
              <w:rPr>
                <w:rFonts w:ascii="Times New Roman" w:hAnsi="Times New Roman" w:eastAsia="宋体"/>
                <w:b w:val="0"/>
                <w:sz w:val="17"/>
              </w:rPr>
              <w:t>0.6833</w:t>
            </w:r>
          </w:p>
        </w:tc>
      </w:tr>
    </w:tbl>
    <w:p/>
    <w:p>
      <w:pPr>
        <w:spacing w:line="360" w:lineRule="auto" w:before="0" w:after="0"/>
        <w:ind w:firstLine="480"/>
      </w:pPr>
      <w:r>
        <w:rPr>
          <w:rFonts w:ascii="Times New Roman" w:hAnsi="Times New Roman" w:eastAsia="宋体"/>
          <w:b w:val="0"/>
          <w:sz w:val="24"/>
        </w:rPr>
        <w:t>从基础编辑方法看，MEMIT 的公开知识保持率为 0.8472，但隐私值包含率仍为 0.8140，说明它在当前拒答式隐私清洗任务中更接近高保持、弱压制端点。ROME 将隐私值包含率降至 0.5787，同时公开知识保持率下降到 0.5591，形成中间权衡区域。FT 将隐私泄露相关指标压到 0，但公开知识保持率仅为 0.0040，说明强覆盖式微调可能通过破坏公开回答能力来获得低泄露数值。</w:t>
      </w:r>
    </w:p>
    <w:p>
      <w:pPr>
        <w:spacing w:line="360" w:lineRule="auto" w:before="0" w:after="0"/>
        <w:ind w:firstLine="480"/>
      </w:pPr>
      <w:r>
        <w:rPr>
          <w:rFonts w:ascii="Times New Roman" w:hAnsi="Times New Roman" w:eastAsia="宋体"/>
          <w:b w:val="0"/>
          <w:sz w:val="24"/>
        </w:rPr>
        <w:t>PACE 和 CAPE 能进一步压低目标隐私值输出，隐私值包含率分别为 0.0243 和 0.0443；但二者公开知识保持率分别只有 0.0984 和 0.1119。这一结果揭示了闭环再编辑的核心副作用：残余泄露驱动的补充编辑能够扩大隐私压制覆盖面，却可能把拒答目标扩散到公开知识集合。</w:t>
      </w:r>
    </w:p>
    <w:p>
      <w:pPr>
        <w:pStyle w:val="Heading2"/>
        <w:spacing w:before="200" w:after="120"/>
      </w:pPr>
      <w:r>
        <w:rPr>
          <w:rFonts w:ascii="Times New Roman" w:hAnsi="Times New Roman" w:eastAsia="黑体"/>
          <w:b/>
          <w:sz w:val="28"/>
        </w:rPr>
        <w:t>4.5  PACE/CAPE 与过度拒答分析</w:t>
      </w:r>
    </w:p>
    <w:p>
      <w:pPr>
        <w:spacing w:line="360" w:lineRule="auto" w:before="0" w:after="0"/>
        <w:ind w:firstLine="480"/>
      </w:pPr>
      <w:r>
        <w:rPr>
          <w:rFonts w:ascii="Times New Roman" w:hAnsi="Times New Roman" w:eastAsia="宋体"/>
          <w:b w:val="0"/>
          <w:sz w:val="24"/>
        </w:rPr>
        <w:t>PACE 的设计目标是用残余泄露样本补足单轮编辑覆盖不足。该策略在隐私压制上有效，但 public retain 结果表明，若二轮请求只由失败样本驱动，模型可能学习到更宽泛的人物相关拒答模式。CAPE 通过主体预算和局部性风险控制尝试缓解这一问题，但在当前结果中仍未避免 public collapse。</w:t>
      </w:r>
    </w:p>
    <w:p>
      <w:pPr>
        <w:spacing w:line="360" w:lineRule="auto" w:before="0" w:after="0"/>
        <w:ind w:firstLine="480"/>
      </w:pPr>
      <w:r>
        <w:rPr>
          <w:rFonts w:ascii="Times New Roman" w:hAnsi="Times New Roman" w:eastAsia="宋体"/>
          <w:b w:val="0"/>
          <w:sz w:val="24"/>
        </w:rPr>
        <w:t>这一现象说明，隐私清洗不能只报告 private refusal 或目标泄露下降。一个模型如果对隐私问题拒答，同时也对公开问题拒答，那么它更接近“泛化拒答”而不是高质量隐私清洗。本文引入 public refusal 和 public contains 的目的，正是将这种副作用从隐私压制数值中分离出来。</w:t>
      </w:r>
    </w:p>
    <w:p>
      <w:pPr>
        <w:pStyle w:val="Heading2"/>
        <w:spacing w:before="200" w:after="120"/>
      </w:pPr>
      <w:r>
        <w:rPr>
          <w:rFonts w:ascii="Times New Roman" w:hAnsi="Times New Roman" w:eastAsia="黑体"/>
          <w:b/>
          <w:sz w:val="28"/>
        </w:rPr>
        <w:t>4.6  CAPE-Anchor 消融分析</w:t>
      </w:r>
    </w:p>
    <w:p>
      <w:pPr>
        <w:spacing w:line="360" w:lineRule="auto" w:before="0" w:after="0"/>
        <w:ind w:firstLine="480"/>
      </w:pPr>
      <w:r>
        <w:rPr>
          <w:rFonts w:ascii="Times New Roman" w:hAnsi="Times New Roman" w:eastAsia="宋体"/>
          <w:b w:val="0"/>
          <w:sz w:val="24"/>
        </w:rPr>
        <w:t>CAPE-Anchor 的目标不是继续追求最低隐私泄露率，而是在闭环再编辑中加入公开知识锚点，使模型在二轮编辑时同时接触隐私拒答请求和公开事实保留信号。表 4 展示了有限消融结果。</w:t>
      </w:r>
    </w:p>
    <w:p>
      <w:pPr>
        <w:spacing w:line="360" w:lineRule="auto" w:before="0" w:after="0"/>
        <w:jc w:val="center"/>
      </w:pPr>
      <w:r>
        <w:rPr>
          <w:rFonts w:ascii="Times New Roman" w:hAnsi="Times New Roman" w:eastAsia="宋体"/>
          <w:b w:val="0"/>
          <w:sz w:val="21"/>
        </w:rPr>
        <w:t>表 4  CAPE-Anchor 消融结果</w:t>
      </w:r>
    </w:p>
    <w:tbl>
      <w:tblPr>
        <w:tblStyle w:val="TableGrid"/>
        <w:tblW w:type="auto" w:w="0"/>
        <w:jc w:val="center"/>
        <w:tblLayout w:type="autofit"/>
        <w:tblLook w:firstColumn="1" w:firstRow="1" w:lastColumn="0" w:lastRow="0" w:noHBand="0" w:noVBand="1" w:val="04A0"/>
      </w:tblPr>
      <w:tblGrid>
        <w:gridCol w:w="1455"/>
        <w:gridCol w:w="1455"/>
        <w:gridCol w:w="1455"/>
        <w:gridCol w:w="1455"/>
        <w:gridCol w:w="1455"/>
        <w:gridCol w:w="1455"/>
      </w:tblGrid>
      <w:tr>
        <w:tc>
          <w:tcPr>
            <w:tcW w:type="dxa" w:w="1455"/>
            <w:vAlign w:val="center"/>
            <w:shd w:fill="E8EEF5"/>
          </w:tcPr>
          <w:p>
            <w:pPr>
              <w:spacing w:line="276" w:lineRule="auto"/>
              <w:jc w:val="center"/>
            </w:pPr>
            <w:r/>
            <w:r>
              <w:rPr>
                <w:rFonts w:ascii="Times New Roman" w:hAnsi="Times New Roman" w:eastAsia="宋体"/>
                <w:b/>
                <w:sz w:val="17"/>
              </w:rPr>
              <w:t>配置</w:t>
            </w:r>
          </w:p>
        </w:tc>
        <w:tc>
          <w:tcPr>
            <w:tcW w:type="dxa" w:w="1455"/>
            <w:vAlign w:val="center"/>
            <w:shd w:fill="E8EEF5"/>
          </w:tcPr>
          <w:p>
            <w:pPr>
              <w:spacing w:line="276" w:lineRule="auto"/>
              <w:jc w:val="center"/>
            </w:pPr>
            <w:r/>
            <w:r>
              <w:rPr>
                <w:rFonts w:ascii="Times New Roman" w:hAnsi="Times New Roman" w:eastAsia="宋体"/>
                <w:b/>
                <w:sz w:val="17"/>
              </w:rPr>
              <w:t>隐私值包含率↓</w:t>
            </w:r>
          </w:p>
        </w:tc>
        <w:tc>
          <w:tcPr>
            <w:tcW w:type="dxa" w:w="1455"/>
            <w:vAlign w:val="center"/>
            <w:shd w:fill="E8EEF5"/>
          </w:tcPr>
          <w:p>
            <w:pPr>
              <w:spacing w:line="276" w:lineRule="auto"/>
              <w:jc w:val="center"/>
            </w:pPr>
            <w:r/>
            <w:r>
              <w:rPr>
                <w:rFonts w:ascii="Times New Roman" w:hAnsi="Times New Roman" w:eastAsia="宋体"/>
                <w:b/>
                <w:sz w:val="17"/>
              </w:rPr>
              <w:t>PII格式率↓</w:t>
            </w:r>
          </w:p>
        </w:tc>
        <w:tc>
          <w:tcPr>
            <w:tcW w:type="dxa" w:w="1455"/>
            <w:vAlign w:val="center"/>
            <w:shd w:fill="E8EEF5"/>
          </w:tcPr>
          <w:p>
            <w:pPr>
              <w:spacing w:line="276" w:lineRule="auto"/>
              <w:jc w:val="center"/>
            </w:pPr>
            <w:r/>
            <w:r>
              <w:rPr>
                <w:rFonts w:ascii="Times New Roman" w:hAnsi="Times New Roman" w:eastAsia="宋体"/>
                <w:b/>
                <w:sz w:val="17"/>
              </w:rPr>
              <w:t>隐私拒答率</w:t>
            </w:r>
          </w:p>
        </w:tc>
        <w:tc>
          <w:tcPr>
            <w:tcW w:type="dxa" w:w="1455"/>
            <w:vAlign w:val="center"/>
            <w:shd w:fill="E8EEF5"/>
          </w:tcPr>
          <w:p>
            <w:pPr>
              <w:spacing w:line="276" w:lineRule="auto"/>
              <w:jc w:val="center"/>
            </w:pPr>
            <w:r/>
            <w:r>
              <w:rPr>
                <w:rFonts w:ascii="Times New Roman" w:hAnsi="Times New Roman" w:eastAsia="宋体"/>
                <w:b/>
                <w:sz w:val="17"/>
              </w:rPr>
              <w:t>公开知识保持率↑</w:t>
            </w:r>
          </w:p>
        </w:tc>
        <w:tc>
          <w:tcPr>
            <w:tcW w:type="dxa" w:w="1455"/>
            <w:vAlign w:val="center"/>
            <w:shd w:fill="E8EEF5"/>
          </w:tcPr>
          <w:p>
            <w:pPr>
              <w:spacing w:line="276" w:lineRule="auto"/>
              <w:jc w:val="center"/>
            </w:pPr>
            <w:r/>
            <w:r>
              <w:rPr>
                <w:rFonts w:ascii="Times New Roman" w:hAnsi="Times New Roman" w:eastAsia="宋体"/>
                <w:b/>
                <w:sz w:val="17"/>
              </w:rPr>
              <w:t>说明</w:t>
            </w:r>
          </w:p>
        </w:tc>
      </w:tr>
      <w:tr>
        <w:tc>
          <w:tcPr>
            <w:tcW w:type="dxa" w:w="1455"/>
            <w:vAlign w:val="center"/>
          </w:tcPr>
          <w:p>
            <w:pPr>
              <w:spacing w:line="276" w:lineRule="auto"/>
              <w:jc w:val="center"/>
            </w:pPr>
            <w:r/>
            <w:r>
              <w:rPr>
                <w:rFonts w:ascii="Times New Roman" w:hAnsi="Times New Roman" w:eastAsia="宋体"/>
                <w:b w:val="0"/>
                <w:sz w:val="17"/>
              </w:rPr>
              <w:t>PACE-Lite K0</w:t>
            </w:r>
          </w:p>
        </w:tc>
        <w:tc>
          <w:tcPr>
            <w:tcW w:type="dxa" w:w="1455"/>
            <w:vAlign w:val="center"/>
          </w:tcPr>
          <w:p>
            <w:pPr>
              <w:spacing w:line="276" w:lineRule="auto"/>
              <w:jc w:val="center"/>
            </w:pPr>
            <w:r/>
            <w:r>
              <w:rPr>
                <w:rFonts w:ascii="Times New Roman" w:hAnsi="Times New Roman" w:eastAsia="宋体"/>
                <w:b w:val="0"/>
                <w:sz w:val="17"/>
              </w:rPr>
              <w:t>0.3323</w:t>
            </w:r>
          </w:p>
        </w:tc>
        <w:tc>
          <w:tcPr>
            <w:tcW w:type="dxa" w:w="1455"/>
            <w:vAlign w:val="center"/>
          </w:tcPr>
          <w:p>
            <w:pPr>
              <w:spacing w:line="276" w:lineRule="auto"/>
              <w:jc w:val="center"/>
            </w:pPr>
            <w:r/>
            <w:r>
              <w:rPr>
                <w:rFonts w:ascii="Times New Roman" w:hAnsi="Times New Roman" w:eastAsia="宋体"/>
                <w:b w:val="0"/>
                <w:sz w:val="17"/>
              </w:rPr>
              <w:t>0.2613</w:t>
            </w:r>
          </w:p>
        </w:tc>
        <w:tc>
          <w:tcPr>
            <w:tcW w:type="dxa" w:w="1455"/>
            <w:vAlign w:val="center"/>
          </w:tcPr>
          <w:p>
            <w:pPr>
              <w:spacing w:line="276" w:lineRule="auto"/>
              <w:jc w:val="center"/>
            </w:pPr>
            <w:r/>
            <w:r>
              <w:rPr>
                <w:rFonts w:ascii="Times New Roman" w:hAnsi="Times New Roman" w:eastAsia="宋体"/>
                <w:b w:val="0"/>
                <w:sz w:val="17"/>
              </w:rPr>
              <w:t>0.6407</w:t>
            </w:r>
          </w:p>
        </w:tc>
        <w:tc>
          <w:tcPr>
            <w:tcW w:type="dxa" w:w="1455"/>
            <w:vAlign w:val="center"/>
          </w:tcPr>
          <w:p>
            <w:pPr>
              <w:spacing w:line="276" w:lineRule="auto"/>
              <w:jc w:val="center"/>
            </w:pPr>
            <w:r/>
            <w:r>
              <w:rPr>
                <w:rFonts w:ascii="Times New Roman" w:hAnsi="Times New Roman" w:eastAsia="宋体"/>
                <w:b w:val="0"/>
                <w:sz w:val="17"/>
              </w:rPr>
              <w:t>0.4210</w:t>
            </w:r>
          </w:p>
        </w:tc>
        <w:tc>
          <w:tcPr>
            <w:tcW w:type="dxa" w:w="1455"/>
            <w:vAlign w:val="center"/>
          </w:tcPr>
          <w:p>
            <w:pPr>
              <w:spacing w:line="276" w:lineRule="auto"/>
              <w:jc w:val="center"/>
            </w:pPr>
            <w:r/>
            <w:r>
              <w:rPr>
                <w:rFonts w:ascii="Times New Roman" w:hAnsi="Times New Roman" w:eastAsia="宋体"/>
                <w:b w:val="0"/>
                <w:sz w:val="17"/>
              </w:rPr>
              <w:t>无公开锚点，作为受限闭环对照</w:t>
            </w:r>
          </w:p>
        </w:tc>
      </w:tr>
      <w:tr>
        <w:tc>
          <w:tcPr>
            <w:tcW w:type="dxa" w:w="1455"/>
            <w:vAlign w:val="center"/>
          </w:tcPr>
          <w:p>
            <w:pPr>
              <w:spacing w:line="276" w:lineRule="auto"/>
              <w:jc w:val="center"/>
            </w:pPr>
            <w:r/>
            <w:r>
              <w:rPr>
                <w:rFonts w:ascii="Times New Roman" w:hAnsi="Times New Roman" w:eastAsia="宋体"/>
                <w:b w:val="0"/>
                <w:sz w:val="17"/>
              </w:rPr>
              <w:t>CAPE-Anchor K1</w:t>
            </w:r>
          </w:p>
        </w:tc>
        <w:tc>
          <w:tcPr>
            <w:tcW w:type="dxa" w:w="1455"/>
            <w:vAlign w:val="center"/>
          </w:tcPr>
          <w:p>
            <w:pPr>
              <w:spacing w:line="276" w:lineRule="auto"/>
              <w:jc w:val="center"/>
            </w:pPr>
            <w:r/>
            <w:r>
              <w:rPr>
                <w:rFonts w:ascii="Times New Roman" w:hAnsi="Times New Roman" w:eastAsia="宋体"/>
                <w:b w:val="0"/>
                <w:sz w:val="17"/>
              </w:rPr>
              <w:t>0.4603</w:t>
            </w:r>
          </w:p>
        </w:tc>
        <w:tc>
          <w:tcPr>
            <w:tcW w:type="dxa" w:w="1455"/>
            <w:vAlign w:val="center"/>
          </w:tcPr>
          <w:p>
            <w:pPr>
              <w:spacing w:line="276" w:lineRule="auto"/>
              <w:jc w:val="center"/>
            </w:pPr>
            <w:r/>
            <w:r>
              <w:rPr>
                <w:rFonts w:ascii="Times New Roman" w:hAnsi="Times New Roman" w:eastAsia="宋体"/>
                <w:b w:val="0"/>
                <w:sz w:val="17"/>
              </w:rPr>
              <w:t>0.3623</w:t>
            </w:r>
          </w:p>
        </w:tc>
        <w:tc>
          <w:tcPr>
            <w:tcW w:type="dxa" w:w="1455"/>
            <w:vAlign w:val="center"/>
          </w:tcPr>
          <w:p>
            <w:pPr>
              <w:spacing w:line="276" w:lineRule="auto"/>
              <w:jc w:val="center"/>
            </w:pPr>
            <w:r/>
            <w:r>
              <w:rPr>
                <w:rFonts w:ascii="Times New Roman" w:hAnsi="Times New Roman" w:eastAsia="宋体"/>
                <w:b w:val="0"/>
                <w:sz w:val="17"/>
              </w:rPr>
              <w:t>0.0050</w:t>
            </w:r>
          </w:p>
        </w:tc>
        <w:tc>
          <w:tcPr>
            <w:tcW w:type="dxa" w:w="1455"/>
            <w:vAlign w:val="center"/>
          </w:tcPr>
          <w:p>
            <w:pPr>
              <w:spacing w:line="276" w:lineRule="auto"/>
              <w:jc w:val="center"/>
            </w:pPr>
            <w:r/>
            <w:r>
              <w:rPr>
                <w:rFonts w:ascii="Times New Roman" w:hAnsi="Times New Roman" w:eastAsia="宋体"/>
                <w:b w:val="0"/>
                <w:sz w:val="17"/>
              </w:rPr>
              <w:t>0.6008</w:t>
            </w:r>
          </w:p>
        </w:tc>
        <w:tc>
          <w:tcPr>
            <w:tcW w:type="dxa" w:w="1455"/>
            <w:vAlign w:val="center"/>
          </w:tcPr>
          <w:p>
            <w:pPr>
              <w:spacing w:line="276" w:lineRule="auto"/>
              <w:jc w:val="center"/>
            </w:pPr>
            <w:r/>
            <w:r>
              <w:rPr>
                <w:rFonts w:ascii="Times New Roman" w:hAnsi="Times New Roman" w:eastAsia="宋体"/>
                <w:b w:val="0"/>
                <w:sz w:val="17"/>
              </w:rPr>
              <w:t>公开保持和隐私压制之间较均衡</w:t>
            </w:r>
          </w:p>
        </w:tc>
      </w:tr>
      <w:tr>
        <w:tc>
          <w:tcPr>
            <w:tcW w:type="dxa" w:w="1455"/>
            <w:vAlign w:val="center"/>
          </w:tcPr>
          <w:p>
            <w:pPr>
              <w:spacing w:line="276" w:lineRule="auto"/>
              <w:jc w:val="center"/>
            </w:pPr>
            <w:r/>
            <w:r>
              <w:rPr>
                <w:rFonts w:ascii="Times New Roman" w:hAnsi="Times New Roman" w:eastAsia="宋体"/>
                <w:b w:val="0"/>
                <w:sz w:val="17"/>
              </w:rPr>
              <w:t>CAPE-Anchor K2</w:t>
            </w:r>
          </w:p>
        </w:tc>
        <w:tc>
          <w:tcPr>
            <w:tcW w:type="dxa" w:w="1455"/>
            <w:vAlign w:val="center"/>
          </w:tcPr>
          <w:p>
            <w:pPr>
              <w:spacing w:line="276" w:lineRule="auto"/>
              <w:jc w:val="center"/>
            </w:pPr>
            <w:r/>
            <w:r>
              <w:rPr>
                <w:rFonts w:ascii="Times New Roman" w:hAnsi="Times New Roman" w:eastAsia="宋体"/>
                <w:b w:val="0"/>
                <w:sz w:val="17"/>
              </w:rPr>
              <w:t>0.6357</w:t>
            </w:r>
          </w:p>
        </w:tc>
        <w:tc>
          <w:tcPr>
            <w:tcW w:type="dxa" w:w="1455"/>
            <w:vAlign w:val="center"/>
          </w:tcPr>
          <w:p>
            <w:pPr>
              <w:spacing w:line="276" w:lineRule="auto"/>
              <w:jc w:val="center"/>
            </w:pPr>
            <w:r/>
            <w:r>
              <w:rPr>
                <w:rFonts w:ascii="Times New Roman" w:hAnsi="Times New Roman" w:eastAsia="宋体"/>
                <w:b w:val="0"/>
                <w:sz w:val="17"/>
              </w:rPr>
              <w:t>0.5193</w:t>
            </w:r>
          </w:p>
        </w:tc>
        <w:tc>
          <w:tcPr>
            <w:tcW w:type="dxa" w:w="1455"/>
            <w:vAlign w:val="center"/>
          </w:tcPr>
          <w:p>
            <w:pPr>
              <w:spacing w:line="276" w:lineRule="auto"/>
              <w:jc w:val="center"/>
            </w:pPr>
            <w:r/>
            <w:r>
              <w:rPr>
                <w:rFonts w:ascii="Times New Roman" w:hAnsi="Times New Roman" w:eastAsia="宋体"/>
                <w:b w:val="0"/>
                <w:sz w:val="17"/>
              </w:rPr>
              <w:t>0.0000</w:t>
            </w:r>
          </w:p>
        </w:tc>
        <w:tc>
          <w:tcPr>
            <w:tcW w:type="dxa" w:w="1455"/>
            <w:vAlign w:val="center"/>
          </w:tcPr>
          <w:p>
            <w:pPr>
              <w:spacing w:line="276" w:lineRule="auto"/>
              <w:jc w:val="center"/>
            </w:pPr>
            <w:r/>
            <w:r>
              <w:rPr>
                <w:rFonts w:ascii="Times New Roman" w:hAnsi="Times New Roman" w:eastAsia="宋体"/>
                <w:b w:val="0"/>
                <w:sz w:val="17"/>
              </w:rPr>
              <w:t>0.6833</w:t>
            </w:r>
          </w:p>
        </w:tc>
        <w:tc>
          <w:tcPr>
            <w:tcW w:type="dxa" w:w="1455"/>
            <w:vAlign w:val="center"/>
          </w:tcPr>
          <w:p>
            <w:pPr>
              <w:spacing w:line="276" w:lineRule="auto"/>
              <w:jc w:val="left"/>
            </w:pPr>
            <w:r/>
            <w:r>
              <w:rPr>
                <w:rFonts w:ascii="Times New Roman" w:hAnsi="Times New Roman" w:eastAsia="宋体"/>
                <w:b w:val="0"/>
                <w:sz w:val="17"/>
              </w:rPr>
              <w:t>公开保持进一步提高，但隐私压制变弱</w:t>
            </w:r>
          </w:p>
        </w:tc>
      </w:tr>
    </w:tbl>
    <w:p/>
    <w:p>
      <w:pPr>
        <w:spacing w:line="360" w:lineRule="auto" w:before="0" w:after="0"/>
        <w:ind w:firstLine="480"/>
      </w:pPr>
      <w:r>
        <w:rPr>
          <w:rFonts w:ascii="Times New Roman" w:hAnsi="Times New Roman" w:eastAsia="宋体"/>
          <w:b w:val="0"/>
          <w:sz w:val="24"/>
        </w:rPr>
        <w:t>PACE-Lite K0 的公开知识保持率为 0.4210，明显高于 naive PACE/CAPE，但隐私值包含率回升到 0.3323。CAPE-Anchor K1 将公开知识保持率进一步提高到 0.6008，同时隐私值包含率为 0.4603，仍低于 ROME 的 0.5787，因而形成较合理的折中点。K2 的公开知识保持率达到 0.6833，但隐私值包含率上升到 0.6357，说明公开锚点过多会削弱隐私压制。</w:t>
      </w:r>
    </w:p>
    <w:p>
      <w:pPr>
        <w:spacing w:line="360" w:lineRule="auto" w:before="0" w:after="0"/>
        <w:ind w:firstLine="480"/>
      </w:pPr>
      <w:r>
        <w:rPr>
          <w:rFonts w:ascii="Times New Roman" w:hAnsi="Times New Roman" w:eastAsia="宋体"/>
          <w:b w:val="0"/>
          <w:sz w:val="24"/>
        </w:rPr>
        <w:t>因此，本文采用限定的 Claim A：CAPE-Anchor 在当前 Qwen synthetic privacy 任务上形成有限有效改进。该结论不意味着 CAPE-Anchor 是泄露最低的方法，也不意味着在不损伤公开知识的情况下完成清洗；它说明公开知识锚点可以把 naive PACE/CAPE 从强拒答低保持端点拉回到更可解释的 privacy-utility trade-off 区域。</w:t>
      </w:r>
    </w:p>
    <w:p>
      <w:pPr>
        <w:pStyle w:val="Heading2"/>
        <w:spacing w:before="200" w:after="120"/>
      </w:pPr>
      <w:r>
        <w:rPr>
          <w:rFonts w:ascii="Times New Roman" w:hAnsi="Times New Roman" w:eastAsia="黑体"/>
          <w:b/>
          <w:sz w:val="28"/>
        </w:rPr>
        <w:t>4.7  隐私压制—知识保持权衡图分析</w:t>
      </w:r>
    </w:p>
    <w:p>
      <w:pPr>
        <w:spacing w:line="360" w:lineRule="auto" w:before="0" w:after="0"/>
        <w:jc w:val="center"/>
      </w:pPr>
      <w:r>
        <w:rPr>
          <w:rFonts w:ascii="Times New Roman" w:hAnsi="Times New Roman" w:eastAsia="宋体"/>
          <w:b w:val="0"/>
          <w:sz w:val="21"/>
        </w:rPr>
        <w:t>图 3 将不同方法放入隐私压制—知识保持二维空间。横轴为公开知识保持率，纵轴可理解为隐私压制强度。理想方法应位于右上角，即同时具有高公开保持和低隐私泄露。当前结果中没有方法同时占据该区域，说明隐私知识清洗存在明显结构性权衡。</w:t>
      </w:r>
    </w:p>
    <w:p>
      <w:pPr>
        <w:spacing w:line="360" w:lineRule="auto" w:before="0" w:after="0"/>
        <w:jc w:val="center"/>
      </w:pPr>
      <w:r>
        <w:rPr>
          <w:rFonts w:ascii="Times New Roman" w:hAnsi="Times New Roman" w:eastAsia="宋体"/>
          <w:b w:val="0"/>
          <w:sz w:val="21"/>
        </w:rPr>
        <w:t>图 3  合成隐私基准上的隐私压制—知识保持权衡散点图</w:t>
      </w:r>
    </w:p>
    <w:p>
      <w:pPr>
        <w:jc w:val="center"/>
      </w:pPr>
      <w:r>
        <w:drawing>
          <wp:inline xmlns:a="http://schemas.openxmlformats.org/drawingml/2006/main" xmlns:pic="http://schemas.openxmlformats.org/drawingml/2006/picture">
            <wp:extent cx="5040000" cy="3733425"/>
            <wp:docPr id="3" name="Picture 3"/>
            <wp:cNvGraphicFramePr>
              <a:graphicFrameLocks noChangeAspect="1"/>
            </wp:cNvGraphicFramePr>
            <a:graphic>
              <a:graphicData uri="http://schemas.openxmlformats.org/drawingml/2006/picture">
                <pic:pic>
                  <pic:nvPicPr>
                    <pic:cNvPr id="0" name="fig3_synthetic_privacy_utility_tradeoff.png"/>
                    <pic:cNvPicPr/>
                  </pic:nvPicPr>
                  <pic:blipFill>
                    <a:blip r:embed="rId19"/>
                    <a:stretch>
                      <a:fillRect/>
                    </a:stretch>
                  </pic:blipFill>
                  <pic:spPr>
                    <a:xfrm>
                      <a:off x="0" y="0"/>
                      <a:ext cx="5040000" cy="3733425"/>
                    </a:xfrm>
                    <a:prstGeom prst="rect"/>
                  </pic:spPr>
                </pic:pic>
              </a:graphicData>
            </a:graphic>
          </wp:inline>
        </w:drawing>
      </w:r>
    </w:p>
    <w:p>
      <w:pPr>
        <w:spacing w:line="360" w:lineRule="auto" w:before="0" w:after="0"/>
        <w:jc w:val="center"/>
      </w:pPr>
      <w:r>
        <w:rPr>
          <w:rFonts w:ascii="Times New Roman" w:hAnsi="Times New Roman" w:eastAsia="宋体"/>
          <w:b w:val="0"/>
          <w:sz w:val="21"/>
        </w:rPr>
        <w:t>图 3 的关键观察是：MEMIT 靠近高保持弱压制区域，FT、PACE 和 CAPE 靠近强压制低保持区域，ROME 处于中间位置，而 CAPE-Anchor K1/K2 将操作点向公开知识保持方向移动。该图支撑本文的核心结论：隐私清洗方法不能只按单一泄露率排序，而应在隐私压制和知识保持坐标系中解释。</w:t>
      </w:r>
    </w:p>
    <w:p>
      <w:pPr>
        <w:spacing w:line="360" w:lineRule="auto" w:before="0" w:after="0"/>
        <w:jc w:val="center"/>
      </w:pPr>
      <w:r>
        <w:rPr>
          <w:rFonts w:ascii="Times New Roman" w:hAnsi="Times New Roman" w:eastAsia="宋体"/>
          <w:b w:val="0"/>
          <w:sz w:val="21"/>
        </w:rPr>
        <w:t>图 4  CAPE-Anchor 消融折中图</w:t>
      </w:r>
    </w:p>
    <w:p>
      <w:pPr>
        <w:jc w:val="center"/>
      </w:pPr>
      <w:r>
        <w:drawing>
          <wp:inline xmlns:a="http://schemas.openxmlformats.org/drawingml/2006/main" xmlns:pic="http://schemas.openxmlformats.org/drawingml/2006/picture">
            <wp:extent cx="5040000" cy="3358261"/>
            <wp:docPr id="4" name="Picture 4"/>
            <wp:cNvGraphicFramePr>
              <a:graphicFrameLocks noChangeAspect="1"/>
            </wp:cNvGraphicFramePr>
            <a:graphic>
              <a:graphicData uri="http://schemas.openxmlformats.org/drawingml/2006/picture">
                <pic:pic>
                  <pic:nvPicPr>
                    <pic:cNvPr id="0" name="fig4_cape_anchor_ablation_tradeoff.png"/>
                    <pic:cNvPicPr/>
                  </pic:nvPicPr>
                  <pic:blipFill>
                    <a:blip r:embed="rId20"/>
                    <a:stretch>
                      <a:fillRect/>
                    </a:stretch>
                  </pic:blipFill>
                  <pic:spPr>
                    <a:xfrm>
                      <a:off x="0" y="0"/>
                      <a:ext cx="5040000" cy="3358261"/>
                    </a:xfrm>
                    <a:prstGeom prst="rect"/>
                  </pic:spPr>
                </pic:pic>
              </a:graphicData>
            </a:graphic>
          </wp:inline>
        </w:drawing>
      </w:r>
    </w:p>
    <w:p>
      <w:pPr>
        <w:spacing w:line="360" w:lineRule="auto" w:before="0" w:after="0"/>
        <w:jc w:val="center"/>
      </w:pPr>
      <w:r>
        <w:rPr>
          <w:rFonts w:ascii="Times New Roman" w:hAnsi="Times New Roman" w:eastAsia="宋体"/>
          <w:b w:val="0"/>
          <w:sz w:val="21"/>
        </w:rPr>
        <w:t>图 4 进一步显示，随着公开锚点增加，公开知识保持率上升，但隐私值包含率也同步上升。这说明 public anchor 是一种约束信号，而不是免费收益；其价值在于提供可调节的操作点，使研究者可以根据应用场景选择更偏隐私压制或更偏公开知识保持的配置。</w:t>
      </w:r>
    </w:p>
    <w:p>
      <w:pPr>
        <w:pStyle w:val="Heading2"/>
        <w:spacing w:before="200" w:after="120"/>
      </w:pPr>
      <w:r>
        <w:rPr>
          <w:rFonts w:ascii="Times New Roman" w:hAnsi="Times New Roman" w:eastAsia="黑体"/>
          <w:b/>
          <w:sz w:val="28"/>
        </w:rPr>
        <w:t>4.8  Qwen 公开事实编辑迁移验证</w:t>
      </w:r>
    </w:p>
    <w:p>
      <w:pPr>
        <w:spacing w:line="360" w:lineRule="auto" w:before="0" w:after="0"/>
        <w:ind w:firstLine="480"/>
      </w:pPr>
      <w:r>
        <w:rPr>
          <w:rFonts w:ascii="Times New Roman" w:hAnsi="Times New Roman" w:eastAsia="宋体"/>
          <w:b w:val="0"/>
          <w:sz w:val="24"/>
        </w:rPr>
        <w:t>CounterFact 和 zsRE 是公开事实编辑数据集，不是隐私清洗数据集。本文使用它们的目的，是检查 PACE/CAPE 这种 closed-loop request selection 是否能在公开 factual editing 场景中运行，并观察其 reliability 与 generalization 表现。表 5 给出 Qwen 上的 public transfer 结果。</w:t>
      </w:r>
    </w:p>
    <w:p>
      <w:pPr>
        <w:spacing w:line="360" w:lineRule="auto" w:before="0" w:after="0"/>
        <w:jc w:val="center"/>
      </w:pPr>
      <w:r>
        <w:rPr>
          <w:rFonts w:ascii="Times New Roman" w:hAnsi="Times New Roman" w:eastAsia="宋体"/>
          <w:b w:val="0"/>
          <w:sz w:val="21"/>
        </w:rPr>
        <w:t>表 5  Qwen 公开事实编辑迁移验证结果</w:t>
      </w:r>
    </w:p>
    <w:tbl>
      <w:tblPr>
        <w:tblStyle w:val="TableGrid"/>
        <w:tblW w:type="auto" w:w="0"/>
        <w:jc w:val="center"/>
        <w:tblLayout w:type="autofit"/>
        <w:tblLook w:firstColumn="1" w:firstRow="1" w:lastColumn="0" w:lastRow="0" w:noHBand="0" w:noVBand="1" w:val="04A0"/>
      </w:tblPr>
      <w:tblGrid>
        <w:gridCol w:w="1746"/>
        <w:gridCol w:w="1746"/>
        <w:gridCol w:w="1746"/>
        <w:gridCol w:w="1746"/>
        <w:gridCol w:w="1746"/>
      </w:tblGrid>
      <w:tr>
        <w:tc>
          <w:tcPr>
            <w:tcW w:type="dxa" w:w="1746"/>
            <w:vAlign w:val="center"/>
            <w:shd w:fill="E8EEF5"/>
          </w:tcPr>
          <w:p>
            <w:pPr>
              <w:spacing w:line="276" w:lineRule="auto"/>
              <w:jc w:val="center"/>
            </w:pPr>
            <w:r/>
            <w:r>
              <w:rPr>
                <w:rFonts w:ascii="Times New Roman" w:hAnsi="Times New Roman" w:eastAsia="宋体"/>
                <w:b/>
                <w:sz w:val="17"/>
              </w:rPr>
              <w:t>数据集</w:t>
            </w:r>
          </w:p>
        </w:tc>
        <w:tc>
          <w:tcPr>
            <w:tcW w:type="dxa" w:w="1746"/>
            <w:vAlign w:val="center"/>
            <w:shd w:fill="E8EEF5"/>
          </w:tcPr>
          <w:p>
            <w:pPr>
              <w:spacing w:line="276" w:lineRule="auto"/>
              <w:jc w:val="center"/>
            </w:pPr>
            <w:r/>
            <w:r>
              <w:rPr>
                <w:rFonts w:ascii="Times New Roman" w:hAnsi="Times New Roman" w:eastAsia="宋体"/>
                <w:b/>
                <w:sz w:val="17"/>
              </w:rPr>
              <w:t>方法</w:t>
            </w:r>
          </w:p>
        </w:tc>
        <w:tc>
          <w:tcPr>
            <w:tcW w:type="dxa" w:w="1746"/>
            <w:vAlign w:val="center"/>
            <w:shd w:fill="E8EEF5"/>
          </w:tcPr>
          <w:p>
            <w:pPr>
              <w:spacing w:line="276" w:lineRule="auto"/>
              <w:jc w:val="center"/>
            </w:pPr>
            <w:r/>
            <w:r>
              <w:rPr>
                <w:rFonts w:ascii="Times New Roman" w:hAnsi="Times New Roman" w:eastAsia="宋体"/>
                <w:b/>
                <w:sz w:val="17"/>
              </w:rPr>
              <w:t>样本数</w:t>
            </w:r>
          </w:p>
        </w:tc>
        <w:tc>
          <w:tcPr>
            <w:tcW w:type="dxa" w:w="1746"/>
            <w:vAlign w:val="center"/>
            <w:shd w:fill="E8EEF5"/>
          </w:tcPr>
          <w:p>
            <w:pPr>
              <w:spacing w:line="276" w:lineRule="auto"/>
              <w:jc w:val="center"/>
            </w:pPr>
            <w:r/>
            <w:r>
              <w:rPr>
                <w:rFonts w:ascii="Times New Roman" w:hAnsi="Times New Roman" w:eastAsia="宋体"/>
                <w:b/>
                <w:sz w:val="17"/>
              </w:rPr>
              <w:t>可靠性↑</w:t>
            </w:r>
          </w:p>
        </w:tc>
        <w:tc>
          <w:tcPr>
            <w:tcW w:type="dxa" w:w="1746"/>
            <w:vAlign w:val="center"/>
            <w:shd w:fill="E8EEF5"/>
          </w:tcPr>
          <w:p>
            <w:pPr>
              <w:spacing w:line="276" w:lineRule="auto"/>
              <w:jc w:val="center"/>
            </w:pPr>
            <w:r/>
            <w:r>
              <w:rPr>
                <w:rFonts w:ascii="Times New Roman" w:hAnsi="Times New Roman" w:eastAsia="宋体"/>
                <w:b/>
                <w:sz w:val="17"/>
              </w:rPr>
              <w:t>泛化性↑</w:t>
            </w:r>
          </w:p>
        </w:tc>
      </w:tr>
      <w:tr>
        <w:tc>
          <w:tcPr>
            <w:tcW w:type="dxa" w:w="1746"/>
            <w:vAlign w:val="center"/>
          </w:tcPr>
          <w:p>
            <w:pPr>
              <w:spacing w:line="276" w:lineRule="auto"/>
              <w:jc w:val="center"/>
            </w:pPr>
            <w:r/>
            <w:r>
              <w:rPr>
                <w:rFonts w:ascii="Times New Roman" w:hAnsi="Times New Roman" w:eastAsia="宋体"/>
                <w:b w:val="0"/>
                <w:sz w:val="17"/>
              </w:rPr>
              <w:t>CounterFact</w:t>
            </w:r>
          </w:p>
        </w:tc>
        <w:tc>
          <w:tcPr>
            <w:tcW w:type="dxa" w:w="1746"/>
            <w:vAlign w:val="center"/>
          </w:tcPr>
          <w:p>
            <w:pPr>
              <w:spacing w:line="276" w:lineRule="auto"/>
              <w:jc w:val="center"/>
            </w:pPr>
            <w:r/>
            <w:r>
              <w:rPr>
                <w:rFonts w:ascii="Times New Roman" w:hAnsi="Times New Roman" w:eastAsia="宋体"/>
                <w:b w:val="0"/>
                <w:sz w:val="17"/>
              </w:rPr>
              <w:t>FT</w:t>
            </w:r>
          </w:p>
        </w:tc>
        <w:tc>
          <w:tcPr>
            <w:tcW w:type="dxa" w:w="1746"/>
            <w:vAlign w:val="center"/>
          </w:tcPr>
          <w:p>
            <w:pPr>
              <w:spacing w:line="276" w:lineRule="auto"/>
              <w:jc w:val="center"/>
            </w:pPr>
            <w:r/>
            <w:r>
              <w:rPr>
                <w:rFonts w:ascii="Times New Roman" w:hAnsi="Times New Roman" w:eastAsia="宋体"/>
                <w:b w:val="0"/>
                <w:sz w:val="17"/>
              </w:rPr>
              <w:t>200</w:t>
            </w:r>
          </w:p>
        </w:tc>
        <w:tc>
          <w:tcPr>
            <w:tcW w:type="dxa" w:w="1746"/>
            <w:vAlign w:val="center"/>
          </w:tcPr>
          <w:p>
            <w:pPr>
              <w:spacing w:line="276" w:lineRule="auto"/>
              <w:jc w:val="center"/>
            </w:pPr>
            <w:r/>
            <w:r>
              <w:rPr>
                <w:rFonts w:ascii="Times New Roman" w:hAnsi="Times New Roman" w:eastAsia="宋体"/>
                <w:b w:val="0"/>
                <w:sz w:val="17"/>
              </w:rPr>
              <w:t>1.0000</w:t>
            </w:r>
          </w:p>
        </w:tc>
        <w:tc>
          <w:tcPr>
            <w:tcW w:type="dxa" w:w="1746"/>
            <w:vAlign w:val="center"/>
          </w:tcPr>
          <w:p>
            <w:pPr>
              <w:spacing w:line="276" w:lineRule="auto"/>
              <w:jc w:val="center"/>
            </w:pPr>
            <w:r/>
            <w:r>
              <w:rPr>
                <w:rFonts w:ascii="Times New Roman" w:hAnsi="Times New Roman" w:eastAsia="宋体"/>
                <w:b w:val="0"/>
                <w:sz w:val="17"/>
              </w:rPr>
              <w:t>1.0000</w:t>
            </w:r>
          </w:p>
        </w:tc>
      </w:tr>
      <w:tr>
        <w:tc>
          <w:tcPr>
            <w:tcW w:type="dxa" w:w="1746"/>
            <w:vAlign w:val="center"/>
          </w:tcPr>
          <w:p>
            <w:pPr>
              <w:spacing w:line="276" w:lineRule="auto"/>
              <w:jc w:val="center"/>
            </w:pPr>
            <w:r/>
            <w:r>
              <w:rPr>
                <w:rFonts w:ascii="Times New Roman" w:hAnsi="Times New Roman" w:eastAsia="宋体"/>
                <w:b w:val="0"/>
                <w:sz w:val="17"/>
              </w:rPr>
              <w:t>CounterFact</w:t>
            </w:r>
          </w:p>
        </w:tc>
        <w:tc>
          <w:tcPr>
            <w:tcW w:type="dxa" w:w="1746"/>
            <w:vAlign w:val="center"/>
          </w:tcPr>
          <w:p>
            <w:pPr>
              <w:spacing w:line="276" w:lineRule="auto"/>
              <w:jc w:val="center"/>
            </w:pPr>
            <w:r/>
            <w:r>
              <w:rPr>
                <w:rFonts w:ascii="Times New Roman" w:hAnsi="Times New Roman" w:eastAsia="宋体"/>
                <w:b w:val="0"/>
                <w:sz w:val="17"/>
              </w:rPr>
              <w:t>KN</w:t>
            </w:r>
          </w:p>
        </w:tc>
        <w:tc>
          <w:tcPr>
            <w:tcW w:type="dxa" w:w="1746"/>
            <w:vAlign w:val="center"/>
          </w:tcPr>
          <w:p>
            <w:pPr>
              <w:spacing w:line="276" w:lineRule="auto"/>
              <w:jc w:val="center"/>
            </w:pPr>
            <w:r/>
            <w:r>
              <w:rPr>
                <w:rFonts w:ascii="Times New Roman" w:hAnsi="Times New Roman" w:eastAsia="宋体"/>
                <w:b w:val="0"/>
                <w:sz w:val="17"/>
              </w:rPr>
              <w:t>200</w:t>
            </w:r>
          </w:p>
        </w:tc>
        <w:tc>
          <w:tcPr>
            <w:tcW w:type="dxa" w:w="1746"/>
            <w:vAlign w:val="center"/>
          </w:tcPr>
          <w:p>
            <w:pPr>
              <w:spacing w:line="276" w:lineRule="auto"/>
              <w:jc w:val="center"/>
            </w:pPr>
            <w:r/>
            <w:r>
              <w:rPr>
                <w:rFonts w:ascii="Times New Roman" w:hAnsi="Times New Roman" w:eastAsia="宋体"/>
                <w:b w:val="0"/>
                <w:sz w:val="17"/>
              </w:rPr>
              <w:t>0.0075</w:t>
            </w:r>
          </w:p>
        </w:tc>
        <w:tc>
          <w:tcPr>
            <w:tcW w:type="dxa" w:w="1746"/>
            <w:vAlign w:val="center"/>
          </w:tcPr>
          <w:p>
            <w:pPr>
              <w:spacing w:line="276" w:lineRule="auto"/>
              <w:jc w:val="center"/>
            </w:pPr>
            <w:r/>
            <w:r>
              <w:rPr>
                <w:rFonts w:ascii="Times New Roman" w:hAnsi="Times New Roman" w:eastAsia="宋体"/>
                <w:b w:val="0"/>
                <w:sz w:val="17"/>
              </w:rPr>
              <w:t>0.0075</w:t>
            </w:r>
          </w:p>
        </w:tc>
      </w:tr>
      <w:tr>
        <w:tc>
          <w:tcPr>
            <w:tcW w:type="dxa" w:w="1746"/>
            <w:vAlign w:val="center"/>
          </w:tcPr>
          <w:p>
            <w:pPr>
              <w:spacing w:line="276" w:lineRule="auto"/>
              <w:jc w:val="center"/>
            </w:pPr>
            <w:r/>
            <w:r>
              <w:rPr>
                <w:rFonts w:ascii="Times New Roman" w:hAnsi="Times New Roman" w:eastAsia="宋体"/>
                <w:b w:val="0"/>
                <w:sz w:val="17"/>
              </w:rPr>
              <w:t>CounterFact</w:t>
            </w:r>
          </w:p>
        </w:tc>
        <w:tc>
          <w:tcPr>
            <w:tcW w:type="dxa" w:w="1746"/>
            <w:vAlign w:val="center"/>
          </w:tcPr>
          <w:p>
            <w:pPr>
              <w:spacing w:line="276" w:lineRule="auto"/>
              <w:jc w:val="center"/>
            </w:pPr>
            <w:r/>
            <w:r>
              <w:rPr>
                <w:rFonts w:ascii="Times New Roman" w:hAnsi="Times New Roman" w:eastAsia="宋体"/>
                <w:b w:val="0"/>
                <w:sz w:val="17"/>
              </w:rPr>
              <w:t>ROME</w:t>
            </w:r>
          </w:p>
        </w:tc>
        <w:tc>
          <w:tcPr>
            <w:tcW w:type="dxa" w:w="1746"/>
            <w:vAlign w:val="center"/>
          </w:tcPr>
          <w:p>
            <w:pPr>
              <w:spacing w:line="276" w:lineRule="auto"/>
              <w:jc w:val="center"/>
            </w:pPr>
            <w:r/>
            <w:r>
              <w:rPr>
                <w:rFonts w:ascii="Times New Roman" w:hAnsi="Times New Roman" w:eastAsia="宋体"/>
                <w:b w:val="0"/>
                <w:sz w:val="17"/>
              </w:rPr>
              <w:t>200</w:t>
            </w:r>
          </w:p>
        </w:tc>
        <w:tc>
          <w:tcPr>
            <w:tcW w:type="dxa" w:w="1746"/>
            <w:vAlign w:val="center"/>
          </w:tcPr>
          <w:p>
            <w:pPr>
              <w:spacing w:line="276" w:lineRule="auto"/>
              <w:jc w:val="center"/>
            </w:pPr>
            <w:r/>
            <w:r>
              <w:rPr>
                <w:rFonts w:ascii="Times New Roman" w:hAnsi="Times New Roman" w:eastAsia="宋体"/>
                <w:b w:val="0"/>
                <w:sz w:val="17"/>
              </w:rPr>
              <w:t>0.9950</w:t>
            </w:r>
          </w:p>
        </w:tc>
        <w:tc>
          <w:tcPr>
            <w:tcW w:type="dxa" w:w="1746"/>
            <w:vAlign w:val="center"/>
          </w:tcPr>
          <w:p>
            <w:pPr>
              <w:spacing w:line="276" w:lineRule="auto"/>
              <w:jc w:val="center"/>
            </w:pPr>
            <w:r/>
            <w:r>
              <w:rPr>
                <w:rFonts w:ascii="Times New Roman" w:hAnsi="Times New Roman" w:eastAsia="宋体"/>
                <w:b w:val="0"/>
                <w:sz w:val="17"/>
              </w:rPr>
              <w:t>0.7550</w:t>
            </w:r>
          </w:p>
        </w:tc>
      </w:tr>
      <w:tr>
        <w:tc>
          <w:tcPr>
            <w:tcW w:type="dxa" w:w="1746"/>
            <w:vAlign w:val="center"/>
          </w:tcPr>
          <w:p>
            <w:pPr>
              <w:spacing w:line="276" w:lineRule="auto"/>
              <w:jc w:val="center"/>
            </w:pPr>
            <w:r/>
            <w:r>
              <w:rPr>
                <w:rFonts w:ascii="Times New Roman" w:hAnsi="Times New Roman" w:eastAsia="宋体"/>
                <w:b w:val="0"/>
                <w:sz w:val="17"/>
              </w:rPr>
              <w:t>zsRE</w:t>
            </w:r>
          </w:p>
        </w:tc>
        <w:tc>
          <w:tcPr>
            <w:tcW w:type="dxa" w:w="1746"/>
            <w:vAlign w:val="center"/>
          </w:tcPr>
          <w:p>
            <w:pPr>
              <w:spacing w:line="276" w:lineRule="auto"/>
              <w:jc w:val="center"/>
            </w:pPr>
            <w:r/>
            <w:r>
              <w:rPr>
                <w:rFonts w:ascii="Times New Roman" w:hAnsi="Times New Roman" w:eastAsia="宋体"/>
                <w:b w:val="0"/>
                <w:sz w:val="17"/>
              </w:rPr>
              <w:t>FT</w:t>
            </w:r>
          </w:p>
        </w:tc>
        <w:tc>
          <w:tcPr>
            <w:tcW w:type="dxa" w:w="1746"/>
            <w:vAlign w:val="center"/>
          </w:tcPr>
          <w:p>
            <w:pPr>
              <w:spacing w:line="276" w:lineRule="auto"/>
              <w:jc w:val="center"/>
            </w:pPr>
            <w:r/>
            <w:r>
              <w:rPr>
                <w:rFonts w:ascii="Times New Roman" w:hAnsi="Times New Roman" w:eastAsia="宋体"/>
                <w:b w:val="0"/>
                <w:sz w:val="17"/>
              </w:rPr>
              <w:t>200</w:t>
            </w:r>
          </w:p>
        </w:tc>
        <w:tc>
          <w:tcPr>
            <w:tcW w:type="dxa" w:w="1746"/>
            <w:vAlign w:val="center"/>
          </w:tcPr>
          <w:p>
            <w:pPr>
              <w:spacing w:line="276" w:lineRule="auto"/>
              <w:jc w:val="center"/>
            </w:pPr>
            <w:r/>
            <w:r>
              <w:rPr>
                <w:rFonts w:ascii="Times New Roman" w:hAnsi="Times New Roman" w:eastAsia="宋体"/>
                <w:b w:val="0"/>
                <w:sz w:val="17"/>
              </w:rPr>
              <w:t>0.7384</w:t>
            </w:r>
          </w:p>
        </w:tc>
        <w:tc>
          <w:tcPr>
            <w:tcW w:type="dxa" w:w="1746"/>
            <w:vAlign w:val="center"/>
          </w:tcPr>
          <w:p>
            <w:pPr>
              <w:spacing w:line="276" w:lineRule="auto"/>
              <w:jc w:val="center"/>
            </w:pPr>
            <w:r/>
            <w:r>
              <w:rPr>
                <w:rFonts w:ascii="Times New Roman" w:hAnsi="Times New Roman" w:eastAsia="宋体"/>
                <w:b w:val="0"/>
                <w:sz w:val="17"/>
              </w:rPr>
              <w:t>0.7469</w:t>
            </w:r>
          </w:p>
        </w:tc>
      </w:tr>
      <w:tr>
        <w:tc>
          <w:tcPr>
            <w:tcW w:type="dxa" w:w="1746"/>
            <w:vAlign w:val="center"/>
          </w:tcPr>
          <w:p>
            <w:pPr>
              <w:spacing w:line="276" w:lineRule="auto"/>
              <w:jc w:val="center"/>
            </w:pPr>
            <w:r/>
            <w:r>
              <w:rPr>
                <w:rFonts w:ascii="Times New Roman" w:hAnsi="Times New Roman" w:eastAsia="宋体"/>
                <w:b w:val="0"/>
                <w:sz w:val="17"/>
              </w:rPr>
              <w:t>zsRE</w:t>
            </w:r>
          </w:p>
        </w:tc>
        <w:tc>
          <w:tcPr>
            <w:tcW w:type="dxa" w:w="1746"/>
            <w:vAlign w:val="center"/>
          </w:tcPr>
          <w:p>
            <w:pPr>
              <w:spacing w:line="276" w:lineRule="auto"/>
              <w:jc w:val="center"/>
            </w:pPr>
            <w:r/>
            <w:r>
              <w:rPr>
                <w:rFonts w:ascii="Times New Roman" w:hAnsi="Times New Roman" w:eastAsia="宋体"/>
                <w:b w:val="0"/>
                <w:sz w:val="17"/>
              </w:rPr>
              <w:t>ROME</w:t>
            </w:r>
          </w:p>
        </w:tc>
        <w:tc>
          <w:tcPr>
            <w:tcW w:type="dxa" w:w="1746"/>
            <w:vAlign w:val="center"/>
          </w:tcPr>
          <w:p>
            <w:pPr>
              <w:spacing w:line="276" w:lineRule="auto"/>
              <w:jc w:val="center"/>
            </w:pPr>
            <w:r/>
            <w:r>
              <w:rPr>
                <w:rFonts w:ascii="Times New Roman" w:hAnsi="Times New Roman" w:eastAsia="宋体"/>
                <w:b w:val="0"/>
                <w:sz w:val="17"/>
              </w:rPr>
              <w:t>200</w:t>
            </w:r>
          </w:p>
        </w:tc>
        <w:tc>
          <w:tcPr>
            <w:tcW w:type="dxa" w:w="1746"/>
            <w:vAlign w:val="center"/>
          </w:tcPr>
          <w:p>
            <w:pPr>
              <w:spacing w:line="276" w:lineRule="auto"/>
              <w:jc w:val="center"/>
            </w:pPr>
            <w:r/>
            <w:r>
              <w:rPr>
                <w:rFonts w:ascii="Times New Roman" w:hAnsi="Times New Roman" w:eastAsia="宋体"/>
                <w:b w:val="0"/>
                <w:sz w:val="17"/>
              </w:rPr>
              <w:t>1.0000</w:t>
            </w:r>
          </w:p>
        </w:tc>
        <w:tc>
          <w:tcPr>
            <w:tcW w:type="dxa" w:w="1746"/>
            <w:vAlign w:val="center"/>
          </w:tcPr>
          <w:p>
            <w:pPr>
              <w:spacing w:line="276" w:lineRule="auto"/>
              <w:jc w:val="center"/>
            </w:pPr>
            <w:r/>
            <w:r>
              <w:rPr>
                <w:rFonts w:ascii="Times New Roman" w:hAnsi="Times New Roman" w:eastAsia="宋体"/>
                <w:b w:val="0"/>
                <w:sz w:val="17"/>
              </w:rPr>
              <w:t>0.9763</w:t>
            </w:r>
          </w:p>
        </w:tc>
      </w:tr>
      <w:tr>
        <w:tc>
          <w:tcPr>
            <w:tcW w:type="dxa" w:w="1746"/>
            <w:vAlign w:val="center"/>
          </w:tcPr>
          <w:p>
            <w:pPr>
              <w:spacing w:line="276" w:lineRule="auto"/>
              <w:jc w:val="center"/>
            </w:pPr>
            <w:r/>
            <w:r>
              <w:rPr>
                <w:rFonts w:ascii="Times New Roman" w:hAnsi="Times New Roman" w:eastAsia="宋体"/>
                <w:b w:val="0"/>
                <w:sz w:val="17"/>
              </w:rPr>
              <w:t>CounterFact</w:t>
            </w:r>
          </w:p>
        </w:tc>
        <w:tc>
          <w:tcPr>
            <w:tcW w:type="dxa" w:w="1746"/>
            <w:vAlign w:val="center"/>
          </w:tcPr>
          <w:p>
            <w:pPr>
              <w:spacing w:line="276" w:lineRule="auto"/>
              <w:jc w:val="center"/>
            </w:pPr>
            <w:r/>
            <w:r>
              <w:rPr>
                <w:rFonts w:ascii="Times New Roman" w:hAnsi="Times New Roman" w:eastAsia="宋体"/>
                <w:b w:val="0"/>
                <w:sz w:val="17"/>
              </w:rPr>
              <w:t>ROME+CAPE-Edit</w:t>
            </w:r>
          </w:p>
        </w:tc>
        <w:tc>
          <w:tcPr>
            <w:tcW w:type="dxa" w:w="1746"/>
            <w:vAlign w:val="center"/>
          </w:tcPr>
          <w:p>
            <w:pPr>
              <w:spacing w:line="276" w:lineRule="auto"/>
              <w:jc w:val="center"/>
            </w:pPr>
            <w:r/>
            <w:r>
              <w:rPr>
                <w:rFonts w:ascii="Times New Roman" w:hAnsi="Times New Roman" w:eastAsia="宋体"/>
                <w:b w:val="0"/>
                <w:sz w:val="17"/>
              </w:rPr>
              <w:t>224</w:t>
            </w:r>
          </w:p>
        </w:tc>
        <w:tc>
          <w:tcPr>
            <w:tcW w:type="dxa" w:w="1746"/>
            <w:vAlign w:val="center"/>
          </w:tcPr>
          <w:p>
            <w:pPr>
              <w:spacing w:line="276" w:lineRule="auto"/>
              <w:jc w:val="center"/>
            </w:pPr>
            <w:r/>
            <w:r>
              <w:rPr>
                <w:rFonts w:ascii="Times New Roman" w:hAnsi="Times New Roman" w:eastAsia="宋体"/>
                <w:b w:val="0"/>
                <w:sz w:val="17"/>
              </w:rPr>
              <w:t>0.5179</w:t>
            </w:r>
          </w:p>
        </w:tc>
        <w:tc>
          <w:tcPr>
            <w:tcW w:type="dxa" w:w="1746"/>
            <w:vAlign w:val="center"/>
          </w:tcPr>
          <w:p>
            <w:pPr>
              <w:spacing w:line="276" w:lineRule="auto"/>
              <w:jc w:val="center"/>
            </w:pPr>
            <w:r/>
            <w:r>
              <w:rPr>
                <w:rFonts w:ascii="Times New Roman" w:hAnsi="Times New Roman" w:eastAsia="宋体"/>
                <w:b w:val="0"/>
                <w:sz w:val="17"/>
              </w:rPr>
              <w:t>0.4196</w:t>
            </w:r>
          </w:p>
        </w:tc>
      </w:tr>
      <w:tr>
        <w:tc>
          <w:tcPr>
            <w:tcW w:type="dxa" w:w="1746"/>
            <w:vAlign w:val="center"/>
          </w:tcPr>
          <w:p>
            <w:pPr>
              <w:spacing w:line="276" w:lineRule="auto"/>
              <w:jc w:val="center"/>
            </w:pPr>
            <w:r/>
            <w:r>
              <w:rPr>
                <w:rFonts w:ascii="Times New Roman" w:hAnsi="Times New Roman" w:eastAsia="宋体"/>
                <w:b w:val="0"/>
                <w:sz w:val="17"/>
              </w:rPr>
              <w:t>CounterFact</w:t>
            </w:r>
          </w:p>
        </w:tc>
        <w:tc>
          <w:tcPr>
            <w:tcW w:type="dxa" w:w="1746"/>
            <w:vAlign w:val="center"/>
          </w:tcPr>
          <w:p>
            <w:pPr>
              <w:spacing w:line="276" w:lineRule="auto"/>
              <w:jc w:val="center"/>
            </w:pPr>
            <w:r/>
            <w:r>
              <w:rPr>
                <w:rFonts w:ascii="Times New Roman" w:hAnsi="Times New Roman" w:eastAsia="宋体"/>
                <w:b w:val="0"/>
                <w:sz w:val="17"/>
              </w:rPr>
              <w:t>ROME+PACE-Edit</w:t>
            </w:r>
          </w:p>
        </w:tc>
        <w:tc>
          <w:tcPr>
            <w:tcW w:type="dxa" w:w="1746"/>
            <w:vAlign w:val="center"/>
          </w:tcPr>
          <w:p>
            <w:pPr>
              <w:spacing w:line="276" w:lineRule="auto"/>
              <w:jc w:val="center"/>
            </w:pPr>
            <w:r/>
            <w:r>
              <w:rPr>
                <w:rFonts w:ascii="Times New Roman" w:hAnsi="Times New Roman" w:eastAsia="宋体"/>
                <w:b w:val="0"/>
                <w:sz w:val="17"/>
              </w:rPr>
              <w:t>224</w:t>
            </w:r>
          </w:p>
        </w:tc>
        <w:tc>
          <w:tcPr>
            <w:tcW w:type="dxa" w:w="1746"/>
            <w:vAlign w:val="center"/>
          </w:tcPr>
          <w:p>
            <w:pPr>
              <w:spacing w:line="276" w:lineRule="auto"/>
              <w:jc w:val="center"/>
            </w:pPr>
            <w:r/>
            <w:r>
              <w:rPr>
                <w:rFonts w:ascii="Times New Roman" w:hAnsi="Times New Roman" w:eastAsia="宋体"/>
                <w:b w:val="0"/>
                <w:sz w:val="17"/>
              </w:rPr>
              <w:t>0.5179</w:t>
            </w:r>
          </w:p>
        </w:tc>
        <w:tc>
          <w:tcPr>
            <w:tcW w:type="dxa" w:w="1746"/>
            <w:vAlign w:val="center"/>
          </w:tcPr>
          <w:p>
            <w:pPr>
              <w:spacing w:line="276" w:lineRule="auto"/>
              <w:jc w:val="center"/>
            </w:pPr>
            <w:r/>
            <w:r>
              <w:rPr>
                <w:rFonts w:ascii="Times New Roman" w:hAnsi="Times New Roman" w:eastAsia="宋体"/>
                <w:b w:val="0"/>
                <w:sz w:val="17"/>
              </w:rPr>
              <w:t>0.4196</w:t>
            </w:r>
          </w:p>
        </w:tc>
      </w:tr>
      <w:tr>
        <w:tc>
          <w:tcPr>
            <w:tcW w:type="dxa" w:w="1746"/>
            <w:vAlign w:val="center"/>
          </w:tcPr>
          <w:p>
            <w:pPr>
              <w:spacing w:line="276" w:lineRule="auto"/>
              <w:jc w:val="center"/>
            </w:pPr>
            <w:r/>
            <w:r>
              <w:rPr>
                <w:rFonts w:ascii="Times New Roman" w:hAnsi="Times New Roman" w:eastAsia="宋体"/>
                <w:b w:val="0"/>
                <w:sz w:val="17"/>
              </w:rPr>
              <w:t>zsRE</w:t>
            </w:r>
          </w:p>
        </w:tc>
        <w:tc>
          <w:tcPr>
            <w:tcW w:type="dxa" w:w="1746"/>
            <w:vAlign w:val="center"/>
          </w:tcPr>
          <w:p>
            <w:pPr>
              <w:spacing w:line="276" w:lineRule="auto"/>
              <w:jc w:val="center"/>
            </w:pPr>
            <w:r/>
            <w:r>
              <w:rPr>
                <w:rFonts w:ascii="Times New Roman" w:hAnsi="Times New Roman" w:eastAsia="宋体"/>
                <w:b w:val="0"/>
                <w:sz w:val="17"/>
              </w:rPr>
              <w:t>ROME+CAPE-Edit</w:t>
            </w:r>
          </w:p>
        </w:tc>
        <w:tc>
          <w:tcPr>
            <w:tcW w:type="dxa" w:w="1746"/>
            <w:vAlign w:val="center"/>
          </w:tcPr>
          <w:p>
            <w:pPr>
              <w:spacing w:line="276" w:lineRule="auto"/>
              <w:jc w:val="center"/>
            </w:pPr>
            <w:r/>
            <w:r>
              <w:rPr>
                <w:rFonts w:ascii="Times New Roman" w:hAnsi="Times New Roman" w:eastAsia="宋体"/>
                <w:b w:val="0"/>
                <w:sz w:val="17"/>
              </w:rPr>
              <w:t>206</w:t>
            </w:r>
          </w:p>
        </w:tc>
        <w:tc>
          <w:tcPr>
            <w:tcW w:type="dxa" w:w="1746"/>
            <w:vAlign w:val="center"/>
          </w:tcPr>
          <w:p>
            <w:pPr>
              <w:spacing w:line="276" w:lineRule="auto"/>
              <w:jc w:val="center"/>
            </w:pPr>
            <w:r/>
            <w:r>
              <w:rPr>
                <w:rFonts w:ascii="Times New Roman" w:hAnsi="Times New Roman" w:eastAsia="宋体"/>
                <w:b w:val="0"/>
                <w:sz w:val="17"/>
              </w:rPr>
              <w:t>0.3117</w:t>
            </w:r>
          </w:p>
        </w:tc>
        <w:tc>
          <w:tcPr>
            <w:tcW w:type="dxa" w:w="1746"/>
            <w:vAlign w:val="center"/>
          </w:tcPr>
          <w:p>
            <w:pPr>
              <w:spacing w:line="276" w:lineRule="auto"/>
              <w:jc w:val="center"/>
            </w:pPr>
            <w:r/>
            <w:r>
              <w:rPr>
                <w:rFonts w:ascii="Times New Roman" w:hAnsi="Times New Roman" w:eastAsia="宋体"/>
                <w:b w:val="0"/>
                <w:sz w:val="17"/>
              </w:rPr>
              <w:t>0.2953</w:t>
            </w:r>
          </w:p>
        </w:tc>
      </w:tr>
      <w:tr>
        <w:tc>
          <w:tcPr>
            <w:tcW w:type="dxa" w:w="1746"/>
            <w:vAlign w:val="center"/>
          </w:tcPr>
          <w:p>
            <w:pPr>
              <w:spacing w:line="276" w:lineRule="auto"/>
              <w:jc w:val="center"/>
            </w:pPr>
            <w:r/>
            <w:r>
              <w:rPr>
                <w:rFonts w:ascii="Times New Roman" w:hAnsi="Times New Roman" w:eastAsia="宋体"/>
                <w:b w:val="0"/>
                <w:sz w:val="17"/>
              </w:rPr>
              <w:t>zsRE</w:t>
            </w:r>
          </w:p>
        </w:tc>
        <w:tc>
          <w:tcPr>
            <w:tcW w:type="dxa" w:w="1746"/>
            <w:vAlign w:val="center"/>
          </w:tcPr>
          <w:p>
            <w:pPr>
              <w:spacing w:line="276" w:lineRule="auto"/>
              <w:jc w:val="center"/>
            </w:pPr>
            <w:r/>
            <w:r>
              <w:rPr>
                <w:rFonts w:ascii="Times New Roman" w:hAnsi="Times New Roman" w:eastAsia="宋体"/>
                <w:b w:val="0"/>
                <w:sz w:val="17"/>
              </w:rPr>
              <w:t>ROME+PACE-Edit</w:t>
            </w:r>
          </w:p>
        </w:tc>
        <w:tc>
          <w:tcPr>
            <w:tcW w:type="dxa" w:w="1746"/>
            <w:vAlign w:val="center"/>
          </w:tcPr>
          <w:p>
            <w:pPr>
              <w:spacing w:line="276" w:lineRule="auto"/>
              <w:jc w:val="center"/>
            </w:pPr>
            <w:r/>
            <w:r>
              <w:rPr>
                <w:rFonts w:ascii="Times New Roman" w:hAnsi="Times New Roman" w:eastAsia="宋体"/>
                <w:b w:val="0"/>
                <w:sz w:val="17"/>
              </w:rPr>
              <w:t>206</w:t>
            </w:r>
          </w:p>
        </w:tc>
        <w:tc>
          <w:tcPr>
            <w:tcW w:type="dxa" w:w="1746"/>
            <w:vAlign w:val="center"/>
          </w:tcPr>
          <w:p>
            <w:pPr>
              <w:spacing w:line="276" w:lineRule="auto"/>
              <w:jc w:val="center"/>
            </w:pPr>
            <w:r/>
            <w:r>
              <w:rPr>
                <w:rFonts w:ascii="Times New Roman" w:hAnsi="Times New Roman" w:eastAsia="宋体"/>
                <w:b w:val="0"/>
                <w:sz w:val="17"/>
              </w:rPr>
              <w:t>0.3117</w:t>
            </w:r>
          </w:p>
        </w:tc>
        <w:tc>
          <w:tcPr>
            <w:tcW w:type="dxa" w:w="1746"/>
            <w:vAlign w:val="center"/>
          </w:tcPr>
          <w:p>
            <w:pPr>
              <w:spacing w:line="276" w:lineRule="auto"/>
              <w:jc w:val="center"/>
            </w:pPr>
            <w:r/>
            <w:r>
              <w:rPr>
                <w:rFonts w:ascii="Times New Roman" w:hAnsi="Times New Roman" w:eastAsia="宋体"/>
                <w:b w:val="0"/>
                <w:sz w:val="17"/>
              </w:rPr>
              <w:t>0.2953</w:t>
            </w:r>
          </w:p>
        </w:tc>
      </w:tr>
    </w:tbl>
    <w:p/>
    <w:p>
      <w:pPr>
        <w:spacing w:line="360" w:lineRule="auto" w:before="0" w:after="0"/>
        <w:ind w:firstLine="480"/>
      </w:pPr>
      <w:r>
        <w:rPr>
          <w:rFonts w:ascii="Times New Roman" w:hAnsi="Times New Roman" w:eastAsia="宋体"/>
          <w:b w:val="0"/>
          <w:sz w:val="24"/>
        </w:rPr>
        <w:t>结果显示，ROME+PACE-Edit 和 ROME+CAPE-Edit 在 CounterFact 上可靠性均为 0.5179，在 zsRE 上可靠性均为 0.3117，说明 wrapper 可以迁移运行，但效果中等。该结果不能写成公开基准支撑隐私清洗成功；更稳妥的解释是，闭环请求选择思想具有一定外部可运行性，同时也暴露了它在公开事实编辑任务上的收益边界。</w:t>
      </w:r>
    </w:p>
    <w:p>
      <w:pPr>
        <w:spacing w:line="360" w:lineRule="auto" w:before="0" w:after="0"/>
        <w:jc w:val="center"/>
      </w:pPr>
      <w:r>
        <w:rPr>
          <w:rFonts w:ascii="Times New Roman" w:hAnsi="Times New Roman" w:eastAsia="宋体"/>
          <w:b w:val="0"/>
          <w:sz w:val="21"/>
        </w:rPr>
        <w:t>图 5  Qwen 公开迁移结果对比</w:t>
      </w:r>
    </w:p>
    <w:p>
      <w:pPr>
        <w:jc w:val="center"/>
      </w:pPr>
      <w:r>
        <w:drawing>
          <wp:inline xmlns:a="http://schemas.openxmlformats.org/drawingml/2006/main" xmlns:pic="http://schemas.openxmlformats.org/drawingml/2006/picture">
            <wp:extent cx="5040000" cy="3278532"/>
            <wp:docPr id="5" name="Picture 5"/>
            <wp:cNvGraphicFramePr>
              <a:graphicFrameLocks noChangeAspect="1"/>
            </wp:cNvGraphicFramePr>
            <a:graphic>
              <a:graphicData uri="http://schemas.openxmlformats.org/drawingml/2006/picture">
                <pic:pic>
                  <pic:nvPicPr>
                    <pic:cNvPr id="0" name="fig5_public_transfer_qwen.png"/>
                    <pic:cNvPicPr/>
                  </pic:nvPicPr>
                  <pic:blipFill>
                    <a:blip r:embed="rId21"/>
                    <a:stretch>
                      <a:fillRect/>
                    </a:stretch>
                  </pic:blipFill>
                  <pic:spPr>
                    <a:xfrm>
                      <a:off x="0" y="0"/>
                      <a:ext cx="5040000" cy="3278532"/>
                    </a:xfrm>
                    <a:prstGeom prst="rect"/>
                  </pic:spPr>
                </pic:pic>
              </a:graphicData>
            </a:graphic>
          </wp:inline>
        </w:drawing>
      </w:r>
    </w:p>
    <w:p>
      <w:pPr>
        <w:spacing w:line="360" w:lineRule="auto" w:before="0" w:after="0"/>
        <w:jc w:val="center"/>
      </w:pPr>
      <w:r>
        <w:rPr>
          <w:rFonts w:ascii="Times New Roman" w:hAnsi="Times New Roman" w:eastAsia="宋体"/>
          <w:b w:val="0"/>
          <w:sz w:val="21"/>
        </w:rPr>
        <w:t>图 5 的作用是把 Qwen public wrapper 与基础方法放在同一 public editing 语境中比较。它服务的不是隐私清洗主张，而是外部迁移验证：本文方法并非只能在自造数据上运行，但公开事实编辑结果仍不足以支撑“通用提升”的强结论。</w:t>
      </w:r>
    </w:p>
    <w:p>
      <w:pPr>
        <w:pStyle w:val="Heading2"/>
        <w:spacing w:before="200" w:after="120"/>
      </w:pPr>
      <w:r>
        <w:rPr>
          <w:rFonts w:ascii="Times New Roman" w:hAnsi="Times New Roman" w:eastAsia="黑体"/>
          <w:b/>
          <w:sz w:val="28"/>
        </w:rPr>
        <w:t>4.9  GPT-J 第二模型边界验证</w:t>
      </w:r>
    </w:p>
    <w:p>
      <w:pPr>
        <w:spacing w:line="360" w:lineRule="auto" w:before="0" w:after="0"/>
        <w:ind w:firstLine="480"/>
      </w:pPr>
      <w:r>
        <w:rPr>
          <w:rFonts w:ascii="Times New Roman" w:hAnsi="Times New Roman" w:eastAsia="宋体"/>
          <w:b w:val="0"/>
          <w:sz w:val="24"/>
        </w:rPr>
        <w:t>为避免公开迁移实验只依赖 Qwen2.5-7B，本文进一步在 GPT-J-6B 上进行第二模型公开事实编辑验证。结果显示，GPT-J-6B 上 ROME 与 FT baseline 均能正常运行，在 CounterFact 与 zsRE 上获得较高 rewrite 成功率。然而，将未重新调参的 ROME-based PACE/CAPE wrapper 直接迁移到 GPT-J-6B 时，wrapper 出现明显塌缩。</w:t>
      </w:r>
    </w:p>
    <w:p>
      <w:pPr>
        <w:spacing w:line="360" w:lineRule="auto" w:before="0" w:after="0"/>
        <w:jc w:val="center"/>
      </w:pPr>
      <w:r>
        <w:rPr>
          <w:rFonts w:ascii="Times New Roman" w:hAnsi="Times New Roman" w:eastAsia="宋体"/>
          <w:b w:val="0"/>
          <w:sz w:val="21"/>
        </w:rPr>
        <w:t>表 6  GPT-J 第二模型边界验证结果</w:t>
      </w:r>
    </w:p>
    <w:tbl>
      <w:tblPr>
        <w:tblStyle w:val="TableGrid"/>
        <w:tblW w:type="auto" w:w="0"/>
        <w:jc w:val="center"/>
        <w:tblLayout w:type="autofit"/>
        <w:tblLook w:firstColumn="1" w:firstRow="1" w:lastColumn="0" w:lastRow="0" w:noHBand="0" w:noVBand="1" w:val="04A0"/>
      </w:tblPr>
      <w:tblGrid>
        <w:gridCol w:w="1455"/>
        <w:gridCol w:w="1455"/>
        <w:gridCol w:w="1455"/>
        <w:gridCol w:w="1455"/>
        <w:gridCol w:w="1455"/>
        <w:gridCol w:w="1455"/>
      </w:tblGrid>
      <w:tr>
        <w:tc>
          <w:tcPr>
            <w:tcW w:type="dxa" w:w="1455"/>
            <w:vAlign w:val="center"/>
            <w:shd w:fill="E8EEF5"/>
          </w:tcPr>
          <w:p>
            <w:pPr>
              <w:spacing w:line="276" w:lineRule="auto"/>
              <w:jc w:val="center"/>
            </w:pPr>
            <w:r/>
            <w:r>
              <w:rPr>
                <w:rFonts w:ascii="Times New Roman" w:hAnsi="Times New Roman" w:eastAsia="宋体"/>
                <w:b/>
                <w:sz w:val="17"/>
              </w:rPr>
              <w:t>数据集</w:t>
            </w:r>
          </w:p>
        </w:tc>
        <w:tc>
          <w:tcPr>
            <w:tcW w:type="dxa" w:w="1455"/>
            <w:vAlign w:val="center"/>
            <w:shd w:fill="E8EEF5"/>
          </w:tcPr>
          <w:p>
            <w:pPr>
              <w:spacing w:line="276" w:lineRule="auto"/>
              <w:jc w:val="center"/>
            </w:pPr>
            <w:r/>
            <w:r>
              <w:rPr>
                <w:rFonts w:ascii="Times New Roman" w:hAnsi="Times New Roman" w:eastAsia="宋体"/>
                <w:b/>
                <w:sz w:val="17"/>
              </w:rPr>
              <w:t>方法</w:t>
            </w:r>
          </w:p>
        </w:tc>
        <w:tc>
          <w:tcPr>
            <w:tcW w:type="dxa" w:w="1455"/>
            <w:vAlign w:val="center"/>
            <w:shd w:fill="E8EEF5"/>
          </w:tcPr>
          <w:p>
            <w:pPr>
              <w:spacing w:line="276" w:lineRule="auto"/>
              <w:jc w:val="center"/>
            </w:pPr>
            <w:r/>
            <w:r>
              <w:rPr>
                <w:rFonts w:ascii="Times New Roman" w:hAnsi="Times New Roman" w:eastAsia="宋体"/>
                <w:b/>
                <w:sz w:val="17"/>
              </w:rPr>
              <w:t>可靠性↑</w:t>
            </w:r>
          </w:p>
        </w:tc>
        <w:tc>
          <w:tcPr>
            <w:tcW w:type="dxa" w:w="1455"/>
            <w:vAlign w:val="center"/>
            <w:shd w:fill="E8EEF5"/>
          </w:tcPr>
          <w:p>
            <w:pPr>
              <w:spacing w:line="276" w:lineRule="auto"/>
              <w:jc w:val="center"/>
            </w:pPr>
            <w:r/>
            <w:r>
              <w:rPr>
                <w:rFonts w:ascii="Times New Roman" w:hAnsi="Times New Roman" w:eastAsia="宋体"/>
                <w:b/>
                <w:sz w:val="17"/>
              </w:rPr>
              <w:t>泛化性↑</w:t>
            </w:r>
          </w:p>
        </w:tc>
        <w:tc>
          <w:tcPr>
            <w:tcW w:type="dxa" w:w="1455"/>
            <w:vAlign w:val="center"/>
            <w:shd w:fill="E8EEF5"/>
          </w:tcPr>
          <w:p>
            <w:pPr>
              <w:spacing w:line="276" w:lineRule="auto"/>
              <w:jc w:val="center"/>
            </w:pPr>
            <w:r/>
            <w:r>
              <w:rPr>
                <w:rFonts w:ascii="Times New Roman" w:hAnsi="Times New Roman" w:eastAsia="宋体"/>
                <w:b/>
                <w:sz w:val="17"/>
              </w:rPr>
              <w:t>逐样本审计</w:t>
            </w:r>
          </w:p>
        </w:tc>
        <w:tc>
          <w:tcPr>
            <w:tcW w:type="dxa" w:w="1455"/>
            <w:vAlign w:val="center"/>
            <w:shd w:fill="E8EEF5"/>
          </w:tcPr>
          <w:p>
            <w:pPr>
              <w:spacing w:line="276" w:lineRule="auto"/>
              <w:jc w:val="center"/>
            </w:pPr>
            <w:r/>
            <w:r>
              <w:rPr>
                <w:rFonts w:ascii="Times New Roman" w:hAnsi="Times New Roman" w:eastAsia="宋体"/>
                <w:b/>
                <w:sz w:val="17"/>
              </w:rPr>
              <w:t>解释</w:t>
            </w:r>
          </w:p>
        </w:tc>
      </w:tr>
      <w:tr>
        <w:tc>
          <w:tcPr>
            <w:tcW w:type="dxa" w:w="1455"/>
            <w:vAlign w:val="center"/>
          </w:tcPr>
          <w:p>
            <w:pPr>
              <w:spacing w:line="276" w:lineRule="auto"/>
              <w:jc w:val="center"/>
            </w:pPr>
            <w:r/>
            <w:r>
              <w:rPr>
                <w:rFonts w:ascii="Times New Roman" w:hAnsi="Times New Roman" w:eastAsia="宋体"/>
                <w:b w:val="0"/>
                <w:sz w:val="17"/>
              </w:rPr>
              <w:t>CounterFact</w:t>
            </w:r>
          </w:p>
        </w:tc>
        <w:tc>
          <w:tcPr>
            <w:tcW w:type="dxa" w:w="1455"/>
            <w:vAlign w:val="center"/>
          </w:tcPr>
          <w:p>
            <w:pPr>
              <w:spacing w:line="276" w:lineRule="auto"/>
              <w:jc w:val="center"/>
            </w:pPr>
            <w:r/>
            <w:r>
              <w:rPr>
                <w:rFonts w:ascii="Times New Roman" w:hAnsi="Times New Roman" w:eastAsia="宋体"/>
                <w:b w:val="0"/>
                <w:sz w:val="17"/>
              </w:rPr>
              <w:t>ROME</w:t>
            </w:r>
          </w:p>
        </w:tc>
        <w:tc>
          <w:tcPr>
            <w:tcW w:type="dxa" w:w="1455"/>
            <w:vAlign w:val="center"/>
          </w:tcPr>
          <w:p>
            <w:pPr>
              <w:spacing w:line="276" w:lineRule="auto"/>
              <w:jc w:val="center"/>
            </w:pPr>
            <w:r/>
            <w:r>
              <w:rPr>
                <w:rFonts w:ascii="Times New Roman" w:hAnsi="Times New Roman" w:eastAsia="宋体"/>
                <w:b w:val="0"/>
                <w:sz w:val="17"/>
              </w:rPr>
              <w:t>0.9950</w:t>
            </w:r>
          </w:p>
        </w:tc>
        <w:tc>
          <w:tcPr>
            <w:tcW w:type="dxa" w:w="1455"/>
            <w:vAlign w:val="center"/>
          </w:tcPr>
          <w:p>
            <w:pPr>
              <w:spacing w:line="276" w:lineRule="auto"/>
              <w:jc w:val="center"/>
            </w:pPr>
            <w:r/>
            <w:r>
              <w:rPr>
                <w:rFonts w:ascii="Times New Roman" w:hAnsi="Times New Roman" w:eastAsia="宋体"/>
                <w:b w:val="0"/>
                <w:sz w:val="17"/>
              </w:rPr>
              <w:t>0.8200</w:t>
            </w:r>
          </w:p>
        </w:tc>
        <w:tc>
          <w:tcPr>
            <w:tcW w:type="dxa" w:w="1455"/>
            <w:vAlign w:val="center"/>
          </w:tcPr>
          <w:p>
            <w:pPr>
              <w:spacing w:line="276" w:lineRule="auto"/>
              <w:jc w:val="center"/>
            </w:pPr>
            <w:r/>
            <w:r>
              <w:rPr>
                <w:rFonts w:ascii="Times New Roman" w:hAnsi="Times New Roman" w:eastAsia="宋体"/>
                <w:b w:val="0"/>
                <w:sz w:val="17"/>
              </w:rPr>
              <w:t>199/200</w:t>
            </w:r>
          </w:p>
        </w:tc>
        <w:tc>
          <w:tcPr>
            <w:tcW w:type="dxa" w:w="1455"/>
            <w:vAlign w:val="center"/>
          </w:tcPr>
          <w:p>
            <w:pPr>
              <w:spacing w:line="276" w:lineRule="auto"/>
              <w:jc w:val="center"/>
            </w:pPr>
            <w:r/>
            <w:r>
              <w:rPr>
                <w:rFonts w:ascii="Times New Roman" w:hAnsi="Times New Roman" w:eastAsia="宋体"/>
                <w:b w:val="0"/>
                <w:sz w:val="17"/>
              </w:rPr>
              <w:t>基础编辑正常</w:t>
            </w:r>
          </w:p>
        </w:tc>
      </w:tr>
      <w:tr>
        <w:tc>
          <w:tcPr>
            <w:tcW w:type="dxa" w:w="1455"/>
            <w:vAlign w:val="center"/>
          </w:tcPr>
          <w:p>
            <w:pPr>
              <w:spacing w:line="276" w:lineRule="auto"/>
              <w:jc w:val="center"/>
            </w:pPr>
            <w:r/>
            <w:r>
              <w:rPr>
                <w:rFonts w:ascii="Times New Roman" w:hAnsi="Times New Roman" w:eastAsia="宋体"/>
                <w:b w:val="0"/>
                <w:sz w:val="17"/>
              </w:rPr>
              <w:t>CounterFact</w:t>
            </w:r>
          </w:p>
        </w:tc>
        <w:tc>
          <w:tcPr>
            <w:tcW w:type="dxa" w:w="1455"/>
            <w:vAlign w:val="center"/>
          </w:tcPr>
          <w:p>
            <w:pPr>
              <w:spacing w:line="276" w:lineRule="auto"/>
              <w:jc w:val="center"/>
            </w:pPr>
            <w:r/>
            <w:r>
              <w:rPr>
                <w:rFonts w:ascii="Times New Roman" w:hAnsi="Times New Roman" w:eastAsia="宋体"/>
                <w:b w:val="0"/>
                <w:sz w:val="17"/>
              </w:rPr>
              <w:t>FT</w:t>
            </w:r>
          </w:p>
        </w:tc>
        <w:tc>
          <w:tcPr>
            <w:tcW w:type="dxa" w:w="1455"/>
            <w:vAlign w:val="center"/>
          </w:tcPr>
          <w:p>
            <w:pPr>
              <w:spacing w:line="276" w:lineRule="auto"/>
              <w:jc w:val="center"/>
            </w:pPr>
            <w:r/>
            <w:r>
              <w:rPr>
                <w:rFonts w:ascii="Times New Roman" w:hAnsi="Times New Roman" w:eastAsia="宋体"/>
                <w:b w:val="0"/>
                <w:sz w:val="17"/>
              </w:rPr>
              <w:t>1.0000</w:t>
            </w:r>
          </w:p>
        </w:tc>
        <w:tc>
          <w:tcPr>
            <w:tcW w:type="dxa" w:w="1455"/>
            <w:vAlign w:val="center"/>
          </w:tcPr>
          <w:p>
            <w:pPr>
              <w:spacing w:line="276" w:lineRule="auto"/>
              <w:jc w:val="center"/>
            </w:pPr>
            <w:r/>
            <w:r>
              <w:rPr>
                <w:rFonts w:ascii="Times New Roman" w:hAnsi="Times New Roman" w:eastAsia="宋体"/>
                <w:b w:val="0"/>
                <w:sz w:val="17"/>
              </w:rPr>
              <w:t>0.7250</w:t>
            </w:r>
          </w:p>
        </w:tc>
        <w:tc>
          <w:tcPr>
            <w:tcW w:type="dxa" w:w="1455"/>
            <w:vAlign w:val="center"/>
          </w:tcPr>
          <w:p>
            <w:pPr>
              <w:spacing w:line="276" w:lineRule="auto"/>
              <w:jc w:val="center"/>
            </w:pPr>
            <w:r/>
            <w:r>
              <w:rPr>
                <w:rFonts w:ascii="Times New Roman" w:hAnsi="Times New Roman" w:eastAsia="宋体"/>
                <w:b w:val="0"/>
                <w:sz w:val="17"/>
              </w:rPr>
              <w:t>未统计</w:t>
            </w:r>
          </w:p>
        </w:tc>
        <w:tc>
          <w:tcPr>
            <w:tcW w:type="dxa" w:w="1455"/>
            <w:vAlign w:val="center"/>
          </w:tcPr>
          <w:p>
            <w:pPr>
              <w:spacing w:line="276" w:lineRule="auto"/>
              <w:jc w:val="center"/>
            </w:pPr>
            <w:r/>
            <w:r>
              <w:rPr>
                <w:rFonts w:ascii="Times New Roman" w:hAnsi="Times New Roman" w:eastAsia="宋体"/>
                <w:b w:val="0"/>
                <w:sz w:val="17"/>
              </w:rPr>
              <w:t>基础编辑正常</w:t>
            </w:r>
          </w:p>
        </w:tc>
      </w:tr>
      <w:tr>
        <w:tc>
          <w:tcPr>
            <w:tcW w:type="dxa" w:w="1455"/>
            <w:vAlign w:val="center"/>
          </w:tcPr>
          <w:p>
            <w:pPr>
              <w:spacing w:line="276" w:lineRule="auto"/>
              <w:jc w:val="center"/>
            </w:pPr>
            <w:r/>
            <w:r>
              <w:rPr>
                <w:rFonts w:ascii="Times New Roman" w:hAnsi="Times New Roman" w:eastAsia="宋体"/>
                <w:b w:val="0"/>
                <w:sz w:val="17"/>
              </w:rPr>
              <w:t>CounterFact</w:t>
            </w:r>
          </w:p>
        </w:tc>
        <w:tc>
          <w:tcPr>
            <w:tcW w:type="dxa" w:w="1455"/>
            <w:vAlign w:val="center"/>
          </w:tcPr>
          <w:p>
            <w:pPr>
              <w:spacing w:line="276" w:lineRule="auto"/>
              <w:jc w:val="center"/>
            </w:pPr>
            <w:r/>
            <w:r>
              <w:rPr>
                <w:rFonts w:ascii="Times New Roman" w:hAnsi="Times New Roman" w:eastAsia="宋体"/>
                <w:b w:val="0"/>
                <w:sz w:val="17"/>
              </w:rPr>
              <w:t>ROME+PACE-Edit</w:t>
            </w:r>
          </w:p>
        </w:tc>
        <w:tc>
          <w:tcPr>
            <w:tcW w:type="dxa" w:w="1455"/>
            <w:vAlign w:val="center"/>
          </w:tcPr>
          <w:p>
            <w:pPr>
              <w:spacing w:line="276" w:lineRule="auto"/>
              <w:jc w:val="center"/>
            </w:pPr>
            <w:r/>
            <w:r>
              <w:rPr>
                <w:rFonts w:ascii="Times New Roman" w:hAnsi="Times New Roman" w:eastAsia="宋体"/>
                <w:b w:val="0"/>
                <w:sz w:val="17"/>
              </w:rPr>
              <w:t>0.0000</w:t>
            </w:r>
          </w:p>
        </w:tc>
        <w:tc>
          <w:tcPr>
            <w:tcW w:type="dxa" w:w="1455"/>
            <w:vAlign w:val="center"/>
          </w:tcPr>
          <w:p>
            <w:pPr>
              <w:spacing w:line="276" w:lineRule="auto"/>
              <w:jc w:val="center"/>
            </w:pPr>
            <w:r/>
            <w:r>
              <w:rPr>
                <w:rFonts w:ascii="Times New Roman" w:hAnsi="Times New Roman" w:eastAsia="宋体"/>
                <w:b w:val="0"/>
                <w:sz w:val="17"/>
              </w:rPr>
              <w:t>0.0000</w:t>
            </w:r>
          </w:p>
        </w:tc>
        <w:tc>
          <w:tcPr>
            <w:tcW w:type="dxa" w:w="1455"/>
            <w:vAlign w:val="center"/>
          </w:tcPr>
          <w:p>
            <w:pPr>
              <w:spacing w:line="276" w:lineRule="auto"/>
              <w:jc w:val="center"/>
            </w:pPr>
            <w:r/>
            <w:r>
              <w:rPr>
                <w:rFonts w:ascii="Times New Roman" w:hAnsi="Times New Roman" w:eastAsia="宋体"/>
                <w:b w:val="0"/>
                <w:sz w:val="17"/>
              </w:rPr>
              <w:t>0/220</w:t>
            </w:r>
          </w:p>
        </w:tc>
        <w:tc>
          <w:tcPr>
            <w:tcW w:type="dxa" w:w="1455"/>
            <w:vAlign w:val="center"/>
          </w:tcPr>
          <w:p>
            <w:pPr>
              <w:spacing w:line="276" w:lineRule="auto"/>
              <w:jc w:val="center"/>
            </w:pPr>
            <w:r/>
            <w:r>
              <w:rPr>
                <w:rFonts w:ascii="Times New Roman" w:hAnsi="Times New Roman" w:eastAsia="宋体"/>
                <w:b w:val="0"/>
                <w:sz w:val="17"/>
              </w:rPr>
              <w:t>wrapper塌缩</w:t>
            </w:r>
          </w:p>
        </w:tc>
      </w:tr>
      <w:tr>
        <w:tc>
          <w:tcPr>
            <w:tcW w:type="dxa" w:w="1455"/>
            <w:vAlign w:val="center"/>
          </w:tcPr>
          <w:p>
            <w:pPr>
              <w:spacing w:line="276" w:lineRule="auto"/>
              <w:jc w:val="center"/>
            </w:pPr>
            <w:r/>
            <w:r>
              <w:rPr>
                <w:rFonts w:ascii="Times New Roman" w:hAnsi="Times New Roman" w:eastAsia="宋体"/>
                <w:b w:val="0"/>
                <w:sz w:val="17"/>
              </w:rPr>
              <w:t>CounterFact</w:t>
            </w:r>
          </w:p>
        </w:tc>
        <w:tc>
          <w:tcPr>
            <w:tcW w:type="dxa" w:w="1455"/>
            <w:vAlign w:val="center"/>
          </w:tcPr>
          <w:p>
            <w:pPr>
              <w:spacing w:line="276" w:lineRule="auto"/>
              <w:jc w:val="center"/>
            </w:pPr>
            <w:r/>
            <w:r>
              <w:rPr>
                <w:rFonts w:ascii="Times New Roman" w:hAnsi="Times New Roman" w:eastAsia="宋体"/>
                <w:b w:val="0"/>
                <w:sz w:val="17"/>
              </w:rPr>
              <w:t>ROME+CAPE-Edit</w:t>
            </w:r>
          </w:p>
        </w:tc>
        <w:tc>
          <w:tcPr>
            <w:tcW w:type="dxa" w:w="1455"/>
            <w:vAlign w:val="center"/>
          </w:tcPr>
          <w:p>
            <w:pPr>
              <w:spacing w:line="276" w:lineRule="auto"/>
              <w:jc w:val="center"/>
            </w:pPr>
            <w:r/>
            <w:r>
              <w:rPr>
                <w:rFonts w:ascii="Times New Roman" w:hAnsi="Times New Roman" w:eastAsia="宋体"/>
                <w:b w:val="0"/>
                <w:sz w:val="17"/>
              </w:rPr>
              <w:t>0.0000</w:t>
            </w:r>
          </w:p>
        </w:tc>
        <w:tc>
          <w:tcPr>
            <w:tcW w:type="dxa" w:w="1455"/>
            <w:vAlign w:val="center"/>
          </w:tcPr>
          <w:p>
            <w:pPr>
              <w:spacing w:line="276" w:lineRule="auto"/>
              <w:jc w:val="center"/>
            </w:pPr>
            <w:r/>
            <w:r>
              <w:rPr>
                <w:rFonts w:ascii="Times New Roman" w:hAnsi="Times New Roman" w:eastAsia="宋体"/>
                <w:b w:val="0"/>
                <w:sz w:val="17"/>
              </w:rPr>
              <w:t>0.0000</w:t>
            </w:r>
          </w:p>
        </w:tc>
        <w:tc>
          <w:tcPr>
            <w:tcW w:type="dxa" w:w="1455"/>
            <w:vAlign w:val="center"/>
          </w:tcPr>
          <w:p>
            <w:pPr>
              <w:spacing w:line="276" w:lineRule="auto"/>
              <w:jc w:val="center"/>
            </w:pPr>
            <w:r/>
            <w:r>
              <w:rPr>
                <w:rFonts w:ascii="Times New Roman" w:hAnsi="Times New Roman" w:eastAsia="宋体"/>
                <w:b w:val="0"/>
                <w:sz w:val="17"/>
              </w:rPr>
              <w:t>0/220</w:t>
            </w:r>
          </w:p>
        </w:tc>
        <w:tc>
          <w:tcPr>
            <w:tcW w:type="dxa" w:w="1455"/>
            <w:vAlign w:val="center"/>
          </w:tcPr>
          <w:p>
            <w:pPr>
              <w:spacing w:line="276" w:lineRule="auto"/>
              <w:jc w:val="center"/>
            </w:pPr>
            <w:r/>
            <w:r>
              <w:rPr>
                <w:rFonts w:ascii="Times New Roman" w:hAnsi="Times New Roman" w:eastAsia="宋体"/>
                <w:b w:val="0"/>
                <w:sz w:val="17"/>
              </w:rPr>
              <w:t>wrapper塌缩</w:t>
            </w:r>
          </w:p>
        </w:tc>
      </w:tr>
      <w:tr>
        <w:tc>
          <w:tcPr>
            <w:tcW w:type="dxa" w:w="1455"/>
            <w:vAlign w:val="center"/>
          </w:tcPr>
          <w:p>
            <w:pPr>
              <w:spacing w:line="276" w:lineRule="auto"/>
              <w:jc w:val="center"/>
            </w:pPr>
            <w:r/>
            <w:r>
              <w:rPr>
                <w:rFonts w:ascii="Times New Roman" w:hAnsi="Times New Roman" w:eastAsia="宋体"/>
                <w:b w:val="0"/>
                <w:sz w:val="17"/>
              </w:rPr>
              <w:t>zsRE</w:t>
            </w:r>
          </w:p>
        </w:tc>
        <w:tc>
          <w:tcPr>
            <w:tcW w:type="dxa" w:w="1455"/>
            <w:vAlign w:val="center"/>
          </w:tcPr>
          <w:p>
            <w:pPr>
              <w:spacing w:line="276" w:lineRule="auto"/>
              <w:jc w:val="center"/>
            </w:pPr>
            <w:r/>
            <w:r>
              <w:rPr>
                <w:rFonts w:ascii="Times New Roman" w:hAnsi="Times New Roman" w:eastAsia="宋体"/>
                <w:b w:val="0"/>
                <w:sz w:val="17"/>
              </w:rPr>
              <w:t>ROME</w:t>
            </w:r>
          </w:p>
        </w:tc>
        <w:tc>
          <w:tcPr>
            <w:tcW w:type="dxa" w:w="1455"/>
            <w:vAlign w:val="center"/>
          </w:tcPr>
          <w:p>
            <w:pPr>
              <w:spacing w:line="276" w:lineRule="auto"/>
              <w:jc w:val="center"/>
            </w:pPr>
            <w:r/>
            <w:r>
              <w:rPr>
                <w:rFonts w:ascii="Times New Roman" w:hAnsi="Times New Roman" w:eastAsia="宋体"/>
                <w:b w:val="0"/>
                <w:sz w:val="17"/>
              </w:rPr>
              <w:t>0.9975</w:t>
            </w:r>
          </w:p>
        </w:tc>
        <w:tc>
          <w:tcPr>
            <w:tcW w:type="dxa" w:w="1455"/>
            <w:vAlign w:val="center"/>
          </w:tcPr>
          <w:p>
            <w:pPr>
              <w:spacing w:line="276" w:lineRule="auto"/>
              <w:jc w:val="center"/>
            </w:pPr>
            <w:r/>
            <w:r>
              <w:rPr>
                <w:rFonts w:ascii="Times New Roman" w:hAnsi="Times New Roman" w:eastAsia="宋体"/>
                <w:b w:val="0"/>
                <w:sz w:val="17"/>
              </w:rPr>
              <w:t>0.9451</w:t>
            </w:r>
          </w:p>
        </w:tc>
        <w:tc>
          <w:tcPr>
            <w:tcW w:type="dxa" w:w="1455"/>
            <w:vAlign w:val="center"/>
          </w:tcPr>
          <w:p>
            <w:pPr>
              <w:spacing w:line="276" w:lineRule="auto"/>
              <w:jc w:val="center"/>
            </w:pPr>
            <w:r/>
            <w:r>
              <w:rPr>
                <w:rFonts w:ascii="Times New Roman" w:hAnsi="Times New Roman" w:eastAsia="宋体"/>
                <w:b w:val="0"/>
                <w:sz w:val="17"/>
              </w:rPr>
              <w:t>200/200</w:t>
            </w:r>
          </w:p>
        </w:tc>
        <w:tc>
          <w:tcPr>
            <w:tcW w:type="dxa" w:w="1455"/>
            <w:vAlign w:val="center"/>
          </w:tcPr>
          <w:p>
            <w:pPr>
              <w:spacing w:line="276" w:lineRule="auto"/>
              <w:jc w:val="center"/>
            </w:pPr>
            <w:r/>
            <w:r>
              <w:rPr>
                <w:rFonts w:ascii="Times New Roman" w:hAnsi="Times New Roman" w:eastAsia="宋体"/>
                <w:b w:val="0"/>
                <w:sz w:val="17"/>
              </w:rPr>
              <w:t>基础编辑正常</w:t>
            </w:r>
          </w:p>
        </w:tc>
      </w:tr>
      <w:tr>
        <w:tc>
          <w:tcPr>
            <w:tcW w:type="dxa" w:w="1455"/>
            <w:vAlign w:val="center"/>
          </w:tcPr>
          <w:p>
            <w:pPr>
              <w:spacing w:line="276" w:lineRule="auto"/>
              <w:jc w:val="center"/>
            </w:pPr>
            <w:r/>
            <w:r>
              <w:rPr>
                <w:rFonts w:ascii="Times New Roman" w:hAnsi="Times New Roman" w:eastAsia="宋体"/>
                <w:b w:val="0"/>
                <w:sz w:val="17"/>
              </w:rPr>
              <w:t>zsRE</w:t>
            </w:r>
          </w:p>
        </w:tc>
        <w:tc>
          <w:tcPr>
            <w:tcW w:type="dxa" w:w="1455"/>
            <w:vAlign w:val="center"/>
          </w:tcPr>
          <w:p>
            <w:pPr>
              <w:spacing w:line="276" w:lineRule="auto"/>
              <w:jc w:val="center"/>
            </w:pPr>
            <w:r/>
            <w:r>
              <w:rPr>
                <w:rFonts w:ascii="Times New Roman" w:hAnsi="Times New Roman" w:eastAsia="宋体"/>
                <w:b w:val="0"/>
                <w:sz w:val="17"/>
              </w:rPr>
              <w:t>FT</w:t>
            </w:r>
          </w:p>
        </w:tc>
        <w:tc>
          <w:tcPr>
            <w:tcW w:type="dxa" w:w="1455"/>
            <w:vAlign w:val="center"/>
          </w:tcPr>
          <w:p>
            <w:pPr>
              <w:spacing w:line="276" w:lineRule="auto"/>
              <w:jc w:val="center"/>
            </w:pPr>
            <w:r/>
            <w:r>
              <w:rPr>
                <w:rFonts w:ascii="Times New Roman" w:hAnsi="Times New Roman" w:eastAsia="宋体"/>
                <w:b w:val="0"/>
                <w:sz w:val="17"/>
              </w:rPr>
              <w:t>0.7930</w:t>
            </w:r>
          </w:p>
        </w:tc>
        <w:tc>
          <w:tcPr>
            <w:tcW w:type="dxa" w:w="1455"/>
            <w:vAlign w:val="center"/>
          </w:tcPr>
          <w:p>
            <w:pPr>
              <w:spacing w:line="276" w:lineRule="auto"/>
              <w:jc w:val="center"/>
            </w:pPr>
            <w:r/>
            <w:r>
              <w:rPr>
                <w:rFonts w:ascii="Times New Roman" w:hAnsi="Times New Roman" w:eastAsia="宋体"/>
                <w:b w:val="0"/>
                <w:sz w:val="17"/>
              </w:rPr>
              <w:t>0.8084</w:t>
            </w:r>
          </w:p>
        </w:tc>
        <w:tc>
          <w:tcPr>
            <w:tcW w:type="dxa" w:w="1455"/>
            <w:vAlign w:val="center"/>
          </w:tcPr>
          <w:p>
            <w:pPr>
              <w:spacing w:line="276" w:lineRule="auto"/>
              <w:jc w:val="center"/>
            </w:pPr>
            <w:r/>
            <w:r>
              <w:rPr>
                <w:rFonts w:ascii="Times New Roman" w:hAnsi="Times New Roman" w:eastAsia="宋体"/>
                <w:b w:val="0"/>
                <w:sz w:val="17"/>
              </w:rPr>
              <w:t>未统计</w:t>
            </w:r>
          </w:p>
        </w:tc>
        <w:tc>
          <w:tcPr>
            <w:tcW w:type="dxa" w:w="1455"/>
            <w:vAlign w:val="center"/>
          </w:tcPr>
          <w:p>
            <w:pPr>
              <w:spacing w:line="276" w:lineRule="auto"/>
              <w:jc w:val="center"/>
            </w:pPr>
            <w:r/>
            <w:r>
              <w:rPr>
                <w:rFonts w:ascii="Times New Roman" w:hAnsi="Times New Roman" w:eastAsia="宋体"/>
                <w:b w:val="0"/>
                <w:sz w:val="17"/>
              </w:rPr>
              <w:t>基础编辑正常</w:t>
            </w:r>
          </w:p>
        </w:tc>
      </w:tr>
      <w:tr>
        <w:tc>
          <w:tcPr>
            <w:tcW w:type="dxa" w:w="1455"/>
            <w:vAlign w:val="center"/>
          </w:tcPr>
          <w:p>
            <w:pPr>
              <w:spacing w:line="276" w:lineRule="auto"/>
              <w:jc w:val="center"/>
            </w:pPr>
            <w:r/>
            <w:r>
              <w:rPr>
                <w:rFonts w:ascii="Times New Roman" w:hAnsi="Times New Roman" w:eastAsia="宋体"/>
                <w:b w:val="0"/>
                <w:sz w:val="17"/>
              </w:rPr>
              <w:t>zsRE</w:t>
            </w:r>
          </w:p>
        </w:tc>
        <w:tc>
          <w:tcPr>
            <w:tcW w:type="dxa" w:w="1455"/>
            <w:vAlign w:val="center"/>
          </w:tcPr>
          <w:p>
            <w:pPr>
              <w:spacing w:line="276" w:lineRule="auto"/>
              <w:jc w:val="center"/>
            </w:pPr>
            <w:r/>
            <w:r>
              <w:rPr>
                <w:rFonts w:ascii="Times New Roman" w:hAnsi="Times New Roman" w:eastAsia="宋体"/>
                <w:b w:val="0"/>
                <w:sz w:val="17"/>
              </w:rPr>
              <w:t>ROME+PACE-Edit</w:t>
            </w:r>
          </w:p>
        </w:tc>
        <w:tc>
          <w:tcPr>
            <w:tcW w:type="dxa" w:w="1455"/>
            <w:vAlign w:val="center"/>
          </w:tcPr>
          <w:p>
            <w:pPr>
              <w:spacing w:line="276" w:lineRule="auto"/>
              <w:jc w:val="center"/>
            </w:pPr>
            <w:r/>
            <w:r>
              <w:rPr>
                <w:rFonts w:ascii="Times New Roman" w:hAnsi="Times New Roman" w:eastAsia="宋体"/>
                <w:b w:val="0"/>
                <w:sz w:val="17"/>
              </w:rPr>
              <w:t>0.0015</w:t>
            </w:r>
          </w:p>
        </w:tc>
        <w:tc>
          <w:tcPr>
            <w:tcW w:type="dxa" w:w="1455"/>
            <w:vAlign w:val="center"/>
          </w:tcPr>
          <w:p>
            <w:pPr>
              <w:spacing w:line="276" w:lineRule="auto"/>
              <w:jc w:val="center"/>
            </w:pPr>
            <w:r/>
            <w:r>
              <w:rPr>
                <w:rFonts w:ascii="Times New Roman" w:hAnsi="Times New Roman" w:eastAsia="宋体"/>
                <w:b w:val="0"/>
                <w:sz w:val="17"/>
              </w:rPr>
              <w:t>0.0000</w:t>
            </w:r>
          </w:p>
        </w:tc>
        <w:tc>
          <w:tcPr>
            <w:tcW w:type="dxa" w:w="1455"/>
            <w:vAlign w:val="center"/>
          </w:tcPr>
          <w:p>
            <w:pPr>
              <w:spacing w:line="276" w:lineRule="auto"/>
              <w:jc w:val="center"/>
            </w:pPr>
            <w:r/>
            <w:r>
              <w:rPr>
                <w:rFonts w:ascii="Times New Roman" w:hAnsi="Times New Roman" w:eastAsia="宋体"/>
                <w:b w:val="0"/>
                <w:sz w:val="17"/>
              </w:rPr>
              <w:t>1/216</w:t>
            </w:r>
          </w:p>
        </w:tc>
        <w:tc>
          <w:tcPr>
            <w:tcW w:type="dxa" w:w="1455"/>
            <w:vAlign w:val="center"/>
          </w:tcPr>
          <w:p>
            <w:pPr>
              <w:spacing w:line="276" w:lineRule="auto"/>
              <w:jc w:val="center"/>
            </w:pPr>
            <w:r/>
            <w:r>
              <w:rPr>
                <w:rFonts w:ascii="Times New Roman" w:hAnsi="Times New Roman" w:eastAsia="宋体"/>
                <w:b w:val="0"/>
                <w:sz w:val="17"/>
              </w:rPr>
              <w:t>wrapper塌缩</w:t>
            </w:r>
          </w:p>
        </w:tc>
      </w:tr>
      <w:tr>
        <w:tc>
          <w:tcPr>
            <w:tcW w:type="dxa" w:w="1455"/>
            <w:vAlign w:val="center"/>
          </w:tcPr>
          <w:p>
            <w:pPr>
              <w:spacing w:line="276" w:lineRule="auto"/>
              <w:jc w:val="center"/>
            </w:pPr>
            <w:r/>
            <w:r>
              <w:rPr>
                <w:rFonts w:ascii="Times New Roman" w:hAnsi="Times New Roman" w:eastAsia="宋体"/>
                <w:b w:val="0"/>
                <w:sz w:val="17"/>
              </w:rPr>
              <w:t>zsRE</w:t>
            </w:r>
          </w:p>
        </w:tc>
        <w:tc>
          <w:tcPr>
            <w:tcW w:type="dxa" w:w="1455"/>
            <w:vAlign w:val="center"/>
          </w:tcPr>
          <w:p>
            <w:pPr>
              <w:spacing w:line="276" w:lineRule="auto"/>
              <w:jc w:val="center"/>
            </w:pPr>
            <w:r/>
            <w:r>
              <w:rPr>
                <w:rFonts w:ascii="Times New Roman" w:hAnsi="Times New Roman" w:eastAsia="宋体"/>
                <w:b w:val="0"/>
                <w:sz w:val="17"/>
              </w:rPr>
              <w:t>ROME+CAPE-Edit</w:t>
            </w:r>
          </w:p>
        </w:tc>
        <w:tc>
          <w:tcPr>
            <w:tcW w:type="dxa" w:w="1455"/>
            <w:vAlign w:val="center"/>
          </w:tcPr>
          <w:p>
            <w:pPr>
              <w:spacing w:line="276" w:lineRule="auto"/>
              <w:jc w:val="center"/>
            </w:pPr>
            <w:r/>
            <w:r>
              <w:rPr>
                <w:rFonts w:ascii="Times New Roman" w:hAnsi="Times New Roman" w:eastAsia="宋体"/>
                <w:b w:val="0"/>
                <w:sz w:val="17"/>
              </w:rPr>
              <w:t>0.0015</w:t>
            </w:r>
          </w:p>
        </w:tc>
        <w:tc>
          <w:tcPr>
            <w:tcW w:type="dxa" w:w="1455"/>
            <w:vAlign w:val="center"/>
          </w:tcPr>
          <w:p>
            <w:pPr>
              <w:spacing w:line="276" w:lineRule="auto"/>
              <w:jc w:val="center"/>
            </w:pPr>
            <w:r/>
            <w:r>
              <w:rPr>
                <w:rFonts w:ascii="Times New Roman" w:hAnsi="Times New Roman" w:eastAsia="宋体"/>
                <w:b w:val="0"/>
                <w:sz w:val="17"/>
              </w:rPr>
              <w:t>0.0000</w:t>
            </w:r>
          </w:p>
        </w:tc>
        <w:tc>
          <w:tcPr>
            <w:tcW w:type="dxa" w:w="1455"/>
            <w:vAlign w:val="center"/>
          </w:tcPr>
          <w:p>
            <w:pPr>
              <w:spacing w:line="276" w:lineRule="auto"/>
              <w:jc w:val="center"/>
            </w:pPr>
            <w:r/>
            <w:r>
              <w:rPr>
                <w:rFonts w:ascii="Times New Roman" w:hAnsi="Times New Roman" w:eastAsia="宋体"/>
                <w:b w:val="0"/>
                <w:sz w:val="17"/>
              </w:rPr>
              <w:t>1/216</w:t>
            </w:r>
          </w:p>
        </w:tc>
        <w:tc>
          <w:tcPr>
            <w:tcW w:type="dxa" w:w="1455"/>
            <w:vAlign w:val="center"/>
          </w:tcPr>
          <w:p>
            <w:pPr>
              <w:spacing w:line="276" w:lineRule="auto"/>
              <w:jc w:val="center"/>
            </w:pPr>
            <w:r/>
            <w:r>
              <w:rPr>
                <w:rFonts w:ascii="Times New Roman" w:hAnsi="Times New Roman" w:eastAsia="宋体"/>
                <w:b w:val="0"/>
                <w:sz w:val="17"/>
              </w:rPr>
              <w:t>wrapper塌缩</w:t>
            </w:r>
          </w:p>
        </w:tc>
      </w:tr>
    </w:tbl>
    <w:p/>
    <w:p>
      <w:pPr>
        <w:spacing w:line="360" w:lineRule="auto" w:before="0" w:after="0"/>
        <w:ind w:firstLine="480"/>
      </w:pPr>
      <w:r>
        <w:rPr>
          <w:rFonts w:ascii="Times New Roman" w:hAnsi="Times New Roman" w:eastAsia="宋体"/>
          <w:b w:val="0"/>
          <w:sz w:val="24"/>
        </w:rPr>
        <w:t>per-case 审计进一步排除了路径混用和汇总脚本误读的可能：CounterFact wrapper 的 rewrite 成功数为 0/220，zsRE wrapper 仅为 1/216，而同一模型上的 ROME/FT baseline 正常。该结果说明，闭环请求扩展策略的跨模型迁移依赖底层编辑器超参数、请求集合规模与局部性约束，后续需要模型特定校准或 retain-aware objective。</w:t>
      </w:r>
    </w:p>
    <w:p>
      <w:pPr>
        <w:spacing w:line="360" w:lineRule="auto" w:before="0" w:after="0"/>
        <w:jc w:val="center"/>
      </w:pPr>
      <w:r>
        <w:rPr>
          <w:rFonts w:ascii="Times New Roman" w:hAnsi="Times New Roman" w:eastAsia="宋体"/>
          <w:b w:val="0"/>
          <w:sz w:val="21"/>
        </w:rPr>
        <w:t>图 6  GPT-J wrapper collapse 边界验证图</w:t>
      </w:r>
    </w:p>
    <w:p>
      <w:pPr>
        <w:jc w:val="center"/>
      </w:pPr>
      <w:r>
        <w:drawing>
          <wp:inline xmlns:a="http://schemas.openxmlformats.org/drawingml/2006/main" xmlns:pic="http://schemas.openxmlformats.org/drawingml/2006/picture">
            <wp:extent cx="5040000" cy="3415082"/>
            <wp:docPr id="6" name="Picture 6"/>
            <wp:cNvGraphicFramePr>
              <a:graphicFrameLocks noChangeAspect="1"/>
            </wp:cNvGraphicFramePr>
            <a:graphic>
              <a:graphicData uri="http://schemas.openxmlformats.org/drawingml/2006/picture">
                <pic:pic>
                  <pic:nvPicPr>
                    <pic:cNvPr id="0" name="fig6_gptj_wrapper_boundary_check.png"/>
                    <pic:cNvPicPr/>
                  </pic:nvPicPr>
                  <pic:blipFill>
                    <a:blip r:embed="rId22"/>
                    <a:stretch>
                      <a:fillRect/>
                    </a:stretch>
                  </pic:blipFill>
                  <pic:spPr>
                    <a:xfrm>
                      <a:off x="0" y="0"/>
                      <a:ext cx="5040000" cy="3415082"/>
                    </a:xfrm>
                    <a:prstGeom prst="rect"/>
                  </pic:spPr>
                </pic:pic>
              </a:graphicData>
            </a:graphic>
          </wp:inline>
        </w:drawing>
      </w:r>
    </w:p>
    <w:p>
      <w:pPr>
        <w:spacing w:line="360" w:lineRule="auto" w:before="0" w:after="0"/>
        <w:jc w:val="center"/>
      </w:pPr>
      <w:r>
        <w:rPr>
          <w:rFonts w:ascii="Times New Roman" w:hAnsi="Times New Roman" w:eastAsia="宋体"/>
          <w:b w:val="0"/>
          <w:sz w:val="21"/>
        </w:rPr>
        <w:t>图 6 展示的不是负面异常，而是方法边界。它说明 GPT-J 模型本身和 ROME/FT baseline 并未损坏，问题集中在未调参 wrapper 与 GPT-J 编辑超参数的耦合上。因此，GPT-J 结果应写作边界证据，而不应否定 Qwen synthetic privacy 主实验。</w:t>
      </w:r>
    </w:p>
    <w:p>
      <w:pPr>
        <w:pStyle w:val="Heading2"/>
        <w:spacing w:before="200" w:after="120"/>
      </w:pPr>
      <w:r>
        <w:rPr>
          <w:rFonts w:ascii="Times New Roman" w:hAnsi="Times New Roman" w:eastAsia="黑体"/>
          <w:b/>
          <w:sz w:val="28"/>
        </w:rPr>
        <w:t>4.10  失败项与资源限制分析</w:t>
      </w:r>
    </w:p>
    <w:p>
      <w:pPr>
        <w:spacing w:line="360" w:lineRule="auto" w:before="0" w:after="0"/>
        <w:jc w:val="center"/>
      </w:pPr>
      <w:r>
        <w:rPr>
          <w:rFonts w:ascii="Times New Roman" w:hAnsi="Times New Roman" w:eastAsia="宋体"/>
          <w:b w:val="0"/>
          <w:sz w:val="21"/>
        </w:rPr>
        <w:t>表 7 汇总资源限制和方法边界项。KN 在部分设置中受到 48GB 显存限制，IKE 依赖句向量模型但当前环境缺少对应本地依赖；GPT-J wrapper 虽然运行完成，但作为边界结果而非正向有效结果处理。这些条目不应被隐藏，也不应被当作有效 0 值。</w:t>
      </w:r>
    </w:p>
    <w:p>
      <w:pPr>
        <w:spacing w:line="360" w:lineRule="auto" w:before="0" w:after="0"/>
        <w:jc w:val="center"/>
      </w:pPr>
      <w:r>
        <w:rPr>
          <w:rFonts w:ascii="Times New Roman" w:hAnsi="Times New Roman" w:eastAsia="宋体"/>
          <w:b w:val="0"/>
          <w:sz w:val="21"/>
        </w:rPr>
        <w:t>表 7  失败项与资源限制分析</w:t>
      </w:r>
    </w:p>
    <w:tbl>
      <w:tblPr>
        <w:tblStyle w:val="TableGrid"/>
        <w:tblW w:type="auto" w:w="0"/>
        <w:jc w:val="center"/>
        <w:tblLayout w:type="autofit"/>
        <w:tblLook w:firstColumn="1" w:firstRow="1" w:lastColumn="0" w:lastRow="0" w:noHBand="0" w:noVBand="1" w:val="04A0"/>
      </w:tblPr>
      <w:tblGrid>
        <w:gridCol w:w="1746"/>
        <w:gridCol w:w="1746"/>
        <w:gridCol w:w="1746"/>
        <w:gridCol w:w="1746"/>
        <w:gridCol w:w="1746"/>
      </w:tblGrid>
      <w:tr>
        <w:tc>
          <w:tcPr>
            <w:tcW w:type="dxa" w:w="1746"/>
            <w:vAlign w:val="center"/>
            <w:shd w:fill="E8EEF5"/>
          </w:tcPr>
          <w:p>
            <w:pPr>
              <w:spacing w:line="276" w:lineRule="auto"/>
              <w:jc w:val="center"/>
            </w:pPr>
            <w:r/>
            <w:r>
              <w:rPr>
                <w:rFonts w:ascii="Times New Roman" w:hAnsi="Times New Roman" w:eastAsia="宋体"/>
                <w:b/>
                <w:sz w:val="17"/>
              </w:rPr>
              <w:t>范围</w:t>
            </w:r>
          </w:p>
        </w:tc>
        <w:tc>
          <w:tcPr>
            <w:tcW w:type="dxa" w:w="1746"/>
            <w:vAlign w:val="center"/>
            <w:shd w:fill="E8EEF5"/>
          </w:tcPr>
          <w:p>
            <w:pPr>
              <w:spacing w:line="276" w:lineRule="auto"/>
              <w:jc w:val="center"/>
            </w:pPr>
            <w:r/>
            <w:r>
              <w:rPr>
                <w:rFonts w:ascii="Times New Roman" w:hAnsi="Times New Roman" w:eastAsia="宋体"/>
                <w:b/>
                <w:sz w:val="17"/>
              </w:rPr>
              <w:t>对象</w:t>
            </w:r>
          </w:p>
        </w:tc>
        <w:tc>
          <w:tcPr>
            <w:tcW w:type="dxa" w:w="1746"/>
            <w:vAlign w:val="center"/>
            <w:shd w:fill="E8EEF5"/>
          </w:tcPr>
          <w:p>
            <w:pPr>
              <w:spacing w:line="276" w:lineRule="auto"/>
              <w:jc w:val="center"/>
            </w:pPr>
            <w:r/>
            <w:r>
              <w:rPr>
                <w:rFonts w:ascii="Times New Roman" w:hAnsi="Times New Roman" w:eastAsia="宋体"/>
                <w:b/>
                <w:sz w:val="17"/>
              </w:rPr>
              <w:t>状态</w:t>
            </w:r>
          </w:p>
        </w:tc>
        <w:tc>
          <w:tcPr>
            <w:tcW w:type="dxa" w:w="1746"/>
            <w:vAlign w:val="center"/>
            <w:shd w:fill="E8EEF5"/>
          </w:tcPr>
          <w:p>
            <w:pPr>
              <w:spacing w:line="276" w:lineRule="auto"/>
              <w:jc w:val="center"/>
            </w:pPr>
            <w:r/>
            <w:r>
              <w:rPr>
                <w:rFonts w:ascii="Times New Roman" w:hAnsi="Times New Roman" w:eastAsia="宋体"/>
                <w:b/>
                <w:sz w:val="17"/>
              </w:rPr>
              <w:t>原因</w:t>
            </w:r>
          </w:p>
        </w:tc>
        <w:tc>
          <w:tcPr>
            <w:tcW w:type="dxa" w:w="1746"/>
            <w:vAlign w:val="center"/>
            <w:shd w:fill="E8EEF5"/>
          </w:tcPr>
          <w:p>
            <w:pPr>
              <w:spacing w:line="276" w:lineRule="auto"/>
              <w:jc w:val="center"/>
            </w:pPr>
            <w:r/>
            <w:r>
              <w:rPr>
                <w:rFonts w:ascii="Times New Roman" w:hAnsi="Times New Roman" w:eastAsia="宋体"/>
                <w:b/>
                <w:sz w:val="17"/>
              </w:rPr>
              <w:t>论文处理</w:t>
            </w:r>
          </w:p>
        </w:tc>
      </w:tr>
      <w:tr>
        <w:tc>
          <w:tcPr>
            <w:tcW w:type="dxa" w:w="1746"/>
            <w:vAlign w:val="center"/>
          </w:tcPr>
          <w:p>
            <w:pPr>
              <w:spacing w:line="276" w:lineRule="auto"/>
              <w:jc w:val="left"/>
            </w:pPr>
            <w:r/>
            <w:r>
              <w:rPr>
                <w:rFonts w:ascii="Times New Roman" w:hAnsi="Times New Roman" w:eastAsia="宋体"/>
                <w:b w:val="0"/>
                <w:sz w:val="17"/>
              </w:rPr>
              <w:t>Qwen synthetic privacy</w:t>
            </w:r>
          </w:p>
        </w:tc>
        <w:tc>
          <w:tcPr>
            <w:tcW w:type="dxa" w:w="1746"/>
            <w:vAlign w:val="center"/>
          </w:tcPr>
          <w:p>
            <w:pPr>
              <w:spacing w:line="276" w:lineRule="auto"/>
              <w:jc w:val="center"/>
            </w:pPr>
            <w:r/>
            <w:r>
              <w:rPr>
                <w:rFonts w:ascii="Times New Roman" w:hAnsi="Times New Roman" w:eastAsia="宋体"/>
                <w:b w:val="0"/>
                <w:sz w:val="17"/>
              </w:rPr>
              <w:t>KN</w:t>
            </w:r>
          </w:p>
        </w:tc>
        <w:tc>
          <w:tcPr>
            <w:tcW w:type="dxa" w:w="1746"/>
            <w:vAlign w:val="center"/>
          </w:tcPr>
          <w:p>
            <w:pPr>
              <w:spacing w:line="276" w:lineRule="auto"/>
              <w:jc w:val="center"/>
            </w:pPr>
            <w:r/>
            <w:r>
              <w:rPr>
                <w:rFonts w:ascii="Times New Roman" w:hAnsi="Times New Roman" w:eastAsia="宋体"/>
                <w:b w:val="0"/>
                <w:sz w:val="17"/>
              </w:rPr>
              <w:t>failed</w:t>
            </w:r>
          </w:p>
        </w:tc>
        <w:tc>
          <w:tcPr>
            <w:tcW w:type="dxa" w:w="1746"/>
            <w:vAlign w:val="center"/>
          </w:tcPr>
          <w:p>
            <w:pPr>
              <w:spacing w:line="276" w:lineRule="auto"/>
              <w:jc w:val="left"/>
            </w:pPr>
            <w:r/>
            <w:r>
              <w:rPr>
                <w:rFonts w:ascii="Times New Roman" w:hAnsi="Times New Roman" w:eastAsia="宋体"/>
                <w:b w:val="0"/>
                <w:sz w:val="17"/>
              </w:rPr>
              <w:t>OOM on 48GB GPU</w:t>
            </w:r>
          </w:p>
        </w:tc>
        <w:tc>
          <w:tcPr>
            <w:tcW w:type="dxa" w:w="1746"/>
            <w:vAlign w:val="center"/>
          </w:tcPr>
          <w:p>
            <w:pPr>
              <w:spacing w:line="276" w:lineRule="auto"/>
              <w:jc w:val="left"/>
            </w:pPr>
            <w:r/>
            <w:r>
              <w:rPr>
                <w:rFonts w:ascii="Times New Roman" w:hAnsi="Times New Roman" w:eastAsia="宋体"/>
                <w:b w:val="0"/>
                <w:sz w:val="17"/>
              </w:rPr>
              <w:t>record and do not rerun</w:t>
            </w:r>
          </w:p>
        </w:tc>
      </w:tr>
      <w:tr>
        <w:tc>
          <w:tcPr>
            <w:tcW w:type="dxa" w:w="1746"/>
            <w:vAlign w:val="center"/>
          </w:tcPr>
          <w:p>
            <w:pPr>
              <w:spacing w:line="276" w:lineRule="auto"/>
              <w:jc w:val="left"/>
            </w:pPr>
            <w:r/>
            <w:r>
              <w:rPr>
                <w:rFonts w:ascii="Times New Roman" w:hAnsi="Times New Roman" w:eastAsia="宋体"/>
                <w:b w:val="0"/>
                <w:sz w:val="17"/>
              </w:rPr>
              <w:t>Qwen synthetic privacy</w:t>
            </w:r>
          </w:p>
        </w:tc>
        <w:tc>
          <w:tcPr>
            <w:tcW w:type="dxa" w:w="1746"/>
            <w:vAlign w:val="center"/>
          </w:tcPr>
          <w:p>
            <w:pPr>
              <w:spacing w:line="276" w:lineRule="auto"/>
              <w:jc w:val="center"/>
            </w:pPr>
            <w:r/>
            <w:r>
              <w:rPr>
                <w:rFonts w:ascii="Times New Roman" w:hAnsi="Times New Roman" w:eastAsia="宋体"/>
                <w:b w:val="0"/>
                <w:sz w:val="17"/>
              </w:rPr>
              <w:t>IKE</w:t>
            </w:r>
          </w:p>
        </w:tc>
        <w:tc>
          <w:tcPr>
            <w:tcW w:type="dxa" w:w="1746"/>
            <w:vAlign w:val="center"/>
          </w:tcPr>
          <w:p>
            <w:pPr>
              <w:spacing w:line="276" w:lineRule="auto"/>
              <w:jc w:val="center"/>
            </w:pPr>
            <w:r/>
            <w:r>
              <w:rPr>
                <w:rFonts w:ascii="Times New Roman" w:hAnsi="Times New Roman" w:eastAsia="宋体"/>
                <w:b w:val="0"/>
                <w:sz w:val="17"/>
              </w:rPr>
              <w:t>failed</w:t>
            </w:r>
          </w:p>
        </w:tc>
        <w:tc>
          <w:tcPr>
            <w:tcW w:type="dxa" w:w="1746"/>
            <w:vAlign w:val="center"/>
          </w:tcPr>
          <w:p>
            <w:pPr>
              <w:spacing w:line="276" w:lineRule="auto"/>
              <w:jc w:val="left"/>
            </w:pPr>
            <w:r/>
            <w:r>
              <w:rPr>
                <w:rFonts w:ascii="Times New Roman" w:hAnsi="Times New Roman" w:eastAsia="宋体"/>
                <w:b w:val="0"/>
                <w:sz w:val="17"/>
              </w:rPr>
              <w:t>missing SentenceTransformer dependency</w:t>
            </w:r>
          </w:p>
        </w:tc>
        <w:tc>
          <w:tcPr>
            <w:tcW w:type="dxa" w:w="1746"/>
            <w:vAlign w:val="center"/>
          </w:tcPr>
          <w:p>
            <w:pPr>
              <w:spacing w:line="276" w:lineRule="auto"/>
              <w:jc w:val="left"/>
            </w:pPr>
            <w:r/>
            <w:r>
              <w:rPr>
                <w:rFonts w:ascii="Times New Roman" w:hAnsi="Times New Roman" w:eastAsia="宋体"/>
                <w:b w:val="0"/>
                <w:sz w:val="17"/>
              </w:rPr>
              <w:t>record and do not rerun</w:t>
            </w:r>
          </w:p>
        </w:tc>
      </w:tr>
      <w:tr>
        <w:tc>
          <w:tcPr>
            <w:tcW w:type="dxa" w:w="1746"/>
            <w:vAlign w:val="center"/>
          </w:tcPr>
          <w:p>
            <w:pPr>
              <w:spacing w:line="276" w:lineRule="auto"/>
              <w:jc w:val="left"/>
            </w:pPr>
            <w:r/>
            <w:r>
              <w:rPr>
                <w:rFonts w:ascii="Times New Roman" w:hAnsi="Times New Roman" w:eastAsia="宋体"/>
                <w:b w:val="0"/>
                <w:sz w:val="17"/>
              </w:rPr>
              <w:t>Qwen public counterfact</w:t>
            </w:r>
          </w:p>
        </w:tc>
        <w:tc>
          <w:tcPr>
            <w:tcW w:type="dxa" w:w="1746"/>
            <w:vAlign w:val="center"/>
          </w:tcPr>
          <w:p>
            <w:pPr>
              <w:spacing w:line="276" w:lineRule="auto"/>
              <w:jc w:val="center"/>
            </w:pPr>
            <w:r/>
            <w:r>
              <w:rPr>
                <w:rFonts w:ascii="Times New Roman" w:hAnsi="Times New Roman" w:eastAsia="宋体"/>
                <w:b w:val="0"/>
                <w:sz w:val="17"/>
              </w:rPr>
              <w:t>IKE</w:t>
            </w:r>
          </w:p>
        </w:tc>
        <w:tc>
          <w:tcPr>
            <w:tcW w:type="dxa" w:w="1746"/>
            <w:vAlign w:val="center"/>
          </w:tcPr>
          <w:p>
            <w:pPr>
              <w:spacing w:line="276" w:lineRule="auto"/>
              <w:jc w:val="center"/>
            </w:pPr>
            <w:r/>
            <w:r>
              <w:rPr>
                <w:rFonts w:ascii="Times New Roman" w:hAnsi="Times New Roman" w:eastAsia="宋体"/>
                <w:b w:val="0"/>
                <w:sz w:val="17"/>
              </w:rPr>
              <w:t>failed</w:t>
            </w:r>
          </w:p>
        </w:tc>
        <w:tc>
          <w:tcPr>
            <w:tcW w:type="dxa" w:w="1746"/>
            <w:vAlign w:val="center"/>
          </w:tcPr>
          <w:p>
            <w:pPr>
              <w:spacing w:line="276" w:lineRule="auto"/>
              <w:jc w:val="left"/>
            </w:pPr>
            <w:r/>
            <w:r>
              <w:rPr>
                <w:rFonts w:ascii="Times New Roman" w:hAnsi="Times New Roman" w:eastAsia="宋体"/>
                <w:b w:val="0"/>
                <w:sz w:val="17"/>
              </w:rPr>
              <w:t>missing SentenceTransformer dependency</w:t>
            </w:r>
          </w:p>
        </w:tc>
        <w:tc>
          <w:tcPr>
            <w:tcW w:type="dxa" w:w="1746"/>
            <w:vAlign w:val="center"/>
          </w:tcPr>
          <w:p>
            <w:pPr>
              <w:spacing w:line="276" w:lineRule="auto"/>
              <w:jc w:val="left"/>
            </w:pPr>
            <w:r/>
            <w:r>
              <w:rPr>
                <w:rFonts w:ascii="Times New Roman" w:hAnsi="Times New Roman" w:eastAsia="宋体"/>
                <w:b w:val="0"/>
                <w:sz w:val="17"/>
              </w:rPr>
              <w:t>record as resource/dependency limit</w:t>
            </w:r>
          </w:p>
        </w:tc>
      </w:tr>
      <w:tr>
        <w:tc>
          <w:tcPr>
            <w:tcW w:type="dxa" w:w="1746"/>
            <w:vAlign w:val="center"/>
          </w:tcPr>
          <w:p>
            <w:pPr>
              <w:spacing w:line="276" w:lineRule="auto"/>
              <w:jc w:val="left"/>
            </w:pPr>
            <w:r/>
            <w:r>
              <w:rPr>
                <w:rFonts w:ascii="Times New Roman" w:hAnsi="Times New Roman" w:eastAsia="宋体"/>
                <w:b w:val="0"/>
                <w:sz w:val="17"/>
              </w:rPr>
              <w:t>Qwen public zsre</w:t>
            </w:r>
          </w:p>
        </w:tc>
        <w:tc>
          <w:tcPr>
            <w:tcW w:type="dxa" w:w="1746"/>
            <w:vAlign w:val="center"/>
          </w:tcPr>
          <w:p>
            <w:pPr>
              <w:spacing w:line="276" w:lineRule="auto"/>
              <w:jc w:val="center"/>
            </w:pPr>
            <w:r/>
            <w:r>
              <w:rPr>
                <w:rFonts w:ascii="Times New Roman" w:hAnsi="Times New Roman" w:eastAsia="宋体"/>
                <w:b w:val="0"/>
                <w:sz w:val="17"/>
              </w:rPr>
              <w:t>KN</w:t>
            </w:r>
          </w:p>
        </w:tc>
        <w:tc>
          <w:tcPr>
            <w:tcW w:type="dxa" w:w="1746"/>
            <w:vAlign w:val="center"/>
          </w:tcPr>
          <w:p>
            <w:pPr>
              <w:spacing w:line="276" w:lineRule="auto"/>
              <w:jc w:val="center"/>
            </w:pPr>
            <w:r/>
            <w:r>
              <w:rPr>
                <w:rFonts w:ascii="Times New Roman" w:hAnsi="Times New Roman" w:eastAsia="宋体"/>
                <w:b w:val="0"/>
                <w:sz w:val="17"/>
              </w:rPr>
              <w:t>failed</w:t>
            </w:r>
          </w:p>
        </w:tc>
        <w:tc>
          <w:tcPr>
            <w:tcW w:type="dxa" w:w="1746"/>
            <w:vAlign w:val="center"/>
          </w:tcPr>
          <w:p>
            <w:pPr>
              <w:spacing w:line="276" w:lineRule="auto"/>
              <w:jc w:val="left"/>
            </w:pPr>
            <w:r/>
            <w:r>
              <w:rPr>
                <w:rFonts w:ascii="Times New Roman" w:hAnsi="Times New Roman" w:eastAsia="宋体"/>
                <w:b w:val="0"/>
                <w:sz w:val="17"/>
              </w:rPr>
              <w:t>OOM on 48GB GPU</w:t>
            </w:r>
          </w:p>
        </w:tc>
        <w:tc>
          <w:tcPr>
            <w:tcW w:type="dxa" w:w="1746"/>
            <w:vAlign w:val="center"/>
          </w:tcPr>
          <w:p>
            <w:pPr>
              <w:spacing w:line="276" w:lineRule="auto"/>
              <w:jc w:val="left"/>
            </w:pPr>
            <w:r/>
            <w:r>
              <w:rPr>
                <w:rFonts w:ascii="Times New Roman" w:hAnsi="Times New Roman" w:eastAsia="宋体"/>
                <w:b w:val="0"/>
                <w:sz w:val="17"/>
              </w:rPr>
              <w:t>record as resource/dependency limit</w:t>
            </w:r>
          </w:p>
        </w:tc>
      </w:tr>
      <w:tr>
        <w:tc>
          <w:tcPr>
            <w:tcW w:type="dxa" w:w="1746"/>
            <w:vAlign w:val="center"/>
          </w:tcPr>
          <w:p>
            <w:pPr>
              <w:spacing w:line="276" w:lineRule="auto"/>
              <w:jc w:val="left"/>
            </w:pPr>
            <w:r/>
            <w:r>
              <w:rPr>
                <w:rFonts w:ascii="Times New Roman" w:hAnsi="Times New Roman" w:eastAsia="宋体"/>
                <w:b w:val="0"/>
                <w:sz w:val="17"/>
              </w:rPr>
              <w:t>GPT-J public wrapper</w:t>
            </w:r>
          </w:p>
        </w:tc>
        <w:tc>
          <w:tcPr>
            <w:tcW w:type="dxa" w:w="1746"/>
            <w:vAlign w:val="center"/>
          </w:tcPr>
          <w:p>
            <w:pPr>
              <w:spacing w:line="276" w:lineRule="auto"/>
              <w:jc w:val="left"/>
            </w:pPr>
            <w:r/>
            <w:r>
              <w:rPr>
                <w:rFonts w:ascii="Times New Roman" w:hAnsi="Times New Roman" w:eastAsia="宋体"/>
                <w:b w:val="0"/>
                <w:sz w:val="17"/>
              </w:rPr>
              <w:t>ROME_PACE_EDIT / ROME_CAPE_EDIT</w:t>
            </w:r>
          </w:p>
        </w:tc>
        <w:tc>
          <w:tcPr>
            <w:tcW w:type="dxa" w:w="1746"/>
            <w:vAlign w:val="center"/>
          </w:tcPr>
          <w:p>
            <w:pPr>
              <w:spacing w:line="276" w:lineRule="auto"/>
              <w:jc w:val="left"/>
            </w:pPr>
            <w:r/>
            <w:r>
              <w:rPr>
                <w:rFonts w:ascii="Times New Roman" w:hAnsi="Times New Roman" w:eastAsia="宋体"/>
                <w:b w:val="0"/>
                <w:sz w:val="17"/>
              </w:rPr>
              <w:t>ok run, negative result</w:t>
            </w:r>
          </w:p>
        </w:tc>
        <w:tc>
          <w:tcPr>
            <w:tcW w:type="dxa" w:w="1746"/>
            <w:vAlign w:val="center"/>
          </w:tcPr>
          <w:p>
            <w:pPr>
              <w:spacing w:line="276" w:lineRule="auto"/>
              <w:jc w:val="left"/>
            </w:pPr>
            <w:r/>
            <w:r>
              <w:rPr>
                <w:rFonts w:ascii="Times New Roman" w:hAnsi="Times New Roman" w:eastAsia="宋体"/>
                <w:b w:val="0"/>
                <w:sz w:val="17"/>
              </w:rPr>
              <w:t>per-case audit confirms wrapper collapse, not path mixup</w:t>
            </w:r>
          </w:p>
        </w:tc>
        <w:tc>
          <w:tcPr>
            <w:tcW w:type="dxa" w:w="1746"/>
            <w:vAlign w:val="center"/>
          </w:tcPr>
          <w:p>
            <w:pPr>
              <w:spacing w:line="276" w:lineRule="auto"/>
              <w:jc w:val="left"/>
            </w:pPr>
            <w:r/>
            <w:r>
              <w:rPr>
                <w:rFonts w:ascii="Times New Roman" w:hAnsi="Times New Roman" w:eastAsia="宋体"/>
                <w:b w:val="0"/>
                <w:sz w:val="17"/>
              </w:rPr>
              <w:t>boundary analysis, no GPU rerun</w:t>
            </w:r>
          </w:p>
        </w:tc>
      </w:tr>
    </w:tbl>
    <w:p/>
    <w:p>
      <w:pPr>
        <w:spacing w:line="360" w:lineRule="auto" w:before="0" w:after="0"/>
        <w:jc w:val="center"/>
      </w:pPr>
      <w:r>
        <w:rPr>
          <w:rFonts w:ascii="Times New Roman" w:hAnsi="Times New Roman" w:eastAsia="宋体"/>
          <w:b w:val="0"/>
          <w:sz w:val="21"/>
        </w:rPr>
        <w:t>表 7 的作用是明确实验矩阵中哪些结果可比较、哪些结果只能作为资源或迁移边界。对于课程论文而言，如实报告失败项比强行补齐不可承受的矩阵更可靠，也能避免把资源受限误解释为算法优劣。</w:t>
      </w:r>
    </w:p>
    <w:p>
      <w:pPr>
        <w:pStyle w:val="Heading2"/>
        <w:spacing w:before="200" w:after="120"/>
      </w:pPr>
      <w:r>
        <w:rPr>
          <w:rFonts w:ascii="Times New Roman" w:hAnsi="Times New Roman" w:eastAsia="黑体"/>
          <w:b/>
          <w:sz w:val="28"/>
        </w:rPr>
        <w:t>4.11  典型案例分析</w:t>
      </w:r>
    </w:p>
    <w:p>
      <w:pPr>
        <w:spacing w:line="360" w:lineRule="auto" w:before="0" w:after="0"/>
        <w:ind w:firstLine="480"/>
      </w:pPr>
      <w:r>
        <w:rPr>
          <w:rFonts w:ascii="Times New Roman" w:hAnsi="Times New Roman" w:eastAsia="宋体"/>
          <w:b w:val="0"/>
          <w:sz w:val="24"/>
        </w:rPr>
        <w:t>以合成电话号码查询为例，编辑前模型会在直接询问和补全诱导中输出目标号码；ROME 后目标号码出现频率下降，但部分改写提示仍可能触发泄露；PACE/CAPE 进一步压低这类残余泄露，但公开问题可能被一起拒答。该案例解释了为什么 residual leakage mining 对隐私压制有帮助，也解释了为什么必须同时观察 public retain。</w:t>
      </w:r>
    </w:p>
    <w:p>
      <w:pPr>
        <w:spacing w:line="360" w:lineRule="auto" w:before="0" w:after="0"/>
        <w:ind w:firstLine="480"/>
      </w:pPr>
      <w:r>
        <w:rPr>
          <w:rFonts w:ascii="Times New Roman" w:hAnsi="Times New Roman" w:eastAsia="宋体"/>
          <w:b w:val="0"/>
          <w:sz w:val="24"/>
        </w:rPr>
        <w:t>另一个典型现象来自公开锚点。CAPE-Anchor 在二轮请求中加入公开事实后，模型更可能保留职业、学校等公开回答能力，但隐私查询上的压制强度会下降。这说明公开锚点不是简单提高所有指标，而是在目标冲突之间移动操作点。该现象与表 4 和图 4 的数值趋势一致。</w:t>
      </w:r>
    </w:p>
    <w:p>
      <w:pPr>
        <w:pStyle w:val="Heading2"/>
        <w:spacing w:before="200" w:after="120"/>
      </w:pPr>
      <w:r>
        <w:rPr>
          <w:rFonts w:ascii="Times New Roman" w:hAnsi="Times New Roman" w:eastAsia="黑体"/>
          <w:b/>
          <w:sz w:val="28"/>
        </w:rPr>
        <w:t>4.12  本章小结</w:t>
      </w:r>
    </w:p>
    <w:p>
      <w:pPr>
        <w:spacing w:line="360" w:lineRule="auto" w:before="0" w:after="0"/>
        <w:ind w:firstLine="480"/>
      </w:pPr>
      <w:r>
        <w:rPr>
          <w:rFonts w:ascii="Times New Roman" w:hAnsi="Times New Roman" w:eastAsia="宋体"/>
          <w:b w:val="0"/>
          <w:sz w:val="24"/>
        </w:rPr>
        <w:t>本章结果表明，隐私知识清洗不是单一目标优化问题。提示拒答不能改变内部隐私记忆；基础编辑器呈现不同隐私—效用端点；PACE/CAPE 提高隐私压制但带来过度拒答；CAPE-Anchor 通过公开知识锚点形成有限有效折中；Qwen public transfer 和 GPT-J boundary check 则共同说明 closed-loop wrapper 具有外部可运行性，但跨任务、跨模型迁移仍依赖具体配置。</w:t>
      </w:r>
    </w:p>
    <w:p>
      <w:pPr>
        <w:pStyle w:val="Heading1"/>
        <w:spacing w:before="240" w:after="240"/>
        <w:jc w:val="center"/>
      </w:pPr>
      <w:r>
        <w:rPr>
          <w:rFonts w:ascii="Times New Roman" w:hAnsi="Times New Roman" w:eastAsia="黑体"/>
          <w:b/>
          <w:sz w:val="32"/>
        </w:rPr>
        <w:t>5  系统设计与软件实现</w:t>
      </w:r>
    </w:p>
    <w:p>
      <w:pPr>
        <w:pStyle w:val="Heading2"/>
        <w:spacing w:before="200" w:after="120"/>
      </w:pPr>
      <w:r>
        <w:rPr>
          <w:rFonts w:ascii="Times New Roman" w:hAnsi="Times New Roman" w:eastAsia="黑体"/>
          <w:b/>
          <w:sz w:val="28"/>
        </w:rPr>
        <w:t>5.1  系统总体结构</w:t>
      </w:r>
    </w:p>
    <w:p>
      <w:pPr>
        <w:spacing w:line="360" w:lineRule="auto" w:before="0" w:after="0"/>
        <w:ind w:firstLine="480"/>
      </w:pPr>
      <w:r>
        <w:rPr>
          <w:rFonts w:ascii="Times New Roman" w:hAnsi="Times New Roman" w:eastAsia="宋体"/>
          <w:b w:val="0"/>
          <w:sz w:val="24"/>
        </w:rPr>
        <w:t>本文系统由数据构造、隐私注入、模型编辑、评估审计和结果归档五个模块组成。数据构造模块负责生成 synthetic privacy benchmark；隐私注入模块通过 LoRA 构造待编辑模型；模型编辑模块调用基础编辑器和 wrapper 层请求选择策略；评估审计模块统计 private/public 指标；结果归档模块将表格、图像和摘要文件组织为论文可复核材料。</w:t>
      </w:r>
    </w:p>
    <w:p>
      <w:pPr>
        <w:spacing w:line="360" w:lineRule="auto" w:before="0" w:after="0"/>
        <w:jc w:val="center"/>
      </w:pPr>
      <w:r>
        <w:rPr>
          <w:rFonts w:ascii="Times New Roman" w:hAnsi="Times New Roman" w:eastAsia="宋体"/>
          <w:b w:val="0"/>
          <w:sz w:val="21"/>
        </w:rPr>
        <w:t>图 7  系统模块与结果归档流程</w:t>
      </w:r>
    </w:p>
    <w:p>
      <w:pPr>
        <w:jc w:val="center"/>
      </w:pPr>
      <w:r>
        <w:drawing>
          <wp:inline xmlns:a="http://schemas.openxmlformats.org/drawingml/2006/main" xmlns:pic="http://schemas.openxmlformats.org/drawingml/2006/picture">
            <wp:extent cx="5040000" cy="1433993"/>
            <wp:docPr id="7" name="Picture 7"/>
            <wp:cNvGraphicFramePr>
              <a:graphicFrameLocks noChangeAspect="1"/>
            </wp:cNvGraphicFramePr>
            <a:graphic>
              <a:graphicData uri="http://schemas.openxmlformats.org/drawingml/2006/picture">
                <pic:pic>
                  <pic:nvPicPr>
                    <pic:cNvPr id="0" name="fig7_system_module_archive_flow.png"/>
                    <pic:cNvPicPr/>
                  </pic:nvPicPr>
                  <pic:blipFill>
                    <a:blip r:embed="rId23"/>
                    <a:stretch>
                      <a:fillRect/>
                    </a:stretch>
                  </pic:blipFill>
                  <pic:spPr>
                    <a:xfrm>
                      <a:off x="0" y="0"/>
                      <a:ext cx="5040000" cy="1433993"/>
                    </a:xfrm>
                    <a:prstGeom prst="rect"/>
                  </pic:spPr>
                </pic:pic>
              </a:graphicData>
            </a:graphic>
          </wp:inline>
        </w:drawing>
      </w:r>
    </w:p>
    <w:p>
      <w:pPr>
        <w:spacing w:line="360" w:lineRule="auto" w:before="0" w:after="0"/>
        <w:jc w:val="center"/>
      </w:pPr>
      <w:r>
        <w:rPr>
          <w:rFonts w:ascii="Times New Roman" w:hAnsi="Times New Roman" w:eastAsia="宋体"/>
          <w:b w:val="0"/>
          <w:sz w:val="21"/>
        </w:rPr>
        <w:t>图 7 展示了系统从数据到论文结果的闭环。该流程的关键不是堆叠工具，而是保证同一 case_id、请求集合、评估输出和结果表之间可以互相追溯，从而降低多轮实验中的状态漂移。</w:t>
      </w:r>
    </w:p>
    <w:p>
      <w:pPr>
        <w:pStyle w:val="Heading2"/>
        <w:spacing w:before="200" w:after="120"/>
      </w:pPr>
      <w:r>
        <w:rPr>
          <w:rFonts w:ascii="Times New Roman" w:hAnsi="Times New Roman" w:eastAsia="黑体"/>
          <w:b/>
          <w:sz w:val="28"/>
        </w:rPr>
        <w:t>5.2  数据构造与隐私注入模块</w:t>
      </w:r>
    </w:p>
    <w:p>
      <w:pPr>
        <w:spacing w:line="360" w:lineRule="auto" w:before="0" w:after="0"/>
        <w:ind w:firstLine="480"/>
      </w:pPr>
      <w:r>
        <w:rPr>
          <w:rFonts w:ascii="Times New Roman" w:hAnsi="Times New Roman" w:eastAsia="宋体"/>
          <w:b w:val="0"/>
          <w:sz w:val="24"/>
        </w:rPr>
        <w:t>数据构造模块以虚拟人物为基本单位，生成隐私事实、公开事实和多类型攻击提示。所有隐私值均为合成内容，避免真实个人信息进入论文材料。隐私注入模块使用 LoRA 将这些事实写入基础模型，并在合并后形成统一的待编辑模型。这样可以把“模型是否具有隐私记忆”和“编辑是否压制隐私记忆”两个问题分开讨论。</w:t>
      </w:r>
    </w:p>
    <w:p>
      <w:pPr>
        <w:pStyle w:val="Heading2"/>
        <w:spacing w:before="200" w:after="120"/>
      </w:pPr>
      <w:r>
        <w:rPr>
          <w:rFonts w:ascii="Times New Roman" w:hAnsi="Times New Roman" w:eastAsia="黑体"/>
          <w:b/>
          <w:sz w:val="28"/>
        </w:rPr>
        <w:t>5.3  模型编辑执行模块</w:t>
      </w:r>
    </w:p>
    <w:p>
      <w:pPr>
        <w:spacing w:line="360" w:lineRule="auto" w:before="0" w:after="0"/>
        <w:ind w:firstLine="480"/>
      </w:pPr>
      <w:r>
        <w:rPr>
          <w:rFonts w:ascii="Times New Roman" w:hAnsi="Times New Roman" w:eastAsia="宋体"/>
          <w:b w:val="0"/>
          <w:sz w:val="24"/>
        </w:rPr>
        <w:t>模型编辑执行模块负责将统一请求格式转换为不同编辑器可接受的输入。ROME、MEMIT、FT、KN 和 IKE 作为基础编辑器，PACE、CAPE 与 CAPE-Anchor 作为请求选择层策略。该模块保持底层编辑器实现相对独立，使本文的主要变量集中在任务定义、请求选择和评估口径上。</w:t>
      </w:r>
    </w:p>
    <w:p>
      <w:pPr>
        <w:pStyle w:val="Heading2"/>
        <w:spacing w:before="200" w:after="120"/>
      </w:pPr>
      <w:r>
        <w:rPr>
          <w:rFonts w:ascii="Times New Roman" w:hAnsi="Times New Roman" w:eastAsia="黑体"/>
          <w:b/>
          <w:sz w:val="28"/>
        </w:rPr>
        <w:t>5.4  评估与结果汇总模块</w:t>
      </w:r>
    </w:p>
    <w:p>
      <w:pPr>
        <w:spacing w:line="360" w:lineRule="auto" w:before="0" w:after="0"/>
        <w:ind w:firstLine="480"/>
      </w:pPr>
      <w:r>
        <w:rPr>
          <w:rFonts w:ascii="Times New Roman" w:hAnsi="Times New Roman" w:eastAsia="宋体"/>
          <w:b w:val="0"/>
          <w:sz w:val="24"/>
        </w:rPr>
        <w:t>评估模块分别生成 private 和 public 查询输出，并计算隐私值包含率、敏感格式率、隐私拒答率、公开知识保持率和公开问题拒答率。结果汇总模块将 JSON、CSV 和图表统一组织，避免论文数值依赖终端输出或人工抄写。对于 failed、missing 或 resource-limited 项，系统单独记录原因和论文处理方式。</w:t>
      </w:r>
    </w:p>
    <w:p>
      <w:pPr>
        <w:pStyle w:val="Heading2"/>
        <w:spacing w:before="200" w:after="120"/>
      </w:pPr>
      <w:r>
        <w:rPr>
          <w:rFonts w:ascii="Times New Roman" w:hAnsi="Times New Roman" w:eastAsia="黑体"/>
          <w:b/>
          <w:sz w:val="28"/>
        </w:rPr>
        <w:t>5.5  实验平台与运行环境</w:t>
      </w:r>
    </w:p>
    <w:p>
      <w:pPr>
        <w:spacing w:line="360" w:lineRule="auto" w:before="0" w:after="0"/>
        <w:ind w:firstLine="480"/>
      </w:pPr>
      <w:r>
        <w:rPr>
          <w:rFonts w:ascii="Times New Roman" w:hAnsi="Times New Roman" w:eastAsia="宋体"/>
          <w:b w:val="0"/>
          <w:sz w:val="24"/>
        </w:rPr>
        <w:t>本文实验在远程 GPU 计算环境中完成，主要使用 PyTorch、Transformers 与 EasyEdit 框架。模型权重和大规模中间生成文件不作为论文正文材料，正文只保留可复核的小型摘要、表格、图像和审计说明。该处理方式既降低了材料体积，也使结果解释集中在可比较指标上。</w:t>
      </w:r>
    </w:p>
    <w:p>
      <w:pPr>
        <w:pStyle w:val="Heading2"/>
        <w:spacing w:before="200" w:after="120"/>
      </w:pPr>
      <w:r>
        <w:rPr>
          <w:rFonts w:ascii="Times New Roman" w:hAnsi="Times New Roman" w:eastAsia="黑体"/>
          <w:b/>
          <w:sz w:val="28"/>
        </w:rPr>
        <w:t>5.6  代码组织与可复现性说明</w:t>
      </w:r>
    </w:p>
    <w:p>
      <w:pPr>
        <w:spacing w:line="360" w:lineRule="auto" w:before="0" w:after="0"/>
        <w:ind w:firstLine="480"/>
      </w:pPr>
      <w:r>
        <w:rPr>
          <w:rFonts w:ascii="Times New Roman" w:hAnsi="Times New Roman" w:eastAsia="宋体"/>
          <w:b w:val="0"/>
          <w:sz w:val="24"/>
        </w:rPr>
        <w:t>为保证可复现性，本文将数据构造、模型编辑、评估统计和图表生成拆分为相对独立的模块。每轮实验保留输入请求、评估配置、摘要指标和失败记录。这样的组织方式使后续研究者可以单独替换基础模型、编辑器或请求选择策略，而不需要重写完整实验流程。</w:t>
      </w:r>
    </w:p>
    <w:p>
      <w:pPr>
        <w:pStyle w:val="Heading1"/>
        <w:spacing w:before="240" w:after="240"/>
        <w:jc w:val="center"/>
      </w:pPr>
      <w:r>
        <w:rPr>
          <w:rFonts w:ascii="Times New Roman" w:hAnsi="Times New Roman" w:eastAsia="黑体"/>
          <w:b/>
          <w:sz w:val="32"/>
        </w:rPr>
        <w:t>6  总结与展望</w:t>
      </w:r>
    </w:p>
    <w:p>
      <w:pPr>
        <w:spacing w:line="360" w:lineRule="auto" w:before="0" w:after="0"/>
        <w:ind w:firstLine="480"/>
      </w:pPr>
      <w:r>
        <w:rPr>
          <w:rFonts w:ascii="Times New Roman" w:hAnsi="Times New Roman" w:eastAsia="宋体"/>
          <w:b w:val="0"/>
          <w:sz w:val="24"/>
        </w:rPr>
        <w:t>本文围绕大语言模型隐私知识清洗问题，构建了从合成隐私基准、LoRA 可控隐私注入、模型编辑执行到多维评估审计的完整实验流程。与只报告隐私查询拒答率的做法不同，本文同时考察隐私值包含率、敏感格式率、公开知识保持率和公开问题拒答率，使隐私压制和知识损伤能够在同一框架中被观察。</w:t>
      </w:r>
    </w:p>
    <w:p>
      <w:pPr>
        <w:spacing w:line="360" w:lineRule="auto" w:before="0" w:after="0"/>
        <w:ind w:firstLine="480"/>
      </w:pPr>
      <w:r>
        <w:rPr>
          <w:rFonts w:ascii="Times New Roman" w:hAnsi="Times New Roman" w:eastAsia="宋体"/>
          <w:b w:val="0"/>
          <w:sz w:val="24"/>
        </w:rPr>
        <w:t>实验结果表明，标准模型编辑方法在隐私清洗任务中呈现不同端点。提示拒答不能改变模型内部隐私记忆；MEMIT 保留公开知识较好但隐私压制不足；ROME 形成中间权衡；FT、PACE 和 CAPE 可以强压目标隐私输出，但容易造成 public collapse。CAPE-Anchor 通过在二轮请求集合中加入公开知识锚点，将 naive PACE/CAPE 中接近塌缩的公开知识保持能力拉回，在 Qwen synthetic privacy 主任务上形成有限有效改进。</w:t>
      </w:r>
    </w:p>
    <w:p>
      <w:pPr>
        <w:spacing w:line="360" w:lineRule="auto" w:before="0" w:after="0"/>
        <w:ind w:firstLine="480"/>
      </w:pPr>
      <w:r>
        <w:rPr>
          <w:rFonts w:ascii="Times New Roman" w:hAnsi="Times New Roman" w:eastAsia="宋体"/>
          <w:b w:val="0"/>
          <w:sz w:val="24"/>
        </w:rPr>
        <w:t>本文也保留了方法边界。Qwen CounterFact/zsRE 结果说明 ROME-based wrapper 可以迁移到公开事实编辑任务中运行，但效果中等；GPT-J-6B 结果表明，未重新调参的 wrapper 在第二模型上不稳定，而 ROME/FT baseline 正常。这些结果共同说明，闭环请求扩展策略具有诊断价值和一定迁移性，但跨模型稳定性仍依赖底层编辑器超参数、请求集合规模和局部性约束。</w:t>
      </w:r>
    </w:p>
    <w:p>
      <w:pPr>
        <w:spacing w:line="360" w:lineRule="auto" w:before="0" w:after="0"/>
        <w:ind w:firstLine="480"/>
      </w:pPr>
      <w:r>
        <w:rPr>
          <w:rFonts w:ascii="Times New Roman" w:hAnsi="Times New Roman" w:eastAsia="宋体"/>
          <w:b w:val="0"/>
          <w:sz w:val="24"/>
        </w:rPr>
        <w:t>后续工作可以从三个方向推进。第一，引入模型特定校准，使 wrapper 在不同模型架构上更稳定。第二，将公开知识锚点从请求构造扩展为显式 retain-aware objective，使知识保持不只依赖样本混合。第三，引入更严格的 held-out attack split、人工评估和语义评估模型，对隐私拒答合理性和公开回答质量进行更细粒度审计。</w:t>
      </w:r>
    </w:p>
    <w:p>
      <w:pPr>
        <w:pStyle w:val="Heading1"/>
        <w:spacing w:before="240" w:after="240"/>
        <w:jc w:val="center"/>
      </w:pPr>
      <w:r>
        <w:rPr>
          <w:rFonts w:ascii="Times New Roman" w:hAnsi="Times New Roman" w:eastAsia="黑体"/>
          <w:b/>
          <w:sz w:val="32"/>
        </w:rPr>
        <w:t>参考文献</w:t>
      </w:r>
    </w:p>
    <w:p>
      <w:pPr>
        <w:spacing w:line="360" w:lineRule="auto" w:before="0" w:after="0"/>
        <w:ind w:firstLine="480"/>
      </w:pPr>
      <w:r>
        <w:rPr>
          <w:rFonts w:ascii="Times New Roman" w:hAnsi="Times New Roman" w:eastAsia="宋体"/>
          <w:b w:val="0"/>
          <w:sz w:val="24"/>
        </w:rPr>
        <w:t>[1] Carlini N., Tramer F., Wallace E., et al. Extracting Training Data from Large Language Models. USENIX Security Symposium, 2021.</w:t>
      </w:r>
    </w:p>
    <w:p>
      <w:pPr>
        <w:spacing w:line="360" w:lineRule="auto" w:before="0" w:after="0"/>
        <w:ind w:firstLine="480"/>
      </w:pPr>
      <w:r>
        <w:rPr>
          <w:rFonts w:ascii="Times New Roman" w:hAnsi="Times New Roman" w:eastAsia="宋体"/>
          <w:b w:val="0"/>
          <w:sz w:val="24"/>
        </w:rPr>
        <w:t>[2] Carlini N., Ippolito D., Jagielski M., et al. Quantifying Memorization Across Neural Language Models. ICLR, 2023.</w:t>
      </w:r>
    </w:p>
    <w:p>
      <w:pPr>
        <w:spacing w:line="360" w:lineRule="auto" w:before="0" w:after="0"/>
        <w:ind w:firstLine="480"/>
      </w:pPr>
      <w:r>
        <w:rPr>
          <w:rFonts w:ascii="Times New Roman" w:hAnsi="Times New Roman" w:eastAsia="宋体"/>
          <w:b w:val="0"/>
          <w:sz w:val="24"/>
        </w:rPr>
        <w:t>[3] Kandpal N., Wallace E., Raffel C. Deduplicating Training Data Mitigates Privacy Risks in Language Models. ICML, 2022.</w:t>
      </w:r>
    </w:p>
    <w:p>
      <w:pPr>
        <w:spacing w:line="360" w:lineRule="auto" w:before="0" w:after="0"/>
        <w:ind w:firstLine="480"/>
      </w:pPr>
      <w:r>
        <w:rPr>
          <w:rFonts w:ascii="Times New Roman" w:hAnsi="Times New Roman" w:eastAsia="宋体"/>
          <w:b w:val="0"/>
          <w:sz w:val="24"/>
        </w:rPr>
        <w:t>[4] Dwork C., Roth A. The Algorithmic Foundations of Differential Privacy. Foundations and Trends in Theoretical Computer Science, 2014.</w:t>
      </w:r>
    </w:p>
    <w:p>
      <w:pPr>
        <w:spacing w:line="360" w:lineRule="auto" w:before="0" w:after="0"/>
        <w:ind w:firstLine="480"/>
      </w:pPr>
      <w:r>
        <w:rPr>
          <w:rFonts w:ascii="Times New Roman" w:hAnsi="Times New Roman" w:eastAsia="宋体"/>
          <w:b w:val="0"/>
          <w:sz w:val="24"/>
        </w:rPr>
        <w:t>[5] Bourtoule L., Chandrasekaran V., Choquette-Choo C. A., et al. Machine Unlearning. IEEE Symposium on Security and Privacy, 2021.</w:t>
      </w:r>
    </w:p>
    <w:p>
      <w:pPr>
        <w:spacing w:line="360" w:lineRule="auto" w:before="0" w:after="0"/>
        <w:ind w:firstLine="480"/>
      </w:pPr>
      <w:r>
        <w:rPr>
          <w:rFonts w:ascii="Times New Roman" w:hAnsi="Times New Roman" w:eastAsia="宋体"/>
          <w:b w:val="0"/>
          <w:sz w:val="24"/>
        </w:rPr>
        <w:t>[6] Hu E. J., Shen Y., Wallis P., et al. LoRA: Low-Rank Adaptation of Large Language Models. ICLR, 2022.</w:t>
      </w:r>
    </w:p>
    <w:p>
      <w:pPr>
        <w:spacing w:line="360" w:lineRule="auto" w:before="0" w:after="0"/>
        <w:ind w:firstLine="480"/>
      </w:pPr>
      <w:r>
        <w:rPr>
          <w:rFonts w:ascii="Times New Roman" w:hAnsi="Times New Roman" w:eastAsia="宋体"/>
          <w:b w:val="0"/>
          <w:sz w:val="24"/>
        </w:rPr>
        <w:t>[7] Meng K., Bau D., Andonian A., Belinkov Y. Locating and Editing Factual Associations in Generative Pre-trained Transformers. NeurIPS, 2022.</w:t>
      </w:r>
    </w:p>
    <w:p>
      <w:pPr>
        <w:spacing w:line="360" w:lineRule="auto" w:before="0" w:after="0"/>
        <w:ind w:firstLine="480"/>
      </w:pPr>
      <w:r>
        <w:rPr>
          <w:rFonts w:ascii="Times New Roman" w:hAnsi="Times New Roman" w:eastAsia="宋体"/>
          <w:b w:val="0"/>
          <w:sz w:val="24"/>
        </w:rPr>
        <w:t>[8] Meng K., Sharma A. S., Andonian A., Belinkov Y., Bau D. Mass-Editing Memory in a Transformer. ICLR, 2023.</w:t>
      </w:r>
    </w:p>
    <w:p>
      <w:pPr>
        <w:spacing w:line="360" w:lineRule="auto" w:before="0" w:after="0"/>
        <w:ind w:firstLine="480"/>
      </w:pPr>
      <w:r>
        <w:rPr>
          <w:rFonts w:ascii="Times New Roman" w:hAnsi="Times New Roman" w:eastAsia="宋体"/>
          <w:b w:val="0"/>
          <w:sz w:val="24"/>
        </w:rPr>
        <w:t>[9] Mitchell E., Lin C., Bosselut A., Manning C. D., Finn C. Fast Model Editing at Scale. ICLR, 2022.</w:t>
      </w:r>
    </w:p>
    <w:p>
      <w:pPr>
        <w:spacing w:line="360" w:lineRule="auto" w:before="0" w:after="0"/>
        <w:ind w:firstLine="480"/>
      </w:pPr>
      <w:r>
        <w:rPr>
          <w:rFonts w:ascii="Times New Roman" w:hAnsi="Times New Roman" w:eastAsia="宋体"/>
          <w:b w:val="0"/>
          <w:sz w:val="24"/>
        </w:rPr>
        <w:t>[10] Mitchell E., Lin C., Bosselut A., Finn C., Manning C. D. Memory-Based Model Editing at Scale. ICML, 2022.</w:t>
      </w:r>
    </w:p>
    <w:p>
      <w:pPr>
        <w:spacing w:line="360" w:lineRule="auto" w:before="0" w:after="0"/>
        <w:ind w:firstLine="480"/>
      </w:pPr>
      <w:r>
        <w:rPr>
          <w:rFonts w:ascii="Times New Roman" w:hAnsi="Times New Roman" w:eastAsia="宋体"/>
          <w:b w:val="0"/>
          <w:sz w:val="24"/>
        </w:rPr>
        <w:t>[11] De Cao N., Aziz W., Titov I. Editing Factual Knowledge in Language Models. EMNLP, 2021.</w:t>
      </w:r>
    </w:p>
    <w:p>
      <w:pPr>
        <w:spacing w:line="360" w:lineRule="auto" w:before="0" w:after="0"/>
        <w:ind w:firstLine="480"/>
      </w:pPr>
      <w:r>
        <w:rPr>
          <w:rFonts w:ascii="Times New Roman" w:hAnsi="Times New Roman" w:eastAsia="宋体"/>
          <w:b w:val="0"/>
          <w:sz w:val="24"/>
        </w:rPr>
        <w:t>[12] Dai D., Dong L., Hao Y., Sui Z., Chang B., Wei F. Knowledge Neurons in Pretrained Transformers. ACL, 2022.</w:t>
      </w:r>
    </w:p>
    <w:p>
      <w:pPr>
        <w:spacing w:line="360" w:lineRule="auto" w:before="0" w:after="0"/>
        <w:ind w:firstLine="480"/>
      </w:pPr>
      <w:r>
        <w:rPr>
          <w:rFonts w:ascii="Times New Roman" w:hAnsi="Times New Roman" w:eastAsia="宋体"/>
          <w:b w:val="0"/>
          <w:sz w:val="24"/>
        </w:rPr>
        <w:t>[13] Geva M., Schuster R., Berant J., Levy O. Transformer Feed-Forward Layers Are Key-Value Memories. EMNLP, 2021.</w:t>
      </w:r>
    </w:p>
    <w:p>
      <w:pPr>
        <w:spacing w:line="360" w:lineRule="auto" w:before="0" w:after="0"/>
        <w:ind w:firstLine="480"/>
      </w:pPr>
      <w:r>
        <w:rPr>
          <w:rFonts w:ascii="Times New Roman" w:hAnsi="Times New Roman" w:eastAsia="宋体"/>
          <w:b w:val="0"/>
          <w:sz w:val="24"/>
        </w:rPr>
        <w:t>[14] Wang P., Zhang N., Tian B., et al. EasyEdit: An Easy-to-use Knowledge Editing Framework for Large Language Models. ACL Demo, 2024.</w:t>
      </w:r>
    </w:p>
    <w:p>
      <w:pPr>
        <w:spacing w:line="360" w:lineRule="auto" w:before="0" w:after="0"/>
        <w:ind w:firstLine="480"/>
      </w:pPr>
      <w:r>
        <w:rPr>
          <w:rFonts w:ascii="Times New Roman" w:hAnsi="Times New Roman" w:eastAsia="宋体"/>
          <w:b w:val="0"/>
          <w:sz w:val="24"/>
        </w:rPr>
        <w:t>[15] Yao Y., Wang P., Tian B., et al. Editing Large Language Models: Problems, Methods, and Opportunities. EMNLP Findings, 2023.</w:t>
      </w:r>
    </w:p>
    <w:p>
      <w:pPr>
        <w:spacing w:line="360" w:lineRule="auto" w:before="0" w:after="0"/>
        <w:ind w:firstLine="480"/>
      </w:pPr>
      <w:r>
        <w:rPr>
          <w:rFonts w:ascii="Times New Roman" w:hAnsi="Times New Roman" w:eastAsia="宋体"/>
          <w:b w:val="0"/>
          <w:sz w:val="24"/>
        </w:rPr>
        <w:t>[16] Petroni F., Rocktaschel T., Riedel S., et al. Language Models as Knowledge Bases? EMNLP-IJCNLP, 2019.</w:t>
      </w:r>
    </w:p>
    <w:p>
      <w:pPr>
        <w:spacing w:line="360" w:lineRule="auto" w:before="0" w:after="0"/>
        <w:ind w:firstLine="480"/>
      </w:pPr>
      <w:r>
        <w:rPr>
          <w:rFonts w:ascii="Times New Roman" w:hAnsi="Times New Roman" w:eastAsia="宋体"/>
          <w:b w:val="0"/>
          <w:sz w:val="24"/>
        </w:rPr>
        <w:t>[17] Levy O., Seo M., Choi E., Zettlemoyer L. Zero-Shot Relation Extraction via Reading Comprehension. CoNLL, 2017.</w:t>
      </w:r>
    </w:p>
    <w:p>
      <w:pPr>
        <w:spacing w:line="360" w:lineRule="auto" w:before="0" w:after="0"/>
        <w:ind w:firstLine="480"/>
      </w:pPr>
      <w:r>
        <w:rPr>
          <w:rFonts w:ascii="Times New Roman" w:hAnsi="Times New Roman" w:eastAsia="宋体"/>
          <w:b w:val="0"/>
          <w:sz w:val="24"/>
        </w:rPr>
        <w:t>[18] Biderman S., Schoelkopf H., Anthony Q., et al. Pythia: A Suite for Analyzing Large Language Models Across Training and Scaling. ICML, 2023.</w:t>
      </w:r>
    </w:p>
    <w:p>
      <w:pPr>
        <w:spacing w:line="360" w:lineRule="auto" w:before="0" w:after="0"/>
        <w:ind w:firstLine="480"/>
      </w:pPr>
      <w:r>
        <w:rPr>
          <w:rFonts w:ascii="Times New Roman" w:hAnsi="Times New Roman" w:eastAsia="宋体"/>
          <w:b w:val="0"/>
          <w:sz w:val="24"/>
        </w:rPr>
        <w:t>[19] Gao L., Biderman S., Black S., et al. The Pile: An 800GB Dataset of Diverse Text for Language Modeling. arXiv:2101.00027, 2020.</w:t>
      </w:r>
    </w:p>
    <w:p>
      <w:pPr>
        <w:spacing w:line="360" w:lineRule="auto" w:before="0" w:after="0"/>
        <w:ind w:firstLine="480"/>
      </w:pPr>
      <w:r>
        <w:rPr>
          <w:rFonts w:ascii="Times New Roman" w:hAnsi="Times New Roman" w:eastAsia="宋体"/>
          <w:b w:val="0"/>
          <w:sz w:val="24"/>
        </w:rPr>
        <w:t>[20] Klimt B., Yang Y. The Enron Corpus: A New Dataset for Email Classification Research. ECML, 2004.</w:t>
      </w:r>
    </w:p>
    <w:p>
      <w:pPr>
        <w:spacing w:line="360" w:lineRule="auto" w:before="0" w:after="0"/>
        <w:ind w:firstLine="480"/>
      </w:pPr>
      <w:r>
        <w:rPr>
          <w:rFonts w:ascii="Times New Roman" w:hAnsi="Times New Roman" w:eastAsia="宋体"/>
          <w:b w:val="0"/>
          <w:sz w:val="24"/>
        </w:rPr>
        <w:t>[21] Eldan R., Russinovich M. Who's Harry Potter? Approximate Unlearning in LLMs. arXiv:2310.02238, 2023.</w:t>
      </w:r>
    </w:p>
    <w:p>
      <w:pPr>
        <w:spacing w:line="360" w:lineRule="auto" w:before="0" w:after="0"/>
        <w:ind w:firstLine="480"/>
      </w:pPr>
      <w:r>
        <w:rPr>
          <w:rFonts w:ascii="Times New Roman" w:hAnsi="Times New Roman" w:eastAsia="宋体"/>
          <w:b w:val="0"/>
          <w:sz w:val="24"/>
        </w:rPr>
        <w:t>[22] Maini P., Feng Z., Schwarzschild A., et al. TOFU: A Task of Fictitious Unlearning for LLMs. arXiv:2401.06121, 2024.</w:t>
      </w:r>
    </w:p>
    <w:p>
      <w:pPr>
        <w:spacing w:line="360" w:lineRule="auto" w:before="0" w:after="0"/>
        <w:ind w:firstLine="480"/>
      </w:pPr>
      <w:r>
        <w:rPr>
          <w:rFonts w:ascii="Times New Roman" w:hAnsi="Times New Roman" w:eastAsia="宋体"/>
          <w:b w:val="0"/>
          <w:sz w:val="24"/>
        </w:rPr>
        <w:t>[23] Wu X., Li J., Xu M., et al. DEPN: Detecting and Editing Privacy Neurons in Pretrained Language Models. EMNLP, 2023.</w:t>
      </w:r>
    </w:p>
    <w:sectPr w:rsidR="00B2010B" w:rsidRPr="009339CC" w:rsidSect="00A94270">
      <w:pgSz w:w="11906" w:h="16838"/>
      <w:pgMar w:top="1440" w:right="1474" w:bottom="1440"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173F33" w14:textId="77777777" w:rsidR="00F71EA7" w:rsidRDefault="00F71EA7" w:rsidP="00936BD0">
      <w:r>
        <w:separator/>
      </w:r>
    </w:p>
  </w:endnote>
  <w:endnote w:type="continuationSeparator" w:id="0">
    <w:p w14:paraId="1D73663B" w14:textId="77777777" w:rsidR="00F71EA7" w:rsidRDefault="00F71EA7" w:rsidP="00936B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E92E16" w14:textId="77777777" w:rsidR="00F71EA7" w:rsidRDefault="00F71EA7" w:rsidP="00936BD0">
      <w:r>
        <w:separator/>
      </w:r>
    </w:p>
  </w:footnote>
  <w:footnote w:type="continuationSeparator" w:id="0">
    <w:p w14:paraId="6B4968F6" w14:textId="77777777" w:rsidR="00F71EA7" w:rsidRDefault="00F71EA7" w:rsidP="00936B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99004D"/>
    <w:multiLevelType w:val="hybridMultilevel"/>
    <w:tmpl w:val="82E8628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 w15:restartNumberingAfterBreak="0">
    <w:nsid w:val="1B733059"/>
    <w:multiLevelType w:val="hybridMultilevel"/>
    <w:tmpl w:val="E094173E"/>
    <w:lvl w:ilvl="0" w:tplc="77F42E10">
      <w:start w:val="1"/>
      <w:numFmt w:val="bullet"/>
      <w:lvlText w:val="-"/>
      <w:lvlJc w:val="left"/>
      <w:pPr>
        <w:ind w:left="1260" w:hanging="420"/>
      </w:pPr>
      <w:rPr>
        <w:rFonts w:ascii="宋体" w:eastAsia="宋体" w:hAnsi="宋体" w:hint="eastAsia"/>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 w15:restartNumberingAfterBreak="0">
    <w:nsid w:val="1E5139D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28B31845"/>
    <w:multiLevelType w:val="hybridMultilevel"/>
    <w:tmpl w:val="BAACDB28"/>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305A2034"/>
    <w:multiLevelType w:val="hybridMultilevel"/>
    <w:tmpl w:val="3F9EEC44"/>
    <w:lvl w:ilvl="0" w:tplc="04090009">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15:restartNumberingAfterBreak="0">
    <w:nsid w:val="45470356"/>
    <w:multiLevelType w:val="hybridMultilevel"/>
    <w:tmpl w:val="97BECDC6"/>
    <w:lvl w:ilvl="0" w:tplc="04090009">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 w15:restartNumberingAfterBreak="0">
    <w:nsid w:val="454A6D55"/>
    <w:multiLevelType w:val="hybridMultilevel"/>
    <w:tmpl w:val="403A76B6"/>
    <w:lvl w:ilvl="0" w:tplc="04090011">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45E0705F"/>
    <w:multiLevelType w:val="hybridMultilevel"/>
    <w:tmpl w:val="97806EB6"/>
    <w:lvl w:ilvl="0" w:tplc="77F42E10">
      <w:start w:val="1"/>
      <w:numFmt w:val="bullet"/>
      <w:lvlText w:val="-"/>
      <w:lvlJc w:val="left"/>
      <w:pPr>
        <w:ind w:left="840" w:hanging="420"/>
      </w:pPr>
      <w:rPr>
        <w:rFonts w:ascii="宋体" w:eastAsia="宋体" w:hAnsi="宋体" w:hint="eastAsia"/>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 w15:restartNumberingAfterBreak="0">
    <w:nsid w:val="48E71CA2"/>
    <w:multiLevelType w:val="hybridMultilevel"/>
    <w:tmpl w:val="EBF82060"/>
    <w:lvl w:ilvl="0" w:tplc="FE5C9710">
      <w:start w:val="1"/>
      <w:numFmt w:val="decimal"/>
      <w:lvlText w:val="%1）"/>
      <w:lvlJc w:val="left"/>
      <w:pPr>
        <w:ind w:left="1365" w:hanging="870"/>
      </w:pPr>
      <w:rPr>
        <w:rFonts w:hint="default"/>
      </w:rPr>
    </w:lvl>
    <w:lvl w:ilvl="1" w:tplc="04090019" w:tentative="1">
      <w:start w:val="1"/>
      <w:numFmt w:val="lowerLetter"/>
      <w:lvlText w:val="%2)"/>
      <w:lvlJc w:val="left"/>
      <w:pPr>
        <w:ind w:left="1335" w:hanging="420"/>
      </w:pPr>
    </w:lvl>
    <w:lvl w:ilvl="2" w:tplc="0409001B" w:tentative="1">
      <w:start w:val="1"/>
      <w:numFmt w:val="lowerRoman"/>
      <w:lvlText w:val="%3."/>
      <w:lvlJc w:val="right"/>
      <w:pPr>
        <w:ind w:left="1755" w:hanging="420"/>
      </w:pPr>
    </w:lvl>
    <w:lvl w:ilvl="3" w:tplc="0409000F" w:tentative="1">
      <w:start w:val="1"/>
      <w:numFmt w:val="decimal"/>
      <w:lvlText w:val="%4."/>
      <w:lvlJc w:val="left"/>
      <w:pPr>
        <w:ind w:left="2175" w:hanging="420"/>
      </w:pPr>
    </w:lvl>
    <w:lvl w:ilvl="4" w:tplc="04090019" w:tentative="1">
      <w:start w:val="1"/>
      <w:numFmt w:val="lowerLetter"/>
      <w:lvlText w:val="%5)"/>
      <w:lvlJc w:val="left"/>
      <w:pPr>
        <w:ind w:left="2595" w:hanging="420"/>
      </w:pPr>
    </w:lvl>
    <w:lvl w:ilvl="5" w:tplc="0409001B" w:tentative="1">
      <w:start w:val="1"/>
      <w:numFmt w:val="lowerRoman"/>
      <w:lvlText w:val="%6."/>
      <w:lvlJc w:val="right"/>
      <w:pPr>
        <w:ind w:left="3015" w:hanging="420"/>
      </w:pPr>
    </w:lvl>
    <w:lvl w:ilvl="6" w:tplc="0409000F" w:tentative="1">
      <w:start w:val="1"/>
      <w:numFmt w:val="decimal"/>
      <w:lvlText w:val="%7."/>
      <w:lvlJc w:val="left"/>
      <w:pPr>
        <w:ind w:left="3435" w:hanging="420"/>
      </w:pPr>
    </w:lvl>
    <w:lvl w:ilvl="7" w:tplc="04090019" w:tentative="1">
      <w:start w:val="1"/>
      <w:numFmt w:val="lowerLetter"/>
      <w:lvlText w:val="%8)"/>
      <w:lvlJc w:val="left"/>
      <w:pPr>
        <w:ind w:left="3855" w:hanging="420"/>
      </w:pPr>
    </w:lvl>
    <w:lvl w:ilvl="8" w:tplc="0409001B" w:tentative="1">
      <w:start w:val="1"/>
      <w:numFmt w:val="lowerRoman"/>
      <w:lvlText w:val="%9."/>
      <w:lvlJc w:val="right"/>
      <w:pPr>
        <w:ind w:left="4275" w:hanging="420"/>
      </w:pPr>
    </w:lvl>
  </w:abstractNum>
  <w:abstractNum w:abstractNumId="9" w15:restartNumberingAfterBreak="0">
    <w:nsid w:val="48E8349A"/>
    <w:multiLevelType w:val="multilevel"/>
    <w:tmpl w:val="48E8349A"/>
    <w:lvl w:ilvl="0">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B2B6684"/>
    <w:multiLevelType w:val="hybridMultilevel"/>
    <w:tmpl w:val="C7F6A68C"/>
    <w:lvl w:ilvl="0" w:tplc="445C0B74">
      <w:start w:val="1"/>
      <w:numFmt w:val="decimal"/>
      <w:lvlText w:val="%1"/>
      <w:lvlJc w:val="left"/>
      <w:pPr>
        <w:ind w:left="927" w:hanging="360"/>
      </w:pPr>
      <w:rPr>
        <w:rFonts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11" w15:restartNumberingAfterBreak="0">
    <w:nsid w:val="52E44CC2"/>
    <w:multiLevelType w:val="hybridMultilevel"/>
    <w:tmpl w:val="D7127C24"/>
    <w:lvl w:ilvl="0" w:tplc="04090009">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2" w15:restartNumberingAfterBreak="0">
    <w:nsid w:val="5E88596C"/>
    <w:multiLevelType w:val="multilevel"/>
    <w:tmpl w:val="4EA264E1"/>
    <w:lvl w:ilvl="0">
      <w:start w:val="1"/>
      <w:numFmt w:val="decimal"/>
      <w:suff w:val="nothing"/>
      <w:lvlText w:val="%1  "/>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suff w:val="nothing"/>
      <w:lvlText w:val="%4."/>
      <w:lvlJc w:val="left"/>
      <w:pPr>
        <w:ind w:left="0" w:firstLine="0"/>
      </w:pPr>
      <w:rPr>
        <w:rFonts w:hint="eastAsia"/>
      </w:rPr>
    </w:lvl>
    <w:lvl w:ilvl="4">
      <w:start w:val="1"/>
      <w:numFmt w:val="decimal"/>
      <w:lvlRestart w:val="1"/>
      <w:suff w:val="space"/>
      <w:lvlText w:val="表%1.%5"/>
      <w:lvlJc w:val="left"/>
      <w:pPr>
        <w:ind w:left="2700" w:firstLine="0"/>
      </w:pPr>
      <w:rPr>
        <w:rFonts w:hint="eastAsia"/>
      </w:rPr>
    </w:lvl>
    <w:lvl w:ilvl="5">
      <w:start w:val="1"/>
      <w:numFmt w:val="decimal"/>
      <w:lvlRestart w:val="1"/>
      <w:suff w:val="space"/>
      <w:lvlText w:val="图%1.%6"/>
      <w:lvlJc w:val="left"/>
      <w:pPr>
        <w:ind w:left="180" w:firstLine="0"/>
      </w:pPr>
      <w:rPr>
        <w:rFonts w:hint="eastAsia"/>
      </w:rPr>
    </w:lvl>
    <w:lvl w:ilvl="6">
      <w:start w:val="1"/>
      <w:numFmt w:val="decimal"/>
      <w:lvlText w:val="%1.%2.%3.%4.%5.%6.%7"/>
      <w:lvlJc w:val="left"/>
      <w:pPr>
        <w:tabs>
          <w:tab w:val="num" w:pos="4711"/>
        </w:tabs>
        <w:ind w:left="3827" w:hanging="1276"/>
      </w:pPr>
      <w:rPr>
        <w:rFonts w:hint="eastAsia"/>
      </w:rPr>
    </w:lvl>
    <w:lvl w:ilvl="7">
      <w:start w:val="1"/>
      <w:numFmt w:val="decimal"/>
      <w:lvlText w:val="%1.%2.%3.%4.%5.%6.%7.%8"/>
      <w:lvlJc w:val="left"/>
      <w:pPr>
        <w:tabs>
          <w:tab w:val="num" w:pos="5496"/>
        </w:tabs>
        <w:ind w:left="4394" w:hanging="1418"/>
      </w:pPr>
      <w:rPr>
        <w:rFonts w:hint="eastAsia"/>
      </w:rPr>
    </w:lvl>
    <w:lvl w:ilvl="8">
      <w:start w:val="1"/>
      <w:numFmt w:val="decimal"/>
      <w:lvlText w:val="%1.%2.%3.%4.%5.%6.%7.%8.%9"/>
      <w:lvlJc w:val="left"/>
      <w:pPr>
        <w:tabs>
          <w:tab w:val="num" w:pos="6282"/>
        </w:tabs>
        <w:ind w:left="5102" w:hanging="1700"/>
      </w:pPr>
      <w:rPr>
        <w:rFonts w:hint="eastAsia"/>
      </w:rPr>
    </w:lvl>
  </w:abstractNum>
  <w:abstractNum w:abstractNumId="13" w15:restartNumberingAfterBreak="0">
    <w:nsid w:val="65EC4D7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4" w15:restartNumberingAfterBreak="0">
    <w:nsid w:val="67212C1C"/>
    <w:multiLevelType w:val="hybridMultilevel"/>
    <w:tmpl w:val="EEEA1E2A"/>
    <w:lvl w:ilvl="0" w:tplc="04090009">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5" w15:restartNumberingAfterBreak="0">
    <w:nsid w:val="6CDF7B9A"/>
    <w:multiLevelType w:val="multilevel"/>
    <w:tmpl w:val="6CDF7B9A"/>
    <w:lvl w:ilvl="0">
      <w:start w:val="1"/>
      <w:numFmt w:val="decimal"/>
      <w:lvlText w:val="[%1] "/>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10A55CB"/>
    <w:multiLevelType w:val="hybridMultilevel"/>
    <w:tmpl w:val="325C4F50"/>
    <w:lvl w:ilvl="0" w:tplc="04090009">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7" w15:restartNumberingAfterBreak="0">
    <w:nsid w:val="769D31DF"/>
    <w:multiLevelType w:val="hybridMultilevel"/>
    <w:tmpl w:val="5B28683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780C3A87"/>
    <w:multiLevelType w:val="hybridMultilevel"/>
    <w:tmpl w:val="41BACCF4"/>
    <w:lvl w:ilvl="0" w:tplc="39B074E0">
      <w:start w:val="1"/>
      <w:numFmt w:val="lowerRoman"/>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9" w15:restartNumberingAfterBreak="0">
    <w:nsid w:val="78633CCE"/>
    <w:multiLevelType w:val="hybridMultilevel"/>
    <w:tmpl w:val="29341556"/>
    <w:lvl w:ilvl="0" w:tplc="04090009">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0" w15:restartNumberingAfterBreak="0">
    <w:nsid w:val="79E756D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abstractNumId w:val="9"/>
  </w:num>
  <w:num w:numId="2">
    <w:abstractNumId w:val="3"/>
  </w:num>
  <w:num w:numId="3">
    <w:abstractNumId w:val="16"/>
  </w:num>
  <w:num w:numId="4">
    <w:abstractNumId w:val="13"/>
  </w:num>
  <w:num w:numId="5">
    <w:abstractNumId w:val="10"/>
  </w:num>
  <w:num w:numId="6">
    <w:abstractNumId w:val="12"/>
  </w:num>
  <w:num w:numId="7">
    <w:abstractNumId w:val="20"/>
  </w:num>
  <w:num w:numId="8">
    <w:abstractNumId w:val="2"/>
  </w:num>
  <w:num w:numId="9">
    <w:abstractNumId w:val="15"/>
  </w:num>
  <w:num w:numId="10">
    <w:abstractNumId w:val="18"/>
  </w:num>
  <w:num w:numId="11">
    <w:abstractNumId w:val="8"/>
  </w:num>
  <w:num w:numId="12">
    <w:abstractNumId w:val="0"/>
  </w:num>
  <w:num w:numId="13">
    <w:abstractNumId w:val="14"/>
  </w:num>
  <w:num w:numId="14">
    <w:abstractNumId w:val="5"/>
  </w:num>
  <w:num w:numId="15">
    <w:abstractNumId w:val="7"/>
  </w:num>
  <w:num w:numId="16">
    <w:abstractNumId w:val="1"/>
  </w:num>
  <w:num w:numId="17">
    <w:abstractNumId w:val="4"/>
  </w:num>
  <w:num w:numId="18">
    <w:abstractNumId w:val="19"/>
  </w:num>
  <w:num w:numId="19">
    <w:abstractNumId w:val="11"/>
  </w:num>
  <w:num w:numId="20">
    <w:abstractNumId w:val="6"/>
  </w:num>
  <w:num w:numId="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D38"/>
    <w:rsid w:val="000005CA"/>
    <w:rsid w:val="00032714"/>
    <w:rsid w:val="00036DED"/>
    <w:rsid w:val="00040A9F"/>
    <w:rsid w:val="00041DCF"/>
    <w:rsid w:val="00044D1B"/>
    <w:rsid w:val="00092572"/>
    <w:rsid w:val="000A2875"/>
    <w:rsid w:val="000D7F7E"/>
    <w:rsid w:val="000E32D2"/>
    <w:rsid w:val="00100112"/>
    <w:rsid w:val="001052CD"/>
    <w:rsid w:val="00115A12"/>
    <w:rsid w:val="00144D56"/>
    <w:rsid w:val="00153AB0"/>
    <w:rsid w:val="00167C11"/>
    <w:rsid w:val="00184FB2"/>
    <w:rsid w:val="001C3364"/>
    <w:rsid w:val="001E33ED"/>
    <w:rsid w:val="0022170F"/>
    <w:rsid w:val="00237231"/>
    <w:rsid w:val="00260A60"/>
    <w:rsid w:val="002C4BF6"/>
    <w:rsid w:val="0032416A"/>
    <w:rsid w:val="0034671E"/>
    <w:rsid w:val="00347481"/>
    <w:rsid w:val="003510E0"/>
    <w:rsid w:val="003518A0"/>
    <w:rsid w:val="003610D6"/>
    <w:rsid w:val="00381BC7"/>
    <w:rsid w:val="003A1A99"/>
    <w:rsid w:val="003A5426"/>
    <w:rsid w:val="003D0522"/>
    <w:rsid w:val="003D1CBF"/>
    <w:rsid w:val="003E05C0"/>
    <w:rsid w:val="003F5089"/>
    <w:rsid w:val="0041080C"/>
    <w:rsid w:val="00412FA6"/>
    <w:rsid w:val="00421D38"/>
    <w:rsid w:val="00422270"/>
    <w:rsid w:val="00457570"/>
    <w:rsid w:val="00461087"/>
    <w:rsid w:val="00490F19"/>
    <w:rsid w:val="00494469"/>
    <w:rsid w:val="004A3D38"/>
    <w:rsid w:val="004C0100"/>
    <w:rsid w:val="004E3D1B"/>
    <w:rsid w:val="004E6004"/>
    <w:rsid w:val="004E659B"/>
    <w:rsid w:val="0050232D"/>
    <w:rsid w:val="00504A65"/>
    <w:rsid w:val="00546618"/>
    <w:rsid w:val="00562798"/>
    <w:rsid w:val="00567239"/>
    <w:rsid w:val="00593131"/>
    <w:rsid w:val="005939B3"/>
    <w:rsid w:val="005B073C"/>
    <w:rsid w:val="005C42F0"/>
    <w:rsid w:val="005D0448"/>
    <w:rsid w:val="005D750E"/>
    <w:rsid w:val="00604316"/>
    <w:rsid w:val="0062108A"/>
    <w:rsid w:val="006608D7"/>
    <w:rsid w:val="006714B8"/>
    <w:rsid w:val="00690FD6"/>
    <w:rsid w:val="0069480B"/>
    <w:rsid w:val="006B1FE0"/>
    <w:rsid w:val="006C1F00"/>
    <w:rsid w:val="006C68F8"/>
    <w:rsid w:val="006F0C60"/>
    <w:rsid w:val="00704A9C"/>
    <w:rsid w:val="0071274D"/>
    <w:rsid w:val="00714694"/>
    <w:rsid w:val="00767D9F"/>
    <w:rsid w:val="00791CDE"/>
    <w:rsid w:val="0079564D"/>
    <w:rsid w:val="007B7524"/>
    <w:rsid w:val="007F1B60"/>
    <w:rsid w:val="008235C7"/>
    <w:rsid w:val="00832141"/>
    <w:rsid w:val="0085390B"/>
    <w:rsid w:val="00866C3F"/>
    <w:rsid w:val="00874E03"/>
    <w:rsid w:val="008816F7"/>
    <w:rsid w:val="008B4205"/>
    <w:rsid w:val="00923688"/>
    <w:rsid w:val="009339CC"/>
    <w:rsid w:val="00935522"/>
    <w:rsid w:val="00936BD0"/>
    <w:rsid w:val="00970A4E"/>
    <w:rsid w:val="00984A79"/>
    <w:rsid w:val="009938DC"/>
    <w:rsid w:val="009C7944"/>
    <w:rsid w:val="009D637E"/>
    <w:rsid w:val="009E4B45"/>
    <w:rsid w:val="00A000FA"/>
    <w:rsid w:val="00A55DD5"/>
    <w:rsid w:val="00A94270"/>
    <w:rsid w:val="00AA0AA3"/>
    <w:rsid w:val="00AC1E9F"/>
    <w:rsid w:val="00AC2421"/>
    <w:rsid w:val="00AD0210"/>
    <w:rsid w:val="00AE019C"/>
    <w:rsid w:val="00B077E8"/>
    <w:rsid w:val="00B2010B"/>
    <w:rsid w:val="00B36C88"/>
    <w:rsid w:val="00B41E73"/>
    <w:rsid w:val="00B46F55"/>
    <w:rsid w:val="00B52093"/>
    <w:rsid w:val="00B659E0"/>
    <w:rsid w:val="00B96D8E"/>
    <w:rsid w:val="00BA5A5C"/>
    <w:rsid w:val="00BC4174"/>
    <w:rsid w:val="00BE1F13"/>
    <w:rsid w:val="00BF7508"/>
    <w:rsid w:val="00C04424"/>
    <w:rsid w:val="00C13003"/>
    <w:rsid w:val="00C26515"/>
    <w:rsid w:val="00C36247"/>
    <w:rsid w:val="00C43BD1"/>
    <w:rsid w:val="00C77150"/>
    <w:rsid w:val="00CB0FC5"/>
    <w:rsid w:val="00CB6786"/>
    <w:rsid w:val="00CC3AA8"/>
    <w:rsid w:val="00CC4F1C"/>
    <w:rsid w:val="00CD1947"/>
    <w:rsid w:val="00CE4F2E"/>
    <w:rsid w:val="00CE7903"/>
    <w:rsid w:val="00D02FF1"/>
    <w:rsid w:val="00D203CE"/>
    <w:rsid w:val="00D23E99"/>
    <w:rsid w:val="00D54163"/>
    <w:rsid w:val="00D6487F"/>
    <w:rsid w:val="00D804F2"/>
    <w:rsid w:val="00E0214E"/>
    <w:rsid w:val="00E02314"/>
    <w:rsid w:val="00E0299F"/>
    <w:rsid w:val="00E131CE"/>
    <w:rsid w:val="00E2783D"/>
    <w:rsid w:val="00E6334B"/>
    <w:rsid w:val="00E7072D"/>
    <w:rsid w:val="00E94A6A"/>
    <w:rsid w:val="00ED0039"/>
    <w:rsid w:val="00EF279B"/>
    <w:rsid w:val="00EF3528"/>
    <w:rsid w:val="00F13DCB"/>
    <w:rsid w:val="00F30AAD"/>
    <w:rsid w:val="00F612E8"/>
    <w:rsid w:val="00F71EA7"/>
    <w:rsid w:val="00F76F82"/>
    <w:rsid w:val="00F90A17"/>
    <w:rsid w:val="00F9128C"/>
    <w:rsid w:val="00FB6EA0"/>
    <w:rsid w:val="00FC31CD"/>
    <w:rsid w:val="00FD106E"/>
    <w:rsid w:val="00FD7457"/>
    <w:rsid w:val="00FE3BDF"/>
    <w:rsid w:val="00FE7E4E"/>
    <w:rsid w:val="00FF76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6CFEF13"/>
  <w15:docId w15:val="{C39B3A0A-BEEA-4FC7-B5CA-6E948A65D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4270"/>
    <w:pPr>
      <w:widowControl w:val="0"/>
      <w:jc w:val="both"/>
    </w:pPr>
    <w:rPr>
      <w:szCs w:val="24"/>
    </w:rPr>
  </w:style>
  <w:style w:type="paragraph" w:styleId="Heading1">
    <w:name w:val="heading 1"/>
    <w:basedOn w:val="Normal"/>
    <w:next w:val="Normal"/>
    <w:link w:val="Heading1Char"/>
    <w:qFormat/>
    <w:locked/>
    <w:rsid w:val="00B659E0"/>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qFormat/>
    <w:locked/>
    <w:rsid w:val="00B659E0"/>
    <w:pPr>
      <w:keepNext/>
      <w:keepLines/>
      <w:spacing w:before="260" w:after="260" w:line="416" w:lineRule="auto"/>
      <w:outlineLvl w:val="1"/>
    </w:pPr>
    <w:rPr>
      <w:rFonts w:ascii="Arial" w:eastAsia="黑体" w:hAnsi="Arial"/>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936BD0"/>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locked/>
    <w:rsid w:val="00936BD0"/>
    <w:rPr>
      <w:rFonts w:cs="Times New Roman"/>
      <w:kern w:val="2"/>
      <w:sz w:val="18"/>
      <w:szCs w:val="18"/>
    </w:rPr>
  </w:style>
  <w:style w:type="paragraph" w:styleId="Footer">
    <w:name w:val="footer"/>
    <w:basedOn w:val="Normal"/>
    <w:link w:val="FooterChar"/>
    <w:uiPriority w:val="99"/>
    <w:rsid w:val="00936BD0"/>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locked/>
    <w:rsid w:val="00936BD0"/>
    <w:rPr>
      <w:rFonts w:cs="Times New Roman"/>
      <w:kern w:val="2"/>
      <w:sz w:val="18"/>
      <w:szCs w:val="18"/>
    </w:rPr>
  </w:style>
  <w:style w:type="character" w:styleId="CommentReference">
    <w:name w:val="annotation reference"/>
    <w:basedOn w:val="DefaultParagraphFont"/>
    <w:uiPriority w:val="99"/>
    <w:semiHidden/>
    <w:unhideWhenUsed/>
    <w:rsid w:val="00040A9F"/>
    <w:rPr>
      <w:sz w:val="21"/>
      <w:szCs w:val="21"/>
    </w:rPr>
  </w:style>
  <w:style w:type="paragraph" w:styleId="CommentText">
    <w:name w:val="annotation text"/>
    <w:basedOn w:val="Normal"/>
    <w:link w:val="CommentTextChar"/>
    <w:unhideWhenUsed/>
    <w:rsid w:val="00040A9F"/>
    <w:pPr>
      <w:jc w:val="left"/>
    </w:pPr>
  </w:style>
  <w:style w:type="character" w:customStyle="1" w:styleId="CommentTextChar">
    <w:name w:val="Comment Text Char"/>
    <w:basedOn w:val="DefaultParagraphFont"/>
    <w:link w:val="CommentText"/>
    <w:qFormat/>
    <w:rsid w:val="00040A9F"/>
    <w:rPr>
      <w:szCs w:val="24"/>
    </w:rPr>
  </w:style>
  <w:style w:type="paragraph" w:styleId="CommentSubject">
    <w:name w:val="annotation subject"/>
    <w:basedOn w:val="CommentText"/>
    <w:next w:val="CommentText"/>
    <w:link w:val="CommentSubjectChar"/>
    <w:uiPriority w:val="99"/>
    <w:semiHidden/>
    <w:unhideWhenUsed/>
    <w:rsid w:val="00040A9F"/>
    <w:rPr>
      <w:b/>
      <w:bCs/>
    </w:rPr>
  </w:style>
  <w:style w:type="character" w:customStyle="1" w:styleId="CommentSubjectChar">
    <w:name w:val="Comment Subject Char"/>
    <w:basedOn w:val="CommentTextChar"/>
    <w:link w:val="CommentSubject"/>
    <w:uiPriority w:val="99"/>
    <w:semiHidden/>
    <w:rsid w:val="00040A9F"/>
    <w:rPr>
      <w:b/>
      <w:bCs/>
      <w:szCs w:val="24"/>
    </w:rPr>
  </w:style>
  <w:style w:type="paragraph" w:styleId="BalloonText">
    <w:name w:val="Balloon Text"/>
    <w:basedOn w:val="Normal"/>
    <w:link w:val="BalloonTextChar"/>
    <w:uiPriority w:val="99"/>
    <w:semiHidden/>
    <w:unhideWhenUsed/>
    <w:rsid w:val="00040A9F"/>
    <w:rPr>
      <w:sz w:val="18"/>
      <w:szCs w:val="18"/>
    </w:rPr>
  </w:style>
  <w:style w:type="character" w:customStyle="1" w:styleId="BalloonTextChar">
    <w:name w:val="Balloon Text Char"/>
    <w:basedOn w:val="DefaultParagraphFont"/>
    <w:link w:val="BalloonText"/>
    <w:uiPriority w:val="99"/>
    <w:semiHidden/>
    <w:rsid w:val="00040A9F"/>
    <w:rPr>
      <w:sz w:val="18"/>
      <w:szCs w:val="18"/>
    </w:rPr>
  </w:style>
  <w:style w:type="character" w:styleId="Hyperlink">
    <w:name w:val="Hyperlink"/>
    <w:basedOn w:val="DefaultParagraphFont"/>
    <w:uiPriority w:val="99"/>
    <w:unhideWhenUsed/>
    <w:rsid w:val="00040A9F"/>
    <w:rPr>
      <w:color w:val="0000FF"/>
      <w:u w:val="single"/>
    </w:rPr>
  </w:style>
  <w:style w:type="paragraph" w:styleId="ListParagraph">
    <w:name w:val="List Paragraph"/>
    <w:basedOn w:val="Normal"/>
    <w:uiPriority w:val="34"/>
    <w:qFormat/>
    <w:rsid w:val="00040A9F"/>
    <w:pPr>
      <w:ind w:firstLineChars="200" w:firstLine="420"/>
    </w:pPr>
  </w:style>
  <w:style w:type="character" w:customStyle="1" w:styleId="Heading2Char">
    <w:name w:val="Heading 2 Char"/>
    <w:basedOn w:val="DefaultParagraphFont"/>
    <w:link w:val="Heading2"/>
    <w:rsid w:val="00B659E0"/>
    <w:rPr>
      <w:rFonts w:ascii="Arial" w:eastAsia="黑体" w:hAnsi="Arial"/>
      <w:b/>
      <w:bCs/>
      <w:sz w:val="32"/>
      <w:szCs w:val="32"/>
    </w:rPr>
  </w:style>
  <w:style w:type="paragraph" w:styleId="DocumentMap">
    <w:name w:val="Document Map"/>
    <w:basedOn w:val="Normal"/>
    <w:link w:val="DocumentMapChar"/>
    <w:uiPriority w:val="99"/>
    <w:semiHidden/>
    <w:unhideWhenUsed/>
    <w:rsid w:val="00B659E0"/>
    <w:rPr>
      <w:rFonts w:ascii="宋体"/>
      <w:sz w:val="18"/>
      <w:szCs w:val="18"/>
    </w:rPr>
  </w:style>
  <w:style w:type="character" w:customStyle="1" w:styleId="DocumentMapChar">
    <w:name w:val="Document Map Char"/>
    <w:basedOn w:val="DefaultParagraphFont"/>
    <w:link w:val="DocumentMap"/>
    <w:uiPriority w:val="99"/>
    <w:semiHidden/>
    <w:rsid w:val="00B659E0"/>
    <w:rPr>
      <w:rFonts w:ascii="宋体"/>
      <w:sz w:val="18"/>
      <w:szCs w:val="18"/>
    </w:rPr>
  </w:style>
  <w:style w:type="character" w:customStyle="1" w:styleId="Heading1Char">
    <w:name w:val="Heading 1 Char"/>
    <w:basedOn w:val="DefaultParagraphFont"/>
    <w:link w:val="Heading1"/>
    <w:rsid w:val="00B659E0"/>
    <w:rPr>
      <w:b/>
      <w:bCs/>
      <w:kern w:val="44"/>
      <w:sz w:val="44"/>
      <w:szCs w:val="44"/>
    </w:rPr>
  </w:style>
  <w:style w:type="table" w:styleId="TableGrid">
    <w:name w:val="Table Grid"/>
    <w:basedOn w:val="TableNormal"/>
    <w:uiPriority w:val="59"/>
    <w:rsid w:val="00100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locked/>
    <w:rsid w:val="00D54163"/>
    <w:rPr>
      <w:i/>
      <w:iCs/>
    </w:rPr>
  </w:style>
  <w:style w:type="paragraph" w:styleId="BodyText">
    <w:name w:val="Body Text"/>
    <w:basedOn w:val="Normal"/>
    <w:link w:val="BodyTextChar"/>
    <w:uiPriority w:val="99"/>
    <w:semiHidden/>
    <w:unhideWhenUsed/>
    <w:rsid w:val="00D23E99"/>
    <w:pPr>
      <w:spacing w:after="120"/>
    </w:pPr>
  </w:style>
  <w:style w:type="character" w:customStyle="1" w:styleId="BodyTextChar">
    <w:name w:val="Body Text Char"/>
    <w:basedOn w:val="DefaultParagraphFont"/>
    <w:link w:val="BodyText"/>
    <w:uiPriority w:val="99"/>
    <w:semiHidden/>
    <w:rsid w:val="00D23E99"/>
    <w:rPr>
      <w:szCs w:val="24"/>
    </w:rPr>
  </w:style>
  <w:style w:type="paragraph" w:styleId="BodyTextFirstIndent">
    <w:name w:val="Body Text First Indent"/>
    <w:aliases w:val="正文首行缩进 Char Char Char Char,正文首行缩进 Char Char Char Char Char Char Char Char Char Char Char Char Char Char Char Char Char Char Char"/>
    <w:basedOn w:val="Normal"/>
    <w:link w:val="BodyTextFirstIndentChar"/>
    <w:rsid w:val="00D23E99"/>
    <w:pPr>
      <w:ind w:firstLineChars="200" w:firstLine="498"/>
    </w:pPr>
    <w:rPr>
      <w:sz w:val="24"/>
      <w:szCs w:val="20"/>
    </w:rPr>
  </w:style>
  <w:style w:type="character" w:customStyle="1" w:styleId="BodyTextFirstIndentChar">
    <w:name w:val="Body Text First Indent Char"/>
    <w:aliases w:val="正文首行缩进 Char Char Char Char Char,正文首行缩进 Char Char Char Char Char Char Char Char Char Char Char Char Char Char Char Char Char Char Char Char"/>
    <w:basedOn w:val="BodyTextChar"/>
    <w:link w:val="BodyTextFirstIndent"/>
    <w:rsid w:val="00D23E99"/>
    <w:rPr>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140895">
      <w:bodyDiv w:val="1"/>
      <w:marLeft w:val="0"/>
      <w:marRight w:val="0"/>
      <w:marTop w:val="0"/>
      <w:marBottom w:val="0"/>
      <w:divBdr>
        <w:top w:val="none" w:sz="0" w:space="0" w:color="auto"/>
        <w:left w:val="none" w:sz="0" w:space="0" w:color="auto"/>
        <w:bottom w:val="none" w:sz="0" w:space="0" w:color="auto"/>
        <w:right w:val="none" w:sz="0" w:space="0" w:color="auto"/>
      </w:divBdr>
    </w:div>
    <w:div w:id="994989826">
      <w:bodyDiv w:val="1"/>
      <w:marLeft w:val="0"/>
      <w:marRight w:val="0"/>
      <w:marTop w:val="0"/>
      <w:marBottom w:val="0"/>
      <w:divBdr>
        <w:top w:val="none" w:sz="0" w:space="0" w:color="auto"/>
        <w:left w:val="none" w:sz="0" w:space="0" w:color="auto"/>
        <w:bottom w:val="none" w:sz="0" w:space="0" w:color="auto"/>
        <w:right w:val="none" w:sz="0" w:space="0" w:color="auto"/>
      </w:divBdr>
      <w:divsChild>
        <w:div w:id="14979177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12</Pages>
  <Words>727</Words>
  <Characters>4145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湖南商学院</vt:lpstr>
    </vt:vector>
  </TitlesOfParts>
  <Company>Microsoft China</Company>
  <LinksUpToDate>false</LinksUpToDate>
  <CharactersWithSpaces>4863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湖南商学院</dc:title>
  <dc:creator>Lenovo User</dc:creator>
  <cp:lastModifiedBy>Peng Cheng</cp:lastModifiedBy>
  <cp:revision>8</cp:revision>
  <cp:lastPrinted>2006-05-15T01:48:00Z</cp:lastPrinted>
  <dcterms:created xsi:type="dcterms:W3CDTF">2026-06-06T10:06:00Z</dcterms:created>
  <dcterms:modified xsi:type="dcterms:W3CDTF">2026-06-06T10:26:00Z</dcterms:modified>
</cp:coreProperties>
</file>