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20006" w14:textId="77777777" w:rsidR="00AA3E79" w:rsidRDefault="00AA3E79"/>
    <w:p w14:paraId="31218FEE" w14:textId="6BC2E42D" w:rsidR="00AA3E79" w:rsidRPr="007E207E" w:rsidRDefault="00AA3E79">
      <w:pPr>
        <w:rPr>
          <w:b/>
          <w:bCs/>
        </w:rPr>
      </w:pPr>
      <w:r w:rsidRPr="00AA3E79">
        <w:rPr>
          <w:b/>
          <w:bCs/>
        </w:rPr>
        <w:t>EXERCISE 1</w:t>
      </w:r>
      <w:r>
        <w:rPr>
          <w:b/>
          <w:bCs/>
        </w:rPr>
        <w:t>: Two-line Elements (TLEs)</w:t>
      </w:r>
    </w:p>
    <w:tbl>
      <w:tblPr>
        <w:tblStyle w:val="TableGrid"/>
        <w:tblpPr w:leftFromText="180" w:rightFromText="180" w:vertAnchor="page" w:horzAnchor="margin" w:tblpXSpec="center" w:tblpY="2368"/>
        <w:tblW w:w="11386" w:type="dxa"/>
        <w:tblLayout w:type="fixed"/>
        <w:tblLook w:val="04A0" w:firstRow="1" w:lastRow="0" w:firstColumn="1" w:lastColumn="0" w:noHBand="0" w:noVBand="1"/>
      </w:tblPr>
      <w:tblGrid>
        <w:gridCol w:w="1126"/>
        <w:gridCol w:w="1350"/>
        <w:gridCol w:w="1350"/>
        <w:gridCol w:w="1412"/>
        <w:gridCol w:w="928"/>
        <w:gridCol w:w="1530"/>
        <w:gridCol w:w="1260"/>
        <w:gridCol w:w="1260"/>
        <w:gridCol w:w="1170"/>
      </w:tblGrid>
      <w:tr w:rsidR="000F69BB" w14:paraId="5D7AD38E" w14:textId="77777777" w:rsidTr="00113BC8">
        <w:tc>
          <w:tcPr>
            <w:tcW w:w="1126" w:type="dxa"/>
          </w:tcPr>
          <w:p w14:paraId="2A39088B" w14:textId="77777777" w:rsidR="000F69BB" w:rsidRPr="00EF7AF5" w:rsidRDefault="00000000" w:rsidP="00AA3E79">
            <w:pPr>
              <w:rPr>
                <w:sz w:val="20"/>
                <w:szCs w:val="20"/>
              </w:rPr>
            </w:pPr>
            <w:r w:rsidRPr="00EF7AF5">
              <w:rPr>
                <w:sz w:val="20"/>
                <w:szCs w:val="20"/>
              </w:rPr>
              <w:t>Satellite Catalog ID</w:t>
            </w:r>
          </w:p>
        </w:tc>
        <w:tc>
          <w:tcPr>
            <w:tcW w:w="1350" w:type="dxa"/>
          </w:tcPr>
          <w:p w14:paraId="69098B35" w14:textId="1D2C8923" w:rsidR="000F69BB" w:rsidRPr="00EF7AF5" w:rsidRDefault="00EF7AF5" w:rsidP="00AA3E79">
            <w:pPr>
              <w:rPr>
                <w:sz w:val="20"/>
                <w:szCs w:val="20"/>
              </w:rPr>
            </w:pPr>
            <w:r w:rsidRPr="00EF7AF5">
              <w:rPr>
                <w:sz w:val="20"/>
                <w:szCs w:val="20"/>
              </w:rPr>
              <w:t>COSPAR International Designator</w:t>
            </w:r>
            <w:r w:rsidR="00B76B46">
              <w:rPr>
                <w:rStyle w:val="FootnoteReference"/>
                <w:sz w:val="20"/>
                <w:szCs w:val="20"/>
              </w:rPr>
              <w:footnoteReference w:id="1"/>
            </w:r>
            <w:r w:rsidR="00AA3E79">
              <w:rPr>
                <w:sz w:val="20"/>
                <w:szCs w:val="20"/>
              </w:rPr>
              <w:t xml:space="preserve"> </w:t>
            </w:r>
          </w:p>
        </w:tc>
        <w:tc>
          <w:tcPr>
            <w:tcW w:w="1350" w:type="dxa"/>
          </w:tcPr>
          <w:p w14:paraId="2E2E561F" w14:textId="77777777" w:rsidR="000F69BB" w:rsidRPr="00EF7AF5" w:rsidRDefault="00000000" w:rsidP="00AA3E79">
            <w:pPr>
              <w:rPr>
                <w:sz w:val="20"/>
                <w:szCs w:val="20"/>
              </w:rPr>
            </w:pPr>
            <w:r w:rsidRPr="00EF7AF5">
              <w:rPr>
                <w:sz w:val="20"/>
                <w:szCs w:val="20"/>
              </w:rPr>
              <w:t>Satellite Name</w:t>
            </w:r>
          </w:p>
        </w:tc>
        <w:tc>
          <w:tcPr>
            <w:tcW w:w="1412" w:type="dxa"/>
          </w:tcPr>
          <w:p w14:paraId="42AAA7AC" w14:textId="77777777" w:rsidR="000F69BB" w:rsidRPr="00EF7AF5" w:rsidRDefault="00000000" w:rsidP="00AA3E79">
            <w:pPr>
              <w:rPr>
                <w:sz w:val="20"/>
                <w:szCs w:val="20"/>
              </w:rPr>
            </w:pPr>
            <w:r w:rsidRPr="00EF7AF5">
              <w:rPr>
                <w:sz w:val="20"/>
                <w:szCs w:val="20"/>
              </w:rPr>
              <w:t>Object Type</w:t>
            </w:r>
          </w:p>
        </w:tc>
        <w:tc>
          <w:tcPr>
            <w:tcW w:w="928" w:type="dxa"/>
          </w:tcPr>
          <w:p w14:paraId="27EF451B" w14:textId="77777777" w:rsidR="000F69BB" w:rsidRPr="00EF7AF5" w:rsidRDefault="00000000" w:rsidP="00AA3E79">
            <w:pPr>
              <w:rPr>
                <w:sz w:val="20"/>
                <w:szCs w:val="20"/>
              </w:rPr>
            </w:pPr>
            <w:r w:rsidRPr="00EF7AF5">
              <w:rPr>
                <w:sz w:val="20"/>
                <w:szCs w:val="20"/>
              </w:rPr>
              <w:t>Operating Country</w:t>
            </w:r>
          </w:p>
        </w:tc>
        <w:tc>
          <w:tcPr>
            <w:tcW w:w="1530" w:type="dxa"/>
          </w:tcPr>
          <w:p w14:paraId="213AEB8F" w14:textId="77777777" w:rsidR="000F69BB" w:rsidRPr="00EF7AF5" w:rsidRDefault="00000000" w:rsidP="00AA3E79">
            <w:pPr>
              <w:rPr>
                <w:sz w:val="20"/>
                <w:szCs w:val="20"/>
              </w:rPr>
            </w:pPr>
            <w:r w:rsidRPr="00EF7AF5">
              <w:rPr>
                <w:sz w:val="20"/>
                <w:szCs w:val="20"/>
              </w:rPr>
              <w:t>Epoch (Calendar Date)</w:t>
            </w:r>
          </w:p>
        </w:tc>
        <w:tc>
          <w:tcPr>
            <w:tcW w:w="1260" w:type="dxa"/>
          </w:tcPr>
          <w:p w14:paraId="6C6BA31D" w14:textId="2A8F3D70" w:rsidR="000F69BB" w:rsidRPr="00EF7AF5" w:rsidRDefault="00000000" w:rsidP="00AA3E79">
            <w:pPr>
              <w:rPr>
                <w:sz w:val="20"/>
                <w:szCs w:val="20"/>
              </w:rPr>
            </w:pPr>
            <w:r w:rsidRPr="00EF7AF5">
              <w:rPr>
                <w:sz w:val="20"/>
                <w:szCs w:val="20"/>
              </w:rPr>
              <w:t>Semi-Major Axis (a)</w:t>
            </w:r>
            <w:r w:rsidR="00EF7AF5">
              <w:rPr>
                <w:sz w:val="20"/>
                <w:szCs w:val="20"/>
              </w:rPr>
              <w:t xml:space="preserve"> [km]</w:t>
            </w:r>
          </w:p>
        </w:tc>
        <w:tc>
          <w:tcPr>
            <w:tcW w:w="1260" w:type="dxa"/>
          </w:tcPr>
          <w:p w14:paraId="785D8B63" w14:textId="77777777" w:rsidR="000F69BB" w:rsidRPr="00EF7AF5" w:rsidRDefault="00000000" w:rsidP="00AA3E79">
            <w:pPr>
              <w:rPr>
                <w:sz w:val="20"/>
                <w:szCs w:val="20"/>
              </w:rPr>
            </w:pPr>
            <w:r w:rsidRPr="00EF7AF5">
              <w:rPr>
                <w:sz w:val="20"/>
                <w:szCs w:val="20"/>
              </w:rPr>
              <w:t>Eccentricity (e)</w:t>
            </w:r>
          </w:p>
        </w:tc>
        <w:tc>
          <w:tcPr>
            <w:tcW w:w="1170" w:type="dxa"/>
          </w:tcPr>
          <w:p w14:paraId="37B95EE9" w14:textId="7BD822FB" w:rsidR="000F69BB" w:rsidRPr="00EF7AF5" w:rsidRDefault="00000000" w:rsidP="00AA3E79">
            <w:pPr>
              <w:rPr>
                <w:sz w:val="20"/>
                <w:szCs w:val="20"/>
              </w:rPr>
            </w:pPr>
            <w:r w:rsidRPr="00EF7AF5">
              <w:rPr>
                <w:sz w:val="20"/>
                <w:szCs w:val="20"/>
              </w:rPr>
              <w:t>Inclination (</w:t>
            </w:r>
            <w:proofErr w:type="spellStart"/>
            <w:r w:rsidRPr="00EF7AF5">
              <w:rPr>
                <w:sz w:val="20"/>
                <w:szCs w:val="20"/>
              </w:rPr>
              <w:t>i</w:t>
            </w:r>
            <w:proofErr w:type="spellEnd"/>
            <w:r w:rsidRPr="00EF7AF5">
              <w:rPr>
                <w:sz w:val="20"/>
                <w:szCs w:val="20"/>
              </w:rPr>
              <w:t>)</w:t>
            </w:r>
            <w:r w:rsidR="00EF7AF5">
              <w:rPr>
                <w:sz w:val="20"/>
                <w:szCs w:val="20"/>
              </w:rPr>
              <w:t xml:space="preserve"> [deg]</w:t>
            </w:r>
          </w:p>
        </w:tc>
      </w:tr>
      <w:tr w:rsidR="000F69BB" w14:paraId="662D1804" w14:textId="77777777" w:rsidTr="00113BC8">
        <w:tc>
          <w:tcPr>
            <w:tcW w:w="1126" w:type="dxa"/>
          </w:tcPr>
          <w:p w14:paraId="4C12D04B" w14:textId="0154DE98" w:rsidR="000F69BB" w:rsidRDefault="00EF7AF5" w:rsidP="00AA3E79">
            <w:r w:rsidRPr="00EF7AF5">
              <w:t>22566</w:t>
            </w:r>
          </w:p>
        </w:tc>
        <w:tc>
          <w:tcPr>
            <w:tcW w:w="1350" w:type="dxa"/>
          </w:tcPr>
          <w:p w14:paraId="08CDA1B2" w14:textId="69318970" w:rsidR="000F69BB" w:rsidRDefault="00EF7AF5" w:rsidP="00AA3E79">
            <w:r w:rsidRPr="00EF7AF5">
              <w:t>1993-016B</w:t>
            </w:r>
          </w:p>
        </w:tc>
        <w:tc>
          <w:tcPr>
            <w:tcW w:w="1350" w:type="dxa"/>
          </w:tcPr>
          <w:p w14:paraId="53C0D1F9" w14:textId="253E5251" w:rsidR="000F69BB" w:rsidRDefault="00EF7AF5" w:rsidP="00AA3E79">
            <w:r w:rsidRPr="00EF7AF5">
              <w:t>SL-16 R/B</w:t>
            </w:r>
          </w:p>
        </w:tc>
        <w:tc>
          <w:tcPr>
            <w:tcW w:w="1412" w:type="dxa"/>
          </w:tcPr>
          <w:p w14:paraId="27443305" w14:textId="6CDF0134" w:rsidR="000F69BB" w:rsidRDefault="00EF7AF5" w:rsidP="00AA3E79">
            <w:r>
              <w:t>ROCKET BODY</w:t>
            </w:r>
          </w:p>
        </w:tc>
        <w:tc>
          <w:tcPr>
            <w:tcW w:w="928" w:type="dxa"/>
          </w:tcPr>
          <w:p w14:paraId="7E66206D" w14:textId="79D4CAF6" w:rsidR="000F69BB" w:rsidRDefault="00EF7AF5" w:rsidP="00AA3E79">
            <w:r>
              <w:t>CIS</w:t>
            </w:r>
          </w:p>
        </w:tc>
        <w:tc>
          <w:tcPr>
            <w:tcW w:w="1530" w:type="dxa"/>
          </w:tcPr>
          <w:p w14:paraId="2EF6FF18" w14:textId="17764BD0" w:rsidR="000F69BB" w:rsidRDefault="00A33882" w:rsidP="00AA3E79">
            <w:r>
              <w:t>2015-06-06</w:t>
            </w:r>
          </w:p>
        </w:tc>
        <w:tc>
          <w:tcPr>
            <w:tcW w:w="1260" w:type="dxa"/>
          </w:tcPr>
          <w:p w14:paraId="54A4FB2F" w14:textId="0CDD950A" w:rsidR="000F69BB" w:rsidRDefault="00EF7AF5" w:rsidP="00AA3E79">
            <w:r>
              <w:t>7220.77</w:t>
            </w:r>
            <w:r w:rsidR="003B4CD5">
              <w:t>6</w:t>
            </w:r>
          </w:p>
        </w:tc>
        <w:tc>
          <w:tcPr>
            <w:tcW w:w="1260" w:type="dxa"/>
          </w:tcPr>
          <w:p w14:paraId="58450E25" w14:textId="5C242E75" w:rsidR="000F69BB" w:rsidRDefault="00EF7AF5" w:rsidP="00AA3E79">
            <w:r>
              <w:t>0.0010719</w:t>
            </w:r>
          </w:p>
        </w:tc>
        <w:tc>
          <w:tcPr>
            <w:tcW w:w="1170" w:type="dxa"/>
          </w:tcPr>
          <w:p w14:paraId="6C3C73A3" w14:textId="31A81DE8" w:rsidR="000F69BB" w:rsidRDefault="00A33882" w:rsidP="00AA3E79">
            <w:r w:rsidRPr="00A33882">
              <w:t>071.0065</w:t>
            </w:r>
          </w:p>
        </w:tc>
      </w:tr>
      <w:tr w:rsidR="000F69BB" w14:paraId="41729679" w14:textId="77777777" w:rsidTr="00113BC8">
        <w:tc>
          <w:tcPr>
            <w:tcW w:w="1126" w:type="dxa"/>
          </w:tcPr>
          <w:p w14:paraId="6AFF4F8E" w14:textId="61765C60" w:rsidR="000F69BB" w:rsidRDefault="006277ED" w:rsidP="00AA3E79">
            <w:r w:rsidRPr="006277ED">
              <w:t>30239</w:t>
            </w:r>
          </w:p>
        </w:tc>
        <w:tc>
          <w:tcPr>
            <w:tcW w:w="1350" w:type="dxa"/>
          </w:tcPr>
          <w:p w14:paraId="5F9BEF53" w14:textId="6FD576CD" w:rsidR="000F69BB" w:rsidRDefault="006277ED" w:rsidP="00AA3E79">
            <w:r w:rsidRPr="006277ED">
              <w:t>1999-025WY</w:t>
            </w:r>
          </w:p>
        </w:tc>
        <w:tc>
          <w:tcPr>
            <w:tcW w:w="1350" w:type="dxa"/>
          </w:tcPr>
          <w:p w14:paraId="7C391CD7" w14:textId="2010E680" w:rsidR="000F69BB" w:rsidRDefault="006277ED" w:rsidP="00AA3E79">
            <w:r w:rsidRPr="006277ED">
              <w:t>FENGYUN 1C DEB</w:t>
            </w:r>
          </w:p>
        </w:tc>
        <w:tc>
          <w:tcPr>
            <w:tcW w:w="1412" w:type="dxa"/>
          </w:tcPr>
          <w:p w14:paraId="36144E34" w14:textId="1477733D" w:rsidR="000F69BB" w:rsidRDefault="006277ED" w:rsidP="00AA3E79">
            <w:r>
              <w:t>DEBRIS</w:t>
            </w:r>
          </w:p>
        </w:tc>
        <w:tc>
          <w:tcPr>
            <w:tcW w:w="928" w:type="dxa"/>
          </w:tcPr>
          <w:p w14:paraId="44090286" w14:textId="11885E4C" w:rsidR="000F69BB" w:rsidRDefault="006277ED" w:rsidP="00AA3E79">
            <w:r w:rsidRPr="006277ED">
              <w:t>PRC</w:t>
            </w:r>
          </w:p>
        </w:tc>
        <w:tc>
          <w:tcPr>
            <w:tcW w:w="1530" w:type="dxa"/>
          </w:tcPr>
          <w:p w14:paraId="28B29C28" w14:textId="75AEA338" w:rsidR="000F69BB" w:rsidRDefault="00A33882" w:rsidP="00AA3E79">
            <w:r>
              <w:t>2017-10-01</w:t>
            </w:r>
          </w:p>
        </w:tc>
        <w:tc>
          <w:tcPr>
            <w:tcW w:w="1260" w:type="dxa"/>
          </w:tcPr>
          <w:p w14:paraId="671D7D53" w14:textId="06876E4A" w:rsidR="000F69BB" w:rsidRDefault="00A33882" w:rsidP="00AA3E79">
            <w:r w:rsidRPr="00A33882">
              <w:t>8498.0</w:t>
            </w:r>
            <w:r w:rsidR="003B4CD5">
              <w:t>48</w:t>
            </w:r>
          </w:p>
        </w:tc>
        <w:tc>
          <w:tcPr>
            <w:tcW w:w="1260" w:type="dxa"/>
          </w:tcPr>
          <w:p w14:paraId="715DCE56" w14:textId="7C0558F7" w:rsidR="000F69BB" w:rsidRDefault="00A33882" w:rsidP="00AA3E79">
            <w:r>
              <w:t>0.</w:t>
            </w:r>
            <w:r w:rsidRPr="00A33882">
              <w:t>1501976</w:t>
            </w:r>
          </w:p>
        </w:tc>
        <w:tc>
          <w:tcPr>
            <w:tcW w:w="1170" w:type="dxa"/>
          </w:tcPr>
          <w:p w14:paraId="36C1BCBE" w14:textId="7167DCD3" w:rsidR="000F69BB" w:rsidRDefault="00A33882" w:rsidP="00AA3E79">
            <w:r w:rsidRPr="00A33882">
              <w:t>99.7201</w:t>
            </w:r>
          </w:p>
        </w:tc>
      </w:tr>
      <w:tr w:rsidR="000F69BB" w14:paraId="293349CB" w14:textId="77777777" w:rsidTr="00113BC8">
        <w:tc>
          <w:tcPr>
            <w:tcW w:w="1126" w:type="dxa"/>
          </w:tcPr>
          <w:p w14:paraId="64036471" w14:textId="26C0C67A" w:rsidR="000F69BB" w:rsidRDefault="00A33882" w:rsidP="00AA3E79">
            <w:r w:rsidRPr="00A33882">
              <w:t>44625</w:t>
            </w:r>
          </w:p>
        </w:tc>
        <w:tc>
          <w:tcPr>
            <w:tcW w:w="1350" w:type="dxa"/>
          </w:tcPr>
          <w:p w14:paraId="71311DA3" w14:textId="1ECB1E5A" w:rsidR="000F69BB" w:rsidRDefault="00A33882" w:rsidP="00AA3E79">
            <w:r w:rsidRPr="00A33882">
              <w:t>2019-067B</w:t>
            </w:r>
          </w:p>
        </w:tc>
        <w:tc>
          <w:tcPr>
            <w:tcW w:w="1350" w:type="dxa"/>
          </w:tcPr>
          <w:p w14:paraId="044AE736" w14:textId="754F1D2B" w:rsidR="000F69BB" w:rsidRDefault="00A33882" w:rsidP="00AA3E79">
            <w:r w:rsidRPr="00A33882">
              <w:t>MEV-1</w:t>
            </w:r>
          </w:p>
        </w:tc>
        <w:tc>
          <w:tcPr>
            <w:tcW w:w="1412" w:type="dxa"/>
          </w:tcPr>
          <w:p w14:paraId="4894B2CC" w14:textId="70D0ADE6" w:rsidR="000F69BB" w:rsidRDefault="00A33882" w:rsidP="00AA3E79">
            <w:r>
              <w:t>PAYLOAD</w:t>
            </w:r>
          </w:p>
        </w:tc>
        <w:tc>
          <w:tcPr>
            <w:tcW w:w="928" w:type="dxa"/>
          </w:tcPr>
          <w:p w14:paraId="0B9C0E16" w14:textId="3A13BD25" w:rsidR="000F69BB" w:rsidRDefault="00A33882" w:rsidP="00AA3E79">
            <w:r>
              <w:t>US</w:t>
            </w:r>
          </w:p>
        </w:tc>
        <w:tc>
          <w:tcPr>
            <w:tcW w:w="1530" w:type="dxa"/>
          </w:tcPr>
          <w:p w14:paraId="7CD50A86" w14:textId="6206101E" w:rsidR="000F69BB" w:rsidRDefault="00A33882" w:rsidP="00AA3E79">
            <w:r w:rsidRPr="00A33882">
              <w:t>2019-11-16</w:t>
            </w:r>
          </w:p>
        </w:tc>
        <w:tc>
          <w:tcPr>
            <w:tcW w:w="1260" w:type="dxa"/>
          </w:tcPr>
          <w:p w14:paraId="1401C126" w14:textId="640539BF" w:rsidR="000F69BB" w:rsidRDefault="00A33882" w:rsidP="00AA3E79">
            <w:r w:rsidRPr="00A33882">
              <w:t>45721.9</w:t>
            </w:r>
            <w:r w:rsidR="003B4CD5">
              <w:t>56</w:t>
            </w:r>
          </w:p>
        </w:tc>
        <w:tc>
          <w:tcPr>
            <w:tcW w:w="1260" w:type="dxa"/>
          </w:tcPr>
          <w:p w14:paraId="225B9C0F" w14:textId="5EF54705" w:rsidR="000F69BB" w:rsidRDefault="00A33882" w:rsidP="00AA3E79">
            <w:r>
              <w:t>0.</w:t>
            </w:r>
            <w:r w:rsidRPr="00A33882">
              <w:t>4204334</w:t>
            </w:r>
          </w:p>
        </w:tc>
        <w:tc>
          <w:tcPr>
            <w:tcW w:w="1170" w:type="dxa"/>
          </w:tcPr>
          <w:p w14:paraId="2F7EA957" w14:textId="113308E4" w:rsidR="000F69BB" w:rsidRDefault="00A33882" w:rsidP="00AA3E79">
            <w:r w:rsidRPr="00A33882">
              <w:t>005.8940</w:t>
            </w:r>
          </w:p>
        </w:tc>
      </w:tr>
      <w:tr w:rsidR="000F69BB" w14:paraId="6A692680" w14:textId="77777777" w:rsidTr="00113BC8">
        <w:tc>
          <w:tcPr>
            <w:tcW w:w="1126" w:type="dxa"/>
          </w:tcPr>
          <w:p w14:paraId="2FA2CCC2" w14:textId="05959B1D" w:rsidR="000F69BB" w:rsidRDefault="00A33882" w:rsidP="00AA3E79">
            <w:r w:rsidRPr="00A33882">
              <w:t>47944</w:t>
            </w:r>
          </w:p>
        </w:tc>
        <w:tc>
          <w:tcPr>
            <w:tcW w:w="1350" w:type="dxa"/>
          </w:tcPr>
          <w:p w14:paraId="13960A6B" w14:textId="2435BE5E" w:rsidR="000F69BB" w:rsidRDefault="00A33882" w:rsidP="00AA3E79">
            <w:r w:rsidRPr="00A33882">
              <w:t>2021-022N</w:t>
            </w:r>
          </w:p>
        </w:tc>
        <w:tc>
          <w:tcPr>
            <w:tcW w:w="1350" w:type="dxa"/>
          </w:tcPr>
          <w:p w14:paraId="7E1A5979" w14:textId="0DF89133" w:rsidR="000F69BB" w:rsidRDefault="00A33882" w:rsidP="00AA3E79">
            <w:r w:rsidRPr="00A33882">
              <w:t>ELSA-D</w:t>
            </w:r>
          </w:p>
        </w:tc>
        <w:tc>
          <w:tcPr>
            <w:tcW w:w="1412" w:type="dxa"/>
          </w:tcPr>
          <w:p w14:paraId="53E77669" w14:textId="65781B2C" w:rsidR="000F69BB" w:rsidRDefault="00A33882" w:rsidP="00AA3E79">
            <w:r>
              <w:t>PAYLOAD</w:t>
            </w:r>
          </w:p>
        </w:tc>
        <w:tc>
          <w:tcPr>
            <w:tcW w:w="928" w:type="dxa"/>
          </w:tcPr>
          <w:p w14:paraId="71B672EF" w14:textId="2199B28C" w:rsidR="000F69BB" w:rsidRDefault="00A33882" w:rsidP="00AA3E79">
            <w:r>
              <w:t>JPN</w:t>
            </w:r>
          </w:p>
        </w:tc>
        <w:tc>
          <w:tcPr>
            <w:tcW w:w="1530" w:type="dxa"/>
          </w:tcPr>
          <w:p w14:paraId="7F641E07" w14:textId="71A5CF8A" w:rsidR="000F69BB" w:rsidRDefault="00A33882" w:rsidP="00AA3E79">
            <w:r w:rsidRPr="00A33882">
              <w:t>2022-11-28</w:t>
            </w:r>
          </w:p>
        </w:tc>
        <w:tc>
          <w:tcPr>
            <w:tcW w:w="1260" w:type="dxa"/>
          </w:tcPr>
          <w:p w14:paraId="3EE0DF44" w14:textId="0CEEE5DD" w:rsidR="000F69BB" w:rsidRDefault="00A33882" w:rsidP="00AA3E79">
            <w:r w:rsidRPr="00A33882">
              <w:t>6915.46</w:t>
            </w:r>
            <w:r w:rsidR="003B4CD5">
              <w:t>2</w:t>
            </w:r>
          </w:p>
        </w:tc>
        <w:tc>
          <w:tcPr>
            <w:tcW w:w="1260" w:type="dxa"/>
          </w:tcPr>
          <w:p w14:paraId="53E1FCC2" w14:textId="02D9575E" w:rsidR="000F69BB" w:rsidRDefault="00A33882" w:rsidP="00AA3E79">
            <w:pPr>
              <w:tabs>
                <w:tab w:val="left" w:pos="437"/>
              </w:tabs>
            </w:pPr>
            <w:r>
              <w:t>0.</w:t>
            </w:r>
            <w:r w:rsidRPr="00A33882">
              <w:t>0016455</w:t>
            </w:r>
          </w:p>
        </w:tc>
        <w:tc>
          <w:tcPr>
            <w:tcW w:w="1170" w:type="dxa"/>
          </w:tcPr>
          <w:p w14:paraId="1FAA7C24" w14:textId="40A7BC78" w:rsidR="000F69BB" w:rsidRDefault="00A33882" w:rsidP="00AA3E79">
            <w:r w:rsidRPr="00A33882">
              <w:t>97.5125</w:t>
            </w:r>
          </w:p>
        </w:tc>
      </w:tr>
      <w:tr w:rsidR="000F69BB" w14:paraId="00FD1D3E" w14:textId="77777777" w:rsidTr="00113BC8">
        <w:tc>
          <w:tcPr>
            <w:tcW w:w="1126" w:type="dxa"/>
          </w:tcPr>
          <w:p w14:paraId="5EF6E9E5" w14:textId="4598A65B" w:rsidR="000F69BB" w:rsidRDefault="00A33882" w:rsidP="00AA3E79">
            <w:r w:rsidRPr="00A33882">
              <w:t>27378</w:t>
            </w:r>
          </w:p>
        </w:tc>
        <w:tc>
          <w:tcPr>
            <w:tcW w:w="1350" w:type="dxa"/>
          </w:tcPr>
          <w:p w14:paraId="4177D786" w14:textId="3F0153A1" w:rsidR="000F69BB" w:rsidRDefault="00A33882" w:rsidP="00AA3E79">
            <w:r w:rsidRPr="00A33882">
              <w:t>2002-006A</w:t>
            </w:r>
          </w:p>
        </w:tc>
        <w:tc>
          <w:tcPr>
            <w:tcW w:w="1350" w:type="dxa"/>
          </w:tcPr>
          <w:p w14:paraId="2D9407A6" w14:textId="7DC11643" w:rsidR="000F69BB" w:rsidRDefault="00A33882" w:rsidP="00AA3E79">
            <w:r w:rsidRPr="00A33882">
              <w:t>ECHOSTAR 7</w:t>
            </w:r>
          </w:p>
        </w:tc>
        <w:tc>
          <w:tcPr>
            <w:tcW w:w="1412" w:type="dxa"/>
          </w:tcPr>
          <w:p w14:paraId="22F62839" w14:textId="188D9A11" w:rsidR="000F69BB" w:rsidRDefault="00A33882" w:rsidP="00AA3E79">
            <w:r>
              <w:t>PAYLOAD</w:t>
            </w:r>
          </w:p>
        </w:tc>
        <w:tc>
          <w:tcPr>
            <w:tcW w:w="928" w:type="dxa"/>
          </w:tcPr>
          <w:p w14:paraId="5871E008" w14:textId="5334CDDA" w:rsidR="000F69BB" w:rsidRDefault="00A33882" w:rsidP="00AA3E79">
            <w:r>
              <w:t>US</w:t>
            </w:r>
          </w:p>
        </w:tc>
        <w:tc>
          <w:tcPr>
            <w:tcW w:w="1530" w:type="dxa"/>
          </w:tcPr>
          <w:p w14:paraId="23AC7E21" w14:textId="03D3E067" w:rsidR="000F69BB" w:rsidRDefault="00A33882" w:rsidP="00AA3E79">
            <w:r w:rsidRPr="00A33882">
              <w:t>2023-06-11</w:t>
            </w:r>
          </w:p>
        </w:tc>
        <w:tc>
          <w:tcPr>
            <w:tcW w:w="1260" w:type="dxa"/>
          </w:tcPr>
          <w:p w14:paraId="2B6F8F0E" w14:textId="6A744CD3" w:rsidR="000F69BB" w:rsidRDefault="00A33882" w:rsidP="00AA3E79">
            <w:r w:rsidRPr="00A33882">
              <w:t>42288.1</w:t>
            </w:r>
            <w:r w:rsidR="003B4CD5">
              <w:t>09</w:t>
            </w:r>
          </w:p>
        </w:tc>
        <w:tc>
          <w:tcPr>
            <w:tcW w:w="1260" w:type="dxa"/>
          </w:tcPr>
          <w:p w14:paraId="71CFE878" w14:textId="3C547CC6" w:rsidR="000F69BB" w:rsidRDefault="00A33882" w:rsidP="00AA3E79">
            <w:r>
              <w:t>0.</w:t>
            </w:r>
            <w:r w:rsidRPr="00A33882">
              <w:t>0006061</w:t>
            </w:r>
          </w:p>
        </w:tc>
        <w:tc>
          <w:tcPr>
            <w:tcW w:w="1170" w:type="dxa"/>
          </w:tcPr>
          <w:p w14:paraId="5016425F" w14:textId="259892C5" w:rsidR="000F69BB" w:rsidRDefault="00A33882" w:rsidP="00AA3E79">
            <w:r w:rsidRPr="00A33882">
              <w:t>1.1620</w:t>
            </w:r>
          </w:p>
        </w:tc>
      </w:tr>
    </w:tbl>
    <w:p w14:paraId="58AE95A0" w14:textId="0D3BE4AE" w:rsidR="00EF7AF5" w:rsidRDefault="00EF7AF5">
      <w:r>
        <w:t>For semi-major axis calculation, I used the formula for Kepler’s 3</w:t>
      </w:r>
      <w:r w:rsidRPr="00EF7AF5">
        <w:rPr>
          <w:vertAlign w:val="superscript"/>
        </w:rPr>
        <w:t>rd</w:t>
      </w:r>
      <w:r>
        <w:t xml:space="preserve"> law</w:t>
      </w:r>
      <w:r w:rsidR="00FA0D83">
        <w:t xml:space="preserve"> and calculated </w:t>
      </w:r>
      <w:r w:rsidR="00113BC8">
        <w:t xml:space="preserve">it </w:t>
      </w:r>
      <w:r w:rsidR="00FA0D83">
        <w:t>in Desmos</w:t>
      </w:r>
      <w:r>
        <w:t>:</w:t>
      </w:r>
    </w:p>
    <w:p w14:paraId="60EA8940" w14:textId="361CED66" w:rsidR="00FA0D83" w:rsidRPr="006277ED" w:rsidRDefault="006277ED">
      <m:oMathPara>
        <m:oMath>
          <m:r>
            <w:rPr>
              <w:rFonts w:ascii="Cambria Math" w:hAnsi="Cambria Math"/>
            </w:rPr>
            <m:t>n=</m:t>
          </m:r>
          <m:rad>
            <m:radPr>
              <m:degHide m:val="1"/>
              <m:ctrlPr>
                <w:rPr>
                  <w:rFonts w:ascii="Cambria Math" w:eastAsiaTheme="minorEastAsia" w:hAnsi="Cambria Math" w:cstheme="minorBidi"/>
                  <w:i/>
                  <w:sz w:val="22"/>
                  <w:szCs w:val="22"/>
                </w:rPr>
              </m:ctrlPr>
            </m:radPr>
            <m:deg/>
            <m:e>
              <m:f>
                <m:fPr>
                  <m:ctrlPr>
                    <w:rPr>
                      <w:rFonts w:ascii="Cambria Math" w:eastAsiaTheme="minorEastAsia" w:hAnsi="Cambria Math" w:cstheme="minorBidi"/>
                      <w:i/>
                      <w:sz w:val="22"/>
                      <w:szCs w:val="22"/>
                    </w:rPr>
                  </m:ctrlPr>
                </m:fPr>
                <m:num>
                  <m:r>
                    <w:rPr>
                      <w:rFonts w:ascii="Cambria Math" w:hAnsi="Cambria Math"/>
                    </w:rPr>
                    <m:t>μ</m:t>
                  </m:r>
                </m:num>
                <m:den>
                  <m:sSup>
                    <m:sSupPr>
                      <m:ctrlPr>
                        <w:rPr>
                          <w:rFonts w:ascii="Cambria Math" w:eastAsiaTheme="minorEastAsia" w:hAnsi="Cambria Math" w:cstheme="minorBidi"/>
                          <w:i/>
                          <w:sz w:val="22"/>
                          <w:szCs w:val="22"/>
                        </w:rPr>
                      </m:ctrlPr>
                    </m:sSupPr>
                    <m:e>
                      <m:r>
                        <w:rPr>
                          <w:rFonts w:ascii="Cambria Math" w:hAnsi="Cambria Math"/>
                        </w:rPr>
                        <m:t>a</m:t>
                      </m:r>
                    </m:e>
                    <m:sup>
                      <m:r>
                        <w:rPr>
                          <w:rFonts w:ascii="Cambria Math" w:hAnsi="Cambria Math"/>
                        </w:rPr>
                        <m:t>3</m:t>
                      </m:r>
                    </m:sup>
                  </m:sSup>
                </m:den>
              </m:f>
            </m:e>
          </m:rad>
        </m:oMath>
      </m:oMathPara>
    </w:p>
    <w:p w14:paraId="1D798B4B" w14:textId="6284EF8E" w:rsidR="006277ED" w:rsidRDefault="006277ED">
      <w:r>
        <w:t xml:space="preserve">By solving for the semi-major axis </w:t>
      </w:r>
      <m:oMath>
        <m:r>
          <w:rPr>
            <w:rFonts w:ascii="Cambria Math" w:hAnsi="Cambria Math"/>
          </w:rPr>
          <m:t xml:space="preserve">a </m:t>
        </m:r>
      </m:oMath>
      <w:r>
        <w:t>and converting from revolutions per day to radians per second, the semi-major axis can be found.</w:t>
      </w:r>
      <w:r w:rsidR="00FA0D83">
        <w:t xml:space="preserve"> </w:t>
      </w:r>
      <m:oMath>
        <m:r>
          <w:rPr>
            <w:rFonts w:ascii="Cambria Math" w:hAnsi="Cambria Math"/>
          </w:rPr>
          <m:t>μ</m:t>
        </m:r>
      </m:oMath>
      <w:r w:rsidR="00FA0D83">
        <w:t xml:space="preserve"> is Earth’s gravitational parameter, </w:t>
      </w:r>
      <w:r w:rsidR="00FA0D83" w:rsidRPr="00FA0D83">
        <w:t>398600</w:t>
      </w:r>
      <w:r w:rsidR="00FA0D83">
        <w:t xml:space="preserve"> km cubed per second squared, and </w:t>
      </w:r>
      <m:oMath>
        <m:r>
          <w:rPr>
            <w:rFonts w:ascii="Cambria Math" w:hAnsi="Cambria Math"/>
          </w:rPr>
          <m:t>n</m:t>
        </m:r>
      </m:oMath>
      <w:r w:rsidR="00FA0D83">
        <w:t xml:space="preserve"> is the mean motion </w:t>
      </w:r>
      <w:r w:rsidR="004F1EDB">
        <w:t>from</w:t>
      </w:r>
      <w:r w:rsidR="00FA0D83">
        <w:t xml:space="preserve"> the TLE.</w:t>
      </w:r>
    </w:p>
    <w:p w14:paraId="12FDA3F9" w14:textId="570CFE88" w:rsidR="00FA0D83" w:rsidRDefault="00FA0D83" w:rsidP="00FA0D83">
      <w:pPr>
        <w:jc w:val="center"/>
      </w:pPr>
      <w:r>
        <w:rPr>
          <w:noProof/>
        </w:rPr>
        <w:drawing>
          <wp:inline distT="0" distB="0" distL="0" distR="0" wp14:anchorId="288D9C39" wp14:editId="1CF964F8">
            <wp:extent cx="1130300" cy="571500"/>
            <wp:effectExtent l="0" t="0" r="0" b="0"/>
            <wp:docPr id="171796551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65513" name="Picture 1" descr="A black text on a white background&#10;&#10;AI-generated content may be incorrect."/>
                    <pic:cNvPicPr/>
                  </pic:nvPicPr>
                  <pic:blipFill>
                    <a:blip r:embed="rId8"/>
                    <a:stretch>
                      <a:fillRect/>
                    </a:stretch>
                  </pic:blipFill>
                  <pic:spPr>
                    <a:xfrm>
                      <a:off x="0" y="0"/>
                      <a:ext cx="1130300" cy="571500"/>
                    </a:xfrm>
                    <a:prstGeom prst="rect">
                      <a:avLst/>
                    </a:prstGeom>
                  </pic:spPr>
                </pic:pic>
              </a:graphicData>
            </a:graphic>
          </wp:inline>
        </w:drawing>
      </w:r>
    </w:p>
    <w:p w14:paraId="54D7A402" w14:textId="4166BB4E" w:rsidR="00F2561F" w:rsidRDefault="006277ED">
      <w:r>
        <w:t xml:space="preserve">For the epoch date in calendar form, I used </w:t>
      </w:r>
      <w:r w:rsidR="00A33882" w:rsidRPr="00A33882">
        <w:t xml:space="preserve">https://ensatellite.com/tle-epoch-to-date/ </w:t>
      </w:r>
      <w:r>
        <w:t xml:space="preserve">to determine the day value for each </w:t>
      </w:r>
      <w:r w:rsidR="008F7A04">
        <w:t>object</w:t>
      </w:r>
      <w:r>
        <w:t xml:space="preserve"> from the </w:t>
      </w:r>
      <w:r w:rsidR="008F7A04">
        <w:t xml:space="preserve">epoch </w:t>
      </w:r>
      <w:r>
        <w:t>fraction</w:t>
      </w:r>
      <w:r w:rsidR="008F7A04">
        <w:t xml:space="preserve"> in the TLE</w:t>
      </w:r>
      <w:r>
        <w:t>.</w:t>
      </w:r>
      <w:r w:rsidR="00B76B46">
        <w:t xml:space="preserve"> </w:t>
      </w:r>
    </w:p>
    <w:p w14:paraId="724F546C" w14:textId="77777777" w:rsidR="009A1BF9" w:rsidRDefault="009A1BF9"/>
    <w:p w14:paraId="11586E2F" w14:textId="6CDB269C" w:rsidR="00F2561F" w:rsidRDefault="004F1EDB">
      <w:r>
        <w:t xml:space="preserve">OPTION A - </w:t>
      </w:r>
      <w:r w:rsidR="00F2561F">
        <w:t>Table from CSV output of code</w:t>
      </w:r>
      <w:r>
        <w:t>:</w:t>
      </w:r>
    </w:p>
    <w:tbl>
      <w:tblPr>
        <w:tblW w:w="12059" w:type="dxa"/>
        <w:tblInd w:w="-1636" w:type="dxa"/>
        <w:tblLook w:val="04A0" w:firstRow="1" w:lastRow="0" w:firstColumn="1" w:lastColumn="0" w:noHBand="0" w:noVBand="1"/>
      </w:tblPr>
      <w:tblGrid>
        <w:gridCol w:w="1004"/>
        <w:gridCol w:w="1138"/>
        <w:gridCol w:w="1296"/>
        <w:gridCol w:w="1138"/>
        <w:gridCol w:w="1162"/>
        <w:gridCol w:w="1586"/>
        <w:gridCol w:w="1495"/>
        <w:gridCol w:w="1620"/>
        <w:gridCol w:w="1620"/>
      </w:tblGrid>
      <w:tr w:rsidR="00F2561F" w14:paraId="4736877F" w14:textId="77777777" w:rsidTr="00F2561F">
        <w:trPr>
          <w:trHeight w:val="325"/>
        </w:trPr>
        <w:tc>
          <w:tcPr>
            <w:tcW w:w="1004" w:type="dxa"/>
            <w:tcBorders>
              <w:top w:val="nil"/>
              <w:left w:val="nil"/>
              <w:bottom w:val="nil"/>
              <w:right w:val="nil"/>
            </w:tcBorders>
            <w:noWrap/>
            <w:vAlign w:val="bottom"/>
            <w:hideMark/>
          </w:tcPr>
          <w:p w14:paraId="3CD88C21" w14:textId="77777777" w:rsidR="00F2561F" w:rsidRDefault="00F2561F">
            <w:pPr>
              <w:rPr>
                <w:rFonts w:ascii="Aptos Narrow" w:hAnsi="Aptos Narrow"/>
                <w:color w:val="000000"/>
              </w:rPr>
            </w:pPr>
            <w:r>
              <w:rPr>
                <w:rFonts w:ascii="Aptos Narrow" w:hAnsi="Aptos Narrow"/>
                <w:color w:val="000000"/>
              </w:rPr>
              <w:t>Satellite catalog ID</w:t>
            </w:r>
          </w:p>
        </w:tc>
        <w:tc>
          <w:tcPr>
            <w:tcW w:w="1138" w:type="dxa"/>
            <w:tcBorders>
              <w:top w:val="nil"/>
              <w:left w:val="nil"/>
              <w:bottom w:val="nil"/>
              <w:right w:val="nil"/>
            </w:tcBorders>
            <w:noWrap/>
            <w:vAlign w:val="bottom"/>
            <w:hideMark/>
          </w:tcPr>
          <w:p w14:paraId="5A84A9C6" w14:textId="77777777" w:rsidR="00F2561F" w:rsidRDefault="00F2561F">
            <w:pPr>
              <w:rPr>
                <w:rFonts w:ascii="Aptos Narrow" w:hAnsi="Aptos Narrow"/>
                <w:color w:val="000000"/>
              </w:rPr>
            </w:pPr>
            <w:r>
              <w:rPr>
                <w:rFonts w:ascii="Aptos Narrow" w:hAnsi="Aptos Narrow"/>
                <w:color w:val="000000"/>
              </w:rPr>
              <w:t>COSPAR ID</w:t>
            </w:r>
          </w:p>
        </w:tc>
        <w:tc>
          <w:tcPr>
            <w:tcW w:w="1296" w:type="dxa"/>
            <w:tcBorders>
              <w:top w:val="nil"/>
              <w:left w:val="nil"/>
              <w:bottom w:val="nil"/>
              <w:right w:val="nil"/>
            </w:tcBorders>
            <w:noWrap/>
            <w:vAlign w:val="bottom"/>
            <w:hideMark/>
          </w:tcPr>
          <w:p w14:paraId="2E71FE54" w14:textId="77777777" w:rsidR="00F2561F" w:rsidRDefault="00F2561F">
            <w:pPr>
              <w:rPr>
                <w:rFonts w:ascii="Aptos Narrow" w:hAnsi="Aptos Narrow"/>
                <w:color w:val="000000"/>
              </w:rPr>
            </w:pPr>
            <w:r>
              <w:rPr>
                <w:rFonts w:ascii="Aptos Narrow" w:hAnsi="Aptos Narrow"/>
                <w:color w:val="000000"/>
              </w:rPr>
              <w:t>Satellite name</w:t>
            </w:r>
          </w:p>
        </w:tc>
        <w:tc>
          <w:tcPr>
            <w:tcW w:w="1138" w:type="dxa"/>
            <w:tcBorders>
              <w:top w:val="nil"/>
              <w:left w:val="nil"/>
              <w:bottom w:val="nil"/>
              <w:right w:val="nil"/>
            </w:tcBorders>
            <w:noWrap/>
            <w:vAlign w:val="bottom"/>
            <w:hideMark/>
          </w:tcPr>
          <w:p w14:paraId="6636977B" w14:textId="77777777" w:rsidR="00F2561F" w:rsidRDefault="00F2561F">
            <w:pPr>
              <w:rPr>
                <w:rFonts w:ascii="Aptos Narrow" w:hAnsi="Aptos Narrow"/>
                <w:color w:val="000000"/>
              </w:rPr>
            </w:pPr>
            <w:r>
              <w:rPr>
                <w:rFonts w:ascii="Aptos Narrow" w:hAnsi="Aptos Narrow"/>
                <w:color w:val="000000"/>
              </w:rPr>
              <w:t>Object type</w:t>
            </w:r>
          </w:p>
        </w:tc>
        <w:tc>
          <w:tcPr>
            <w:tcW w:w="1162" w:type="dxa"/>
            <w:tcBorders>
              <w:top w:val="nil"/>
              <w:left w:val="nil"/>
              <w:bottom w:val="nil"/>
              <w:right w:val="nil"/>
            </w:tcBorders>
            <w:noWrap/>
            <w:vAlign w:val="bottom"/>
            <w:hideMark/>
          </w:tcPr>
          <w:p w14:paraId="575E4803" w14:textId="77777777" w:rsidR="00F2561F" w:rsidRDefault="00F2561F">
            <w:pPr>
              <w:rPr>
                <w:rFonts w:ascii="Aptos Narrow" w:hAnsi="Aptos Narrow"/>
                <w:color w:val="000000"/>
              </w:rPr>
            </w:pPr>
            <w:r>
              <w:rPr>
                <w:rFonts w:ascii="Aptos Narrow" w:hAnsi="Aptos Narrow"/>
                <w:color w:val="000000"/>
              </w:rPr>
              <w:t>Operating country</w:t>
            </w:r>
          </w:p>
        </w:tc>
        <w:tc>
          <w:tcPr>
            <w:tcW w:w="1586" w:type="dxa"/>
            <w:tcBorders>
              <w:top w:val="nil"/>
              <w:left w:val="nil"/>
              <w:bottom w:val="nil"/>
              <w:right w:val="nil"/>
            </w:tcBorders>
            <w:noWrap/>
            <w:vAlign w:val="bottom"/>
            <w:hideMark/>
          </w:tcPr>
          <w:p w14:paraId="56FD7E5E" w14:textId="77777777" w:rsidR="00F2561F" w:rsidRDefault="00F2561F">
            <w:pPr>
              <w:rPr>
                <w:rFonts w:ascii="Aptos Narrow" w:hAnsi="Aptos Narrow"/>
                <w:color w:val="000000"/>
              </w:rPr>
            </w:pPr>
            <w:r>
              <w:rPr>
                <w:rFonts w:ascii="Aptos Narrow" w:hAnsi="Aptos Narrow"/>
                <w:color w:val="000000"/>
              </w:rPr>
              <w:t>Epoch (calendar date)</w:t>
            </w:r>
          </w:p>
        </w:tc>
        <w:tc>
          <w:tcPr>
            <w:tcW w:w="1495" w:type="dxa"/>
            <w:tcBorders>
              <w:top w:val="nil"/>
              <w:left w:val="nil"/>
              <w:bottom w:val="nil"/>
              <w:right w:val="nil"/>
            </w:tcBorders>
            <w:noWrap/>
            <w:vAlign w:val="bottom"/>
            <w:hideMark/>
          </w:tcPr>
          <w:p w14:paraId="55E5CFD6" w14:textId="77777777" w:rsidR="00F2561F" w:rsidRDefault="00F2561F">
            <w:pPr>
              <w:rPr>
                <w:rFonts w:ascii="Aptos Narrow" w:hAnsi="Aptos Narrow"/>
                <w:color w:val="000000"/>
              </w:rPr>
            </w:pPr>
            <w:r>
              <w:rPr>
                <w:rFonts w:ascii="Aptos Narrow" w:hAnsi="Aptos Narrow"/>
                <w:color w:val="000000"/>
              </w:rPr>
              <w:t>Semi-major axis, a (km)</w:t>
            </w:r>
          </w:p>
        </w:tc>
        <w:tc>
          <w:tcPr>
            <w:tcW w:w="1620" w:type="dxa"/>
            <w:tcBorders>
              <w:top w:val="nil"/>
              <w:left w:val="nil"/>
              <w:bottom w:val="nil"/>
              <w:right w:val="nil"/>
            </w:tcBorders>
            <w:noWrap/>
            <w:vAlign w:val="bottom"/>
            <w:hideMark/>
          </w:tcPr>
          <w:p w14:paraId="6C632FF6" w14:textId="77777777" w:rsidR="00F2561F" w:rsidRDefault="00F2561F">
            <w:pPr>
              <w:rPr>
                <w:rFonts w:ascii="Aptos Narrow" w:hAnsi="Aptos Narrow"/>
                <w:color w:val="000000"/>
              </w:rPr>
            </w:pPr>
            <w:r>
              <w:rPr>
                <w:rFonts w:ascii="Aptos Narrow" w:hAnsi="Aptos Narrow"/>
                <w:color w:val="000000"/>
              </w:rPr>
              <w:t>Eccentricity, e</w:t>
            </w:r>
          </w:p>
        </w:tc>
        <w:tc>
          <w:tcPr>
            <w:tcW w:w="1620" w:type="dxa"/>
            <w:tcBorders>
              <w:top w:val="nil"/>
              <w:left w:val="nil"/>
              <w:bottom w:val="nil"/>
              <w:right w:val="nil"/>
            </w:tcBorders>
            <w:noWrap/>
            <w:vAlign w:val="bottom"/>
            <w:hideMark/>
          </w:tcPr>
          <w:p w14:paraId="3433EDCC" w14:textId="77777777" w:rsidR="00F2561F" w:rsidRDefault="00F2561F">
            <w:pPr>
              <w:rPr>
                <w:rFonts w:ascii="Aptos Narrow" w:hAnsi="Aptos Narrow"/>
                <w:color w:val="000000"/>
              </w:rPr>
            </w:pPr>
            <w:r>
              <w:rPr>
                <w:rFonts w:ascii="Aptos Narrow" w:hAnsi="Aptos Narrow"/>
                <w:color w:val="000000"/>
              </w:rPr>
              <w:t xml:space="preserve">Inclination, </w:t>
            </w:r>
            <w:proofErr w:type="spellStart"/>
            <w:r>
              <w:rPr>
                <w:rFonts w:ascii="Aptos Narrow" w:hAnsi="Aptos Narrow"/>
                <w:color w:val="000000"/>
              </w:rPr>
              <w:t>i</w:t>
            </w:r>
            <w:proofErr w:type="spellEnd"/>
            <w:r>
              <w:rPr>
                <w:rFonts w:ascii="Aptos Narrow" w:hAnsi="Aptos Narrow"/>
                <w:color w:val="000000"/>
              </w:rPr>
              <w:t xml:space="preserve"> (deg)</w:t>
            </w:r>
          </w:p>
        </w:tc>
      </w:tr>
      <w:tr w:rsidR="00F2561F" w14:paraId="7C76E041" w14:textId="77777777" w:rsidTr="00F2561F">
        <w:trPr>
          <w:trHeight w:val="325"/>
        </w:trPr>
        <w:tc>
          <w:tcPr>
            <w:tcW w:w="1004" w:type="dxa"/>
            <w:tcBorders>
              <w:top w:val="nil"/>
              <w:left w:val="nil"/>
              <w:bottom w:val="nil"/>
              <w:right w:val="nil"/>
            </w:tcBorders>
            <w:noWrap/>
            <w:vAlign w:val="bottom"/>
            <w:hideMark/>
          </w:tcPr>
          <w:p w14:paraId="11F8EB8E" w14:textId="77777777" w:rsidR="00F2561F" w:rsidRDefault="00F2561F" w:rsidP="00F2561F">
            <w:pPr>
              <w:jc w:val="right"/>
              <w:rPr>
                <w:rFonts w:ascii="Aptos Narrow" w:hAnsi="Aptos Narrow"/>
                <w:color w:val="000000"/>
              </w:rPr>
            </w:pPr>
            <w:r>
              <w:rPr>
                <w:rFonts w:ascii="Aptos Narrow" w:hAnsi="Aptos Narrow"/>
                <w:color w:val="000000"/>
              </w:rPr>
              <w:t>22566</w:t>
            </w:r>
          </w:p>
        </w:tc>
        <w:tc>
          <w:tcPr>
            <w:tcW w:w="1138" w:type="dxa"/>
            <w:tcBorders>
              <w:top w:val="nil"/>
              <w:left w:val="nil"/>
              <w:bottom w:val="nil"/>
              <w:right w:val="nil"/>
            </w:tcBorders>
            <w:noWrap/>
            <w:vAlign w:val="bottom"/>
            <w:hideMark/>
          </w:tcPr>
          <w:p w14:paraId="157166F4" w14:textId="77777777" w:rsidR="00F2561F" w:rsidRDefault="00F2561F" w:rsidP="00F2561F">
            <w:pPr>
              <w:rPr>
                <w:rFonts w:ascii="Aptos Narrow" w:hAnsi="Aptos Narrow"/>
                <w:color w:val="000000"/>
              </w:rPr>
            </w:pPr>
            <w:r>
              <w:rPr>
                <w:rFonts w:ascii="Aptos Narrow" w:hAnsi="Aptos Narrow"/>
                <w:color w:val="000000"/>
              </w:rPr>
              <w:t>93016B</w:t>
            </w:r>
          </w:p>
        </w:tc>
        <w:tc>
          <w:tcPr>
            <w:tcW w:w="1296" w:type="dxa"/>
            <w:tcBorders>
              <w:top w:val="nil"/>
              <w:left w:val="nil"/>
              <w:bottom w:val="nil"/>
              <w:right w:val="nil"/>
            </w:tcBorders>
            <w:noWrap/>
            <w:vAlign w:val="bottom"/>
            <w:hideMark/>
          </w:tcPr>
          <w:p w14:paraId="3A87533E" w14:textId="77777777" w:rsidR="00F2561F" w:rsidRDefault="00F2561F" w:rsidP="00F2561F">
            <w:pPr>
              <w:rPr>
                <w:rFonts w:ascii="Aptos Narrow" w:hAnsi="Aptos Narrow"/>
                <w:color w:val="000000"/>
              </w:rPr>
            </w:pPr>
            <w:r>
              <w:rPr>
                <w:rFonts w:ascii="Aptos Narrow" w:hAnsi="Aptos Narrow"/>
                <w:color w:val="000000"/>
              </w:rPr>
              <w:t>SL-16 R/B</w:t>
            </w:r>
          </w:p>
        </w:tc>
        <w:tc>
          <w:tcPr>
            <w:tcW w:w="1138" w:type="dxa"/>
            <w:tcBorders>
              <w:top w:val="nil"/>
              <w:left w:val="nil"/>
              <w:bottom w:val="nil"/>
              <w:right w:val="nil"/>
            </w:tcBorders>
            <w:noWrap/>
            <w:vAlign w:val="bottom"/>
            <w:hideMark/>
          </w:tcPr>
          <w:p w14:paraId="749138A1" w14:textId="77777777" w:rsidR="00F2561F" w:rsidRDefault="00F2561F" w:rsidP="00F2561F">
            <w:pPr>
              <w:rPr>
                <w:rFonts w:ascii="Aptos Narrow" w:hAnsi="Aptos Narrow"/>
                <w:color w:val="000000"/>
              </w:rPr>
            </w:pPr>
            <w:r>
              <w:rPr>
                <w:rFonts w:ascii="Aptos Narrow" w:hAnsi="Aptos Narrow"/>
                <w:color w:val="000000"/>
              </w:rPr>
              <w:t>ROCKET BODY</w:t>
            </w:r>
          </w:p>
        </w:tc>
        <w:tc>
          <w:tcPr>
            <w:tcW w:w="1162" w:type="dxa"/>
            <w:tcBorders>
              <w:top w:val="nil"/>
              <w:left w:val="nil"/>
              <w:bottom w:val="nil"/>
              <w:right w:val="nil"/>
            </w:tcBorders>
            <w:noWrap/>
            <w:vAlign w:val="bottom"/>
            <w:hideMark/>
          </w:tcPr>
          <w:p w14:paraId="023660CB" w14:textId="77777777" w:rsidR="00F2561F" w:rsidRDefault="00F2561F" w:rsidP="00F2561F">
            <w:pPr>
              <w:rPr>
                <w:rFonts w:ascii="Aptos Narrow" w:hAnsi="Aptos Narrow"/>
                <w:color w:val="000000"/>
              </w:rPr>
            </w:pPr>
            <w:r>
              <w:rPr>
                <w:rFonts w:ascii="Apple Color Emoji" w:hAnsi="Apple Color Emoji" w:cs="Apple Color Emoji"/>
                <w:color w:val="000000"/>
              </w:rPr>
              <w:t>🇷🇺</w:t>
            </w:r>
          </w:p>
        </w:tc>
        <w:tc>
          <w:tcPr>
            <w:tcW w:w="1586" w:type="dxa"/>
            <w:tcBorders>
              <w:top w:val="nil"/>
              <w:left w:val="nil"/>
              <w:bottom w:val="nil"/>
              <w:right w:val="nil"/>
            </w:tcBorders>
            <w:noWrap/>
            <w:vAlign w:val="bottom"/>
            <w:hideMark/>
          </w:tcPr>
          <w:p w14:paraId="7B2BF939" w14:textId="6C768F9A" w:rsidR="00F2561F" w:rsidRDefault="00F2561F" w:rsidP="00F2561F">
            <w:pPr>
              <w:jc w:val="center"/>
              <w:rPr>
                <w:rFonts w:ascii="Aptos Narrow" w:hAnsi="Aptos Narrow"/>
                <w:color w:val="000000"/>
              </w:rPr>
            </w:pPr>
            <w:r>
              <w:rPr>
                <w:rFonts w:ascii="Aptos Narrow" w:hAnsi="Aptos Narrow"/>
                <w:color w:val="000000"/>
              </w:rPr>
              <w:t>6/6/15</w:t>
            </w:r>
          </w:p>
        </w:tc>
        <w:tc>
          <w:tcPr>
            <w:tcW w:w="1495" w:type="dxa"/>
            <w:tcBorders>
              <w:top w:val="nil"/>
              <w:left w:val="nil"/>
              <w:bottom w:val="nil"/>
              <w:right w:val="nil"/>
            </w:tcBorders>
            <w:noWrap/>
            <w:vAlign w:val="bottom"/>
            <w:hideMark/>
          </w:tcPr>
          <w:p w14:paraId="610509BA" w14:textId="08C5E47D" w:rsidR="00F2561F" w:rsidRDefault="00F2561F" w:rsidP="00F2561F">
            <w:pPr>
              <w:jc w:val="right"/>
              <w:rPr>
                <w:rFonts w:ascii="Aptos Narrow" w:hAnsi="Aptos Narrow"/>
                <w:color w:val="000000"/>
              </w:rPr>
            </w:pPr>
            <w:r>
              <w:rPr>
                <w:rFonts w:ascii="Aptos Narrow" w:hAnsi="Aptos Narrow"/>
                <w:color w:val="000000"/>
              </w:rPr>
              <w:t>7220.77597</w:t>
            </w:r>
          </w:p>
        </w:tc>
        <w:tc>
          <w:tcPr>
            <w:tcW w:w="1620" w:type="dxa"/>
            <w:tcBorders>
              <w:top w:val="nil"/>
              <w:left w:val="nil"/>
              <w:bottom w:val="nil"/>
              <w:right w:val="nil"/>
            </w:tcBorders>
            <w:noWrap/>
            <w:vAlign w:val="bottom"/>
            <w:hideMark/>
          </w:tcPr>
          <w:p w14:paraId="1953054E" w14:textId="5C9381A5" w:rsidR="00F2561F" w:rsidRDefault="00F2561F" w:rsidP="00F2561F">
            <w:pPr>
              <w:jc w:val="right"/>
              <w:rPr>
                <w:rFonts w:ascii="Aptos Narrow" w:hAnsi="Aptos Narrow"/>
                <w:color w:val="000000"/>
              </w:rPr>
            </w:pPr>
            <w:r>
              <w:rPr>
                <w:rFonts w:ascii="Aptos Narrow" w:hAnsi="Aptos Narrow"/>
                <w:color w:val="000000"/>
              </w:rPr>
              <w:t>0.0010719</w:t>
            </w:r>
          </w:p>
        </w:tc>
        <w:tc>
          <w:tcPr>
            <w:tcW w:w="1620" w:type="dxa"/>
            <w:tcBorders>
              <w:top w:val="nil"/>
              <w:left w:val="nil"/>
              <w:bottom w:val="nil"/>
              <w:right w:val="nil"/>
            </w:tcBorders>
            <w:noWrap/>
            <w:vAlign w:val="bottom"/>
            <w:hideMark/>
          </w:tcPr>
          <w:p w14:paraId="20FF47EC" w14:textId="5EF26C32" w:rsidR="00F2561F" w:rsidRDefault="00F2561F" w:rsidP="00F2561F">
            <w:pPr>
              <w:jc w:val="right"/>
              <w:rPr>
                <w:rFonts w:ascii="Aptos Narrow" w:hAnsi="Aptos Narrow"/>
                <w:color w:val="000000"/>
              </w:rPr>
            </w:pPr>
            <w:r>
              <w:rPr>
                <w:rFonts w:ascii="Aptos Narrow" w:hAnsi="Aptos Narrow"/>
                <w:color w:val="000000"/>
              </w:rPr>
              <w:t>71.0065</w:t>
            </w:r>
          </w:p>
        </w:tc>
      </w:tr>
      <w:tr w:rsidR="00F2561F" w14:paraId="24C06299" w14:textId="77777777" w:rsidTr="00F2561F">
        <w:trPr>
          <w:trHeight w:val="325"/>
        </w:trPr>
        <w:tc>
          <w:tcPr>
            <w:tcW w:w="1004" w:type="dxa"/>
            <w:tcBorders>
              <w:top w:val="nil"/>
              <w:left w:val="nil"/>
              <w:bottom w:val="nil"/>
              <w:right w:val="nil"/>
            </w:tcBorders>
            <w:noWrap/>
            <w:vAlign w:val="bottom"/>
            <w:hideMark/>
          </w:tcPr>
          <w:p w14:paraId="77860E4D" w14:textId="77777777" w:rsidR="00F2561F" w:rsidRDefault="00F2561F" w:rsidP="00F2561F">
            <w:pPr>
              <w:jc w:val="right"/>
              <w:rPr>
                <w:rFonts w:ascii="Aptos Narrow" w:hAnsi="Aptos Narrow"/>
                <w:color w:val="000000"/>
              </w:rPr>
            </w:pPr>
            <w:r>
              <w:rPr>
                <w:rFonts w:ascii="Aptos Narrow" w:hAnsi="Aptos Narrow"/>
                <w:color w:val="000000"/>
              </w:rPr>
              <w:t>30239</w:t>
            </w:r>
          </w:p>
        </w:tc>
        <w:tc>
          <w:tcPr>
            <w:tcW w:w="1138" w:type="dxa"/>
            <w:tcBorders>
              <w:top w:val="nil"/>
              <w:left w:val="nil"/>
              <w:bottom w:val="nil"/>
              <w:right w:val="nil"/>
            </w:tcBorders>
            <w:noWrap/>
            <w:vAlign w:val="bottom"/>
            <w:hideMark/>
          </w:tcPr>
          <w:p w14:paraId="6CDFA75E" w14:textId="77777777" w:rsidR="00F2561F" w:rsidRDefault="00F2561F" w:rsidP="00F2561F">
            <w:pPr>
              <w:rPr>
                <w:rFonts w:ascii="Aptos Narrow" w:hAnsi="Aptos Narrow"/>
                <w:color w:val="000000"/>
              </w:rPr>
            </w:pPr>
            <w:r>
              <w:rPr>
                <w:rFonts w:ascii="Aptos Narrow" w:hAnsi="Aptos Narrow"/>
                <w:color w:val="000000"/>
              </w:rPr>
              <w:t>99025WY</w:t>
            </w:r>
          </w:p>
        </w:tc>
        <w:tc>
          <w:tcPr>
            <w:tcW w:w="1296" w:type="dxa"/>
            <w:tcBorders>
              <w:top w:val="nil"/>
              <w:left w:val="nil"/>
              <w:bottom w:val="nil"/>
              <w:right w:val="nil"/>
            </w:tcBorders>
            <w:noWrap/>
            <w:vAlign w:val="bottom"/>
            <w:hideMark/>
          </w:tcPr>
          <w:p w14:paraId="5B24A3AE" w14:textId="77777777" w:rsidR="00F2561F" w:rsidRDefault="00F2561F" w:rsidP="00F2561F">
            <w:pPr>
              <w:rPr>
                <w:rFonts w:ascii="Aptos Narrow" w:hAnsi="Aptos Narrow"/>
                <w:color w:val="000000"/>
              </w:rPr>
            </w:pPr>
            <w:r>
              <w:rPr>
                <w:rFonts w:ascii="Aptos Narrow" w:hAnsi="Aptos Narrow"/>
                <w:color w:val="000000"/>
              </w:rPr>
              <w:t>FENGYUN 1C DEB</w:t>
            </w:r>
          </w:p>
        </w:tc>
        <w:tc>
          <w:tcPr>
            <w:tcW w:w="1138" w:type="dxa"/>
            <w:tcBorders>
              <w:top w:val="nil"/>
              <w:left w:val="nil"/>
              <w:bottom w:val="nil"/>
              <w:right w:val="nil"/>
            </w:tcBorders>
            <w:noWrap/>
            <w:vAlign w:val="bottom"/>
            <w:hideMark/>
          </w:tcPr>
          <w:p w14:paraId="27A81EA8" w14:textId="77777777" w:rsidR="00F2561F" w:rsidRDefault="00F2561F" w:rsidP="00F2561F">
            <w:pPr>
              <w:rPr>
                <w:rFonts w:ascii="Aptos Narrow" w:hAnsi="Aptos Narrow"/>
                <w:color w:val="000000"/>
              </w:rPr>
            </w:pPr>
            <w:r>
              <w:rPr>
                <w:rFonts w:ascii="Aptos Narrow" w:hAnsi="Aptos Narrow"/>
                <w:color w:val="000000"/>
              </w:rPr>
              <w:t>DEBRIS</w:t>
            </w:r>
          </w:p>
        </w:tc>
        <w:tc>
          <w:tcPr>
            <w:tcW w:w="1162" w:type="dxa"/>
            <w:tcBorders>
              <w:top w:val="nil"/>
              <w:left w:val="nil"/>
              <w:bottom w:val="nil"/>
              <w:right w:val="nil"/>
            </w:tcBorders>
            <w:noWrap/>
            <w:vAlign w:val="bottom"/>
            <w:hideMark/>
          </w:tcPr>
          <w:p w14:paraId="77ACE1B4" w14:textId="77777777" w:rsidR="00F2561F" w:rsidRDefault="00F2561F" w:rsidP="00F2561F">
            <w:pPr>
              <w:rPr>
                <w:rFonts w:ascii="Aptos Narrow" w:hAnsi="Aptos Narrow"/>
                <w:color w:val="000000"/>
              </w:rPr>
            </w:pPr>
            <w:r>
              <w:rPr>
                <w:rFonts w:ascii="Apple Color Emoji" w:hAnsi="Apple Color Emoji" w:cs="Apple Color Emoji"/>
                <w:color w:val="000000"/>
              </w:rPr>
              <w:t>🇨🇳</w:t>
            </w:r>
          </w:p>
        </w:tc>
        <w:tc>
          <w:tcPr>
            <w:tcW w:w="1586" w:type="dxa"/>
            <w:tcBorders>
              <w:top w:val="nil"/>
              <w:left w:val="nil"/>
              <w:bottom w:val="nil"/>
              <w:right w:val="nil"/>
            </w:tcBorders>
            <w:noWrap/>
            <w:vAlign w:val="bottom"/>
            <w:hideMark/>
          </w:tcPr>
          <w:p w14:paraId="3E5BABF4" w14:textId="306815AA" w:rsidR="00F2561F" w:rsidRDefault="00F2561F" w:rsidP="00F2561F">
            <w:pPr>
              <w:jc w:val="center"/>
              <w:rPr>
                <w:rFonts w:ascii="Aptos Narrow" w:hAnsi="Aptos Narrow"/>
                <w:color w:val="000000"/>
              </w:rPr>
            </w:pPr>
            <w:r>
              <w:rPr>
                <w:rFonts w:ascii="Aptos Narrow" w:hAnsi="Aptos Narrow"/>
                <w:color w:val="000000"/>
              </w:rPr>
              <w:t>10/1/17</w:t>
            </w:r>
          </w:p>
        </w:tc>
        <w:tc>
          <w:tcPr>
            <w:tcW w:w="1495" w:type="dxa"/>
            <w:tcBorders>
              <w:top w:val="nil"/>
              <w:left w:val="nil"/>
              <w:bottom w:val="nil"/>
              <w:right w:val="nil"/>
            </w:tcBorders>
            <w:noWrap/>
            <w:vAlign w:val="bottom"/>
            <w:hideMark/>
          </w:tcPr>
          <w:p w14:paraId="5DE08954" w14:textId="36B08683" w:rsidR="00F2561F" w:rsidRDefault="00F2561F" w:rsidP="00F2561F">
            <w:pPr>
              <w:jc w:val="right"/>
              <w:rPr>
                <w:rFonts w:ascii="Aptos Narrow" w:hAnsi="Aptos Narrow"/>
                <w:color w:val="000000"/>
              </w:rPr>
            </w:pPr>
            <w:r>
              <w:rPr>
                <w:rFonts w:ascii="Aptos Narrow" w:hAnsi="Aptos Narrow"/>
                <w:color w:val="000000"/>
              </w:rPr>
              <w:t>8498.047936</w:t>
            </w:r>
          </w:p>
        </w:tc>
        <w:tc>
          <w:tcPr>
            <w:tcW w:w="1620" w:type="dxa"/>
            <w:tcBorders>
              <w:top w:val="nil"/>
              <w:left w:val="nil"/>
              <w:bottom w:val="nil"/>
              <w:right w:val="nil"/>
            </w:tcBorders>
            <w:noWrap/>
            <w:vAlign w:val="bottom"/>
            <w:hideMark/>
          </w:tcPr>
          <w:p w14:paraId="0A01459E" w14:textId="63B89769" w:rsidR="00F2561F" w:rsidRDefault="00F2561F" w:rsidP="00F2561F">
            <w:pPr>
              <w:jc w:val="right"/>
              <w:rPr>
                <w:rFonts w:ascii="Aptos Narrow" w:hAnsi="Aptos Narrow"/>
                <w:color w:val="000000"/>
              </w:rPr>
            </w:pPr>
            <w:r>
              <w:rPr>
                <w:rFonts w:ascii="Aptos Narrow" w:hAnsi="Aptos Narrow"/>
                <w:color w:val="000000"/>
              </w:rPr>
              <w:t>0.1501976</w:t>
            </w:r>
          </w:p>
        </w:tc>
        <w:tc>
          <w:tcPr>
            <w:tcW w:w="1620" w:type="dxa"/>
            <w:tcBorders>
              <w:top w:val="nil"/>
              <w:left w:val="nil"/>
              <w:bottom w:val="nil"/>
              <w:right w:val="nil"/>
            </w:tcBorders>
            <w:noWrap/>
            <w:vAlign w:val="bottom"/>
            <w:hideMark/>
          </w:tcPr>
          <w:p w14:paraId="6DD879AA" w14:textId="11B3461C" w:rsidR="00F2561F" w:rsidRDefault="00F2561F" w:rsidP="00F2561F">
            <w:pPr>
              <w:jc w:val="right"/>
              <w:rPr>
                <w:rFonts w:ascii="Aptos Narrow" w:hAnsi="Aptos Narrow"/>
                <w:color w:val="000000"/>
              </w:rPr>
            </w:pPr>
            <w:r>
              <w:rPr>
                <w:rFonts w:ascii="Aptos Narrow" w:hAnsi="Aptos Narrow"/>
                <w:color w:val="000000"/>
              </w:rPr>
              <w:t>99.7201</w:t>
            </w:r>
          </w:p>
        </w:tc>
      </w:tr>
      <w:tr w:rsidR="00F2561F" w14:paraId="7F225B9C" w14:textId="77777777" w:rsidTr="00F2561F">
        <w:trPr>
          <w:trHeight w:val="325"/>
        </w:trPr>
        <w:tc>
          <w:tcPr>
            <w:tcW w:w="1004" w:type="dxa"/>
            <w:tcBorders>
              <w:top w:val="nil"/>
              <w:left w:val="nil"/>
              <w:bottom w:val="nil"/>
              <w:right w:val="nil"/>
            </w:tcBorders>
            <w:noWrap/>
            <w:vAlign w:val="bottom"/>
            <w:hideMark/>
          </w:tcPr>
          <w:p w14:paraId="03935A62" w14:textId="77777777" w:rsidR="00F2561F" w:rsidRDefault="00F2561F" w:rsidP="00F2561F">
            <w:pPr>
              <w:jc w:val="right"/>
              <w:rPr>
                <w:rFonts w:ascii="Aptos Narrow" w:hAnsi="Aptos Narrow"/>
                <w:color w:val="000000"/>
              </w:rPr>
            </w:pPr>
            <w:r>
              <w:rPr>
                <w:rFonts w:ascii="Aptos Narrow" w:hAnsi="Aptos Narrow"/>
                <w:color w:val="000000"/>
              </w:rPr>
              <w:t>44625</w:t>
            </w:r>
          </w:p>
        </w:tc>
        <w:tc>
          <w:tcPr>
            <w:tcW w:w="1138" w:type="dxa"/>
            <w:tcBorders>
              <w:top w:val="nil"/>
              <w:left w:val="nil"/>
              <w:bottom w:val="nil"/>
              <w:right w:val="nil"/>
            </w:tcBorders>
            <w:noWrap/>
            <w:vAlign w:val="bottom"/>
            <w:hideMark/>
          </w:tcPr>
          <w:p w14:paraId="46FF0A10" w14:textId="77777777" w:rsidR="00F2561F" w:rsidRDefault="00F2561F" w:rsidP="00F2561F">
            <w:pPr>
              <w:rPr>
                <w:rFonts w:ascii="Aptos Narrow" w:hAnsi="Aptos Narrow"/>
                <w:color w:val="000000"/>
              </w:rPr>
            </w:pPr>
            <w:r>
              <w:rPr>
                <w:rFonts w:ascii="Aptos Narrow" w:hAnsi="Aptos Narrow"/>
                <w:color w:val="000000"/>
              </w:rPr>
              <w:t>19067B</w:t>
            </w:r>
          </w:p>
        </w:tc>
        <w:tc>
          <w:tcPr>
            <w:tcW w:w="1296" w:type="dxa"/>
            <w:tcBorders>
              <w:top w:val="nil"/>
              <w:left w:val="nil"/>
              <w:bottom w:val="nil"/>
              <w:right w:val="nil"/>
            </w:tcBorders>
            <w:noWrap/>
            <w:vAlign w:val="bottom"/>
            <w:hideMark/>
          </w:tcPr>
          <w:p w14:paraId="4131E4F3" w14:textId="77777777" w:rsidR="00F2561F" w:rsidRDefault="00F2561F" w:rsidP="00F2561F">
            <w:pPr>
              <w:rPr>
                <w:rFonts w:ascii="Aptos Narrow" w:hAnsi="Aptos Narrow"/>
                <w:color w:val="000000"/>
              </w:rPr>
            </w:pPr>
            <w:r>
              <w:rPr>
                <w:rFonts w:ascii="Aptos Narrow" w:hAnsi="Aptos Narrow"/>
                <w:color w:val="000000"/>
              </w:rPr>
              <w:t>MEV-1</w:t>
            </w:r>
          </w:p>
        </w:tc>
        <w:tc>
          <w:tcPr>
            <w:tcW w:w="1138" w:type="dxa"/>
            <w:tcBorders>
              <w:top w:val="nil"/>
              <w:left w:val="nil"/>
              <w:bottom w:val="nil"/>
              <w:right w:val="nil"/>
            </w:tcBorders>
            <w:noWrap/>
            <w:vAlign w:val="bottom"/>
            <w:hideMark/>
          </w:tcPr>
          <w:p w14:paraId="32290FA7" w14:textId="77777777" w:rsidR="00F2561F" w:rsidRDefault="00F2561F" w:rsidP="00F2561F">
            <w:pPr>
              <w:rPr>
                <w:rFonts w:ascii="Aptos Narrow" w:hAnsi="Aptos Narrow"/>
                <w:color w:val="000000"/>
              </w:rPr>
            </w:pPr>
            <w:r>
              <w:rPr>
                <w:rFonts w:ascii="Aptos Narrow" w:hAnsi="Aptos Narrow"/>
                <w:color w:val="000000"/>
              </w:rPr>
              <w:t>PAYLOAD</w:t>
            </w:r>
          </w:p>
        </w:tc>
        <w:tc>
          <w:tcPr>
            <w:tcW w:w="1162" w:type="dxa"/>
            <w:tcBorders>
              <w:top w:val="nil"/>
              <w:left w:val="nil"/>
              <w:bottom w:val="nil"/>
              <w:right w:val="nil"/>
            </w:tcBorders>
            <w:noWrap/>
            <w:vAlign w:val="bottom"/>
            <w:hideMark/>
          </w:tcPr>
          <w:p w14:paraId="6C4A372F" w14:textId="77777777" w:rsidR="00F2561F" w:rsidRDefault="00F2561F" w:rsidP="00F2561F">
            <w:pPr>
              <w:rPr>
                <w:rFonts w:ascii="Aptos Narrow" w:hAnsi="Aptos Narrow"/>
                <w:color w:val="000000"/>
              </w:rPr>
            </w:pPr>
            <w:r>
              <w:rPr>
                <w:rFonts w:ascii="Apple Color Emoji" w:hAnsi="Apple Color Emoji" w:cs="Apple Color Emoji"/>
                <w:color w:val="000000"/>
              </w:rPr>
              <w:t>🇺🇸</w:t>
            </w:r>
          </w:p>
        </w:tc>
        <w:tc>
          <w:tcPr>
            <w:tcW w:w="1586" w:type="dxa"/>
            <w:tcBorders>
              <w:top w:val="nil"/>
              <w:left w:val="nil"/>
              <w:bottom w:val="nil"/>
              <w:right w:val="nil"/>
            </w:tcBorders>
            <w:noWrap/>
            <w:vAlign w:val="bottom"/>
            <w:hideMark/>
          </w:tcPr>
          <w:p w14:paraId="7633E4C8" w14:textId="29F221E8" w:rsidR="00F2561F" w:rsidRDefault="00F2561F" w:rsidP="00F2561F">
            <w:pPr>
              <w:jc w:val="center"/>
              <w:rPr>
                <w:rFonts w:ascii="Aptos Narrow" w:hAnsi="Aptos Narrow"/>
                <w:color w:val="000000"/>
              </w:rPr>
            </w:pPr>
            <w:r>
              <w:rPr>
                <w:rFonts w:ascii="Aptos Narrow" w:hAnsi="Aptos Narrow"/>
                <w:color w:val="000000"/>
              </w:rPr>
              <w:t>11/16/19</w:t>
            </w:r>
          </w:p>
        </w:tc>
        <w:tc>
          <w:tcPr>
            <w:tcW w:w="1495" w:type="dxa"/>
            <w:tcBorders>
              <w:top w:val="nil"/>
              <w:left w:val="nil"/>
              <w:bottom w:val="nil"/>
              <w:right w:val="nil"/>
            </w:tcBorders>
            <w:noWrap/>
            <w:vAlign w:val="bottom"/>
            <w:hideMark/>
          </w:tcPr>
          <w:p w14:paraId="3FDCBD46" w14:textId="033DAEF6" w:rsidR="00F2561F" w:rsidRDefault="00F2561F" w:rsidP="00F2561F">
            <w:pPr>
              <w:jc w:val="right"/>
              <w:rPr>
                <w:rFonts w:ascii="Aptos Narrow" w:hAnsi="Aptos Narrow"/>
                <w:color w:val="000000"/>
              </w:rPr>
            </w:pPr>
            <w:r>
              <w:rPr>
                <w:rFonts w:ascii="Aptos Narrow" w:hAnsi="Aptos Narrow"/>
                <w:color w:val="000000"/>
              </w:rPr>
              <w:t>45721.95607</w:t>
            </w:r>
          </w:p>
        </w:tc>
        <w:tc>
          <w:tcPr>
            <w:tcW w:w="1620" w:type="dxa"/>
            <w:tcBorders>
              <w:top w:val="nil"/>
              <w:left w:val="nil"/>
              <w:bottom w:val="nil"/>
              <w:right w:val="nil"/>
            </w:tcBorders>
            <w:noWrap/>
            <w:vAlign w:val="bottom"/>
            <w:hideMark/>
          </w:tcPr>
          <w:p w14:paraId="12560092" w14:textId="6F054640" w:rsidR="00F2561F" w:rsidRDefault="00F2561F" w:rsidP="00F2561F">
            <w:pPr>
              <w:jc w:val="right"/>
              <w:rPr>
                <w:rFonts w:ascii="Aptos Narrow" w:hAnsi="Aptos Narrow"/>
                <w:color w:val="000000"/>
              </w:rPr>
            </w:pPr>
            <w:r>
              <w:rPr>
                <w:rFonts w:ascii="Aptos Narrow" w:hAnsi="Aptos Narrow"/>
                <w:color w:val="000000"/>
              </w:rPr>
              <w:t>0.4204334</w:t>
            </w:r>
          </w:p>
        </w:tc>
        <w:tc>
          <w:tcPr>
            <w:tcW w:w="1620" w:type="dxa"/>
            <w:tcBorders>
              <w:top w:val="nil"/>
              <w:left w:val="nil"/>
              <w:bottom w:val="nil"/>
              <w:right w:val="nil"/>
            </w:tcBorders>
            <w:noWrap/>
            <w:vAlign w:val="bottom"/>
            <w:hideMark/>
          </w:tcPr>
          <w:p w14:paraId="0860A83A" w14:textId="6CC53854" w:rsidR="00F2561F" w:rsidRDefault="00F2561F" w:rsidP="00F2561F">
            <w:pPr>
              <w:jc w:val="right"/>
              <w:rPr>
                <w:rFonts w:ascii="Aptos Narrow" w:hAnsi="Aptos Narrow"/>
                <w:color w:val="000000"/>
              </w:rPr>
            </w:pPr>
            <w:r>
              <w:rPr>
                <w:rFonts w:ascii="Aptos Narrow" w:hAnsi="Aptos Narrow"/>
                <w:color w:val="000000"/>
              </w:rPr>
              <w:t>5.894</w:t>
            </w:r>
          </w:p>
        </w:tc>
      </w:tr>
      <w:tr w:rsidR="00F2561F" w14:paraId="1A9620DF" w14:textId="77777777" w:rsidTr="00F2561F">
        <w:trPr>
          <w:trHeight w:val="325"/>
        </w:trPr>
        <w:tc>
          <w:tcPr>
            <w:tcW w:w="1004" w:type="dxa"/>
            <w:tcBorders>
              <w:top w:val="nil"/>
              <w:left w:val="nil"/>
              <w:bottom w:val="nil"/>
              <w:right w:val="nil"/>
            </w:tcBorders>
            <w:noWrap/>
            <w:vAlign w:val="bottom"/>
            <w:hideMark/>
          </w:tcPr>
          <w:p w14:paraId="642165C2" w14:textId="77777777" w:rsidR="00F2561F" w:rsidRDefault="00F2561F" w:rsidP="00F2561F">
            <w:pPr>
              <w:jc w:val="right"/>
              <w:rPr>
                <w:rFonts w:ascii="Aptos Narrow" w:hAnsi="Aptos Narrow"/>
                <w:color w:val="000000"/>
              </w:rPr>
            </w:pPr>
            <w:r>
              <w:rPr>
                <w:rFonts w:ascii="Aptos Narrow" w:hAnsi="Aptos Narrow"/>
                <w:color w:val="000000"/>
              </w:rPr>
              <w:t>47944</w:t>
            </w:r>
          </w:p>
        </w:tc>
        <w:tc>
          <w:tcPr>
            <w:tcW w:w="1138" w:type="dxa"/>
            <w:tcBorders>
              <w:top w:val="nil"/>
              <w:left w:val="nil"/>
              <w:bottom w:val="nil"/>
              <w:right w:val="nil"/>
            </w:tcBorders>
            <w:noWrap/>
            <w:vAlign w:val="bottom"/>
            <w:hideMark/>
          </w:tcPr>
          <w:p w14:paraId="7049A781" w14:textId="77777777" w:rsidR="00F2561F" w:rsidRDefault="00F2561F" w:rsidP="00F2561F">
            <w:pPr>
              <w:rPr>
                <w:rFonts w:ascii="Aptos Narrow" w:hAnsi="Aptos Narrow"/>
                <w:color w:val="000000"/>
              </w:rPr>
            </w:pPr>
            <w:r>
              <w:rPr>
                <w:rFonts w:ascii="Aptos Narrow" w:hAnsi="Aptos Narrow"/>
                <w:color w:val="000000"/>
              </w:rPr>
              <w:t>21022N</w:t>
            </w:r>
          </w:p>
        </w:tc>
        <w:tc>
          <w:tcPr>
            <w:tcW w:w="1296" w:type="dxa"/>
            <w:tcBorders>
              <w:top w:val="nil"/>
              <w:left w:val="nil"/>
              <w:bottom w:val="nil"/>
              <w:right w:val="nil"/>
            </w:tcBorders>
            <w:noWrap/>
            <w:vAlign w:val="bottom"/>
            <w:hideMark/>
          </w:tcPr>
          <w:p w14:paraId="54ABEC82" w14:textId="77777777" w:rsidR="00F2561F" w:rsidRDefault="00F2561F" w:rsidP="00F2561F">
            <w:pPr>
              <w:rPr>
                <w:rFonts w:ascii="Aptos Narrow" w:hAnsi="Aptos Narrow"/>
                <w:color w:val="000000"/>
              </w:rPr>
            </w:pPr>
            <w:r>
              <w:rPr>
                <w:rFonts w:ascii="Aptos Narrow" w:hAnsi="Aptos Narrow"/>
                <w:color w:val="000000"/>
              </w:rPr>
              <w:t>ELSA-D</w:t>
            </w:r>
          </w:p>
        </w:tc>
        <w:tc>
          <w:tcPr>
            <w:tcW w:w="1138" w:type="dxa"/>
            <w:tcBorders>
              <w:top w:val="nil"/>
              <w:left w:val="nil"/>
              <w:bottom w:val="nil"/>
              <w:right w:val="nil"/>
            </w:tcBorders>
            <w:noWrap/>
            <w:vAlign w:val="bottom"/>
            <w:hideMark/>
          </w:tcPr>
          <w:p w14:paraId="629D1F9A" w14:textId="77777777" w:rsidR="00F2561F" w:rsidRDefault="00F2561F" w:rsidP="00F2561F">
            <w:pPr>
              <w:rPr>
                <w:rFonts w:ascii="Aptos Narrow" w:hAnsi="Aptos Narrow"/>
                <w:color w:val="000000"/>
              </w:rPr>
            </w:pPr>
            <w:r>
              <w:rPr>
                <w:rFonts w:ascii="Aptos Narrow" w:hAnsi="Aptos Narrow"/>
                <w:color w:val="000000"/>
              </w:rPr>
              <w:t>PAYLOAD</w:t>
            </w:r>
          </w:p>
        </w:tc>
        <w:tc>
          <w:tcPr>
            <w:tcW w:w="1162" w:type="dxa"/>
            <w:tcBorders>
              <w:top w:val="nil"/>
              <w:left w:val="nil"/>
              <w:bottom w:val="nil"/>
              <w:right w:val="nil"/>
            </w:tcBorders>
            <w:noWrap/>
            <w:vAlign w:val="bottom"/>
            <w:hideMark/>
          </w:tcPr>
          <w:p w14:paraId="40D231C2" w14:textId="77777777" w:rsidR="00F2561F" w:rsidRDefault="00F2561F" w:rsidP="00F2561F">
            <w:pPr>
              <w:rPr>
                <w:rFonts w:ascii="Aptos Narrow" w:hAnsi="Aptos Narrow"/>
                <w:color w:val="000000"/>
              </w:rPr>
            </w:pPr>
            <w:r>
              <w:rPr>
                <w:rFonts w:ascii="Apple Color Emoji" w:hAnsi="Apple Color Emoji" w:cs="Apple Color Emoji"/>
                <w:color w:val="000000"/>
              </w:rPr>
              <w:t>🇯🇵</w:t>
            </w:r>
          </w:p>
        </w:tc>
        <w:tc>
          <w:tcPr>
            <w:tcW w:w="1586" w:type="dxa"/>
            <w:tcBorders>
              <w:top w:val="nil"/>
              <w:left w:val="nil"/>
              <w:bottom w:val="nil"/>
              <w:right w:val="nil"/>
            </w:tcBorders>
            <w:noWrap/>
            <w:vAlign w:val="bottom"/>
            <w:hideMark/>
          </w:tcPr>
          <w:p w14:paraId="5ACBBF02" w14:textId="5A1D4A88" w:rsidR="00F2561F" w:rsidRDefault="00F2561F" w:rsidP="00F2561F">
            <w:pPr>
              <w:jc w:val="center"/>
              <w:rPr>
                <w:rFonts w:ascii="Aptos Narrow" w:hAnsi="Aptos Narrow"/>
                <w:color w:val="000000"/>
              </w:rPr>
            </w:pPr>
            <w:r>
              <w:rPr>
                <w:rFonts w:ascii="Aptos Narrow" w:hAnsi="Aptos Narrow"/>
                <w:color w:val="000000"/>
              </w:rPr>
              <w:t>11/28/22</w:t>
            </w:r>
          </w:p>
        </w:tc>
        <w:tc>
          <w:tcPr>
            <w:tcW w:w="1495" w:type="dxa"/>
            <w:tcBorders>
              <w:top w:val="nil"/>
              <w:left w:val="nil"/>
              <w:bottom w:val="nil"/>
              <w:right w:val="nil"/>
            </w:tcBorders>
            <w:noWrap/>
            <w:vAlign w:val="bottom"/>
            <w:hideMark/>
          </w:tcPr>
          <w:p w14:paraId="556BA045" w14:textId="3BA65E58" w:rsidR="00F2561F" w:rsidRDefault="00F2561F" w:rsidP="00F2561F">
            <w:pPr>
              <w:jc w:val="right"/>
              <w:rPr>
                <w:rFonts w:ascii="Aptos Narrow" w:hAnsi="Aptos Narrow"/>
                <w:color w:val="000000"/>
              </w:rPr>
            </w:pPr>
            <w:r>
              <w:rPr>
                <w:rFonts w:ascii="Aptos Narrow" w:hAnsi="Aptos Narrow"/>
                <w:color w:val="000000"/>
              </w:rPr>
              <w:t>6915.461764</w:t>
            </w:r>
          </w:p>
        </w:tc>
        <w:tc>
          <w:tcPr>
            <w:tcW w:w="1620" w:type="dxa"/>
            <w:tcBorders>
              <w:top w:val="nil"/>
              <w:left w:val="nil"/>
              <w:bottom w:val="nil"/>
              <w:right w:val="nil"/>
            </w:tcBorders>
            <w:noWrap/>
            <w:vAlign w:val="bottom"/>
            <w:hideMark/>
          </w:tcPr>
          <w:p w14:paraId="1CF04A2A" w14:textId="15AECEFA" w:rsidR="00F2561F" w:rsidRDefault="00F2561F" w:rsidP="00F2561F">
            <w:pPr>
              <w:jc w:val="right"/>
              <w:rPr>
                <w:rFonts w:ascii="Aptos Narrow" w:hAnsi="Aptos Narrow"/>
                <w:color w:val="000000"/>
              </w:rPr>
            </w:pPr>
            <w:r>
              <w:rPr>
                <w:rFonts w:ascii="Aptos Narrow" w:hAnsi="Aptos Narrow"/>
                <w:color w:val="000000"/>
              </w:rPr>
              <w:t>0.0016455</w:t>
            </w:r>
          </w:p>
        </w:tc>
        <w:tc>
          <w:tcPr>
            <w:tcW w:w="1620" w:type="dxa"/>
            <w:tcBorders>
              <w:top w:val="nil"/>
              <w:left w:val="nil"/>
              <w:bottom w:val="nil"/>
              <w:right w:val="nil"/>
            </w:tcBorders>
            <w:noWrap/>
            <w:vAlign w:val="bottom"/>
            <w:hideMark/>
          </w:tcPr>
          <w:p w14:paraId="4959F198" w14:textId="05C11EDC" w:rsidR="00F2561F" w:rsidRDefault="00F2561F" w:rsidP="00F2561F">
            <w:pPr>
              <w:jc w:val="right"/>
              <w:rPr>
                <w:rFonts w:ascii="Aptos Narrow" w:hAnsi="Aptos Narrow"/>
                <w:color w:val="000000"/>
              </w:rPr>
            </w:pPr>
            <w:r>
              <w:rPr>
                <w:rFonts w:ascii="Aptos Narrow" w:hAnsi="Aptos Narrow"/>
                <w:color w:val="000000"/>
              </w:rPr>
              <w:t>97.5125</w:t>
            </w:r>
          </w:p>
        </w:tc>
      </w:tr>
      <w:tr w:rsidR="00F2561F" w14:paraId="708F3AE8" w14:textId="77777777" w:rsidTr="00F2561F">
        <w:trPr>
          <w:trHeight w:val="325"/>
        </w:trPr>
        <w:tc>
          <w:tcPr>
            <w:tcW w:w="1004" w:type="dxa"/>
            <w:tcBorders>
              <w:top w:val="nil"/>
              <w:left w:val="nil"/>
              <w:bottom w:val="nil"/>
              <w:right w:val="nil"/>
            </w:tcBorders>
            <w:noWrap/>
            <w:vAlign w:val="bottom"/>
            <w:hideMark/>
          </w:tcPr>
          <w:p w14:paraId="0C77DDE3" w14:textId="77777777" w:rsidR="00F2561F" w:rsidRDefault="00F2561F" w:rsidP="00F2561F">
            <w:pPr>
              <w:jc w:val="right"/>
              <w:rPr>
                <w:rFonts w:ascii="Aptos Narrow" w:hAnsi="Aptos Narrow"/>
                <w:color w:val="000000"/>
              </w:rPr>
            </w:pPr>
            <w:r>
              <w:rPr>
                <w:rFonts w:ascii="Aptos Narrow" w:hAnsi="Aptos Narrow"/>
                <w:color w:val="000000"/>
              </w:rPr>
              <w:t>27378</w:t>
            </w:r>
          </w:p>
        </w:tc>
        <w:tc>
          <w:tcPr>
            <w:tcW w:w="1138" w:type="dxa"/>
            <w:tcBorders>
              <w:top w:val="nil"/>
              <w:left w:val="nil"/>
              <w:bottom w:val="nil"/>
              <w:right w:val="nil"/>
            </w:tcBorders>
            <w:noWrap/>
            <w:vAlign w:val="bottom"/>
            <w:hideMark/>
          </w:tcPr>
          <w:p w14:paraId="6D87FCE4" w14:textId="77777777" w:rsidR="00F2561F" w:rsidRDefault="00F2561F" w:rsidP="00F2561F">
            <w:pPr>
              <w:rPr>
                <w:rFonts w:ascii="Aptos Narrow" w:hAnsi="Aptos Narrow"/>
                <w:color w:val="000000"/>
              </w:rPr>
            </w:pPr>
            <w:r>
              <w:rPr>
                <w:rFonts w:ascii="Aptos Narrow" w:hAnsi="Aptos Narrow"/>
                <w:color w:val="000000"/>
              </w:rPr>
              <w:t>02006A</w:t>
            </w:r>
          </w:p>
        </w:tc>
        <w:tc>
          <w:tcPr>
            <w:tcW w:w="1296" w:type="dxa"/>
            <w:tcBorders>
              <w:top w:val="nil"/>
              <w:left w:val="nil"/>
              <w:bottom w:val="nil"/>
              <w:right w:val="nil"/>
            </w:tcBorders>
            <w:noWrap/>
            <w:vAlign w:val="bottom"/>
            <w:hideMark/>
          </w:tcPr>
          <w:p w14:paraId="14FDB636" w14:textId="77777777" w:rsidR="00F2561F" w:rsidRDefault="00F2561F" w:rsidP="00F2561F">
            <w:pPr>
              <w:rPr>
                <w:rFonts w:ascii="Aptos Narrow" w:hAnsi="Aptos Narrow"/>
                <w:color w:val="000000"/>
              </w:rPr>
            </w:pPr>
            <w:r>
              <w:rPr>
                <w:rFonts w:ascii="Aptos Narrow" w:hAnsi="Aptos Narrow"/>
                <w:color w:val="000000"/>
              </w:rPr>
              <w:t>ECHOSTAR 7</w:t>
            </w:r>
          </w:p>
        </w:tc>
        <w:tc>
          <w:tcPr>
            <w:tcW w:w="1138" w:type="dxa"/>
            <w:tcBorders>
              <w:top w:val="nil"/>
              <w:left w:val="nil"/>
              <w:bottom w:val="nil"/>
              <w:right w:val="nil"/>
            </w:tcBorders>
            <w:noWrap/>
            <w:vAlign w:val="bottom"/>
            <w:hideMark/>
          </w:tcPr>
          <w:p w14:paraId="6443E100" w14:textId="77777777" w:rsidR="00F2561F" w:rsidRDefault="00F2561F" w:rsidP="00F2561F">
            <w:pPr>
              <w:rPr>
                <w:rFonts w:ascii="Aptos Narrow" w:hAnsi="Aptos Narrow"/>
                <w:color w:val="000000"/>
              </w:rPr>
            </w:pPr>
            <w:r>
              <w:rPr>
                <w:rFonts w:ascii="Aptos Narrow" w:hAnsi="Aptos Narrow"/>
                <w:color w:val="000000"/>
              </w:rPr>
              <w:t>PAYLOAD</w:t>
            </w:r>
          </w:p>
        </w:tc>
        <w:tc>
          <w:tcPr>
            <w:tcW w:w="1162" w:type="dxa"/>
            <w:tcBorders>
              <w:top w:val="nil"/>
              <w:left w:val="nil"/>
              <w:bottom w:val="nil"/>
              <w:right w:val="nil"/>
            </w:tcBorders>
            <w:noWrap/>
            <w:vAlign w:val="bottom"/>
            <w:hideMark/>
          </w:tcPr>
          <w:p w14:paraId="1B1B9D5C" w14:textId="77777777" w:rsidR="00F2561F" w:rsidRDefault="00F2561F" w:rsidP="00F2561F">
            <w:pPr>
              <w:rPr>
                <w:rFonts w:ascii="Aptos Narrow" w:hAnsi="Aptos Narrow"/>
                <w:color w:val="000000"/>
              </w:rPr>
            </w:pPr>
            <w:r>
              <w:rPr>
                <w:rFonts w:ascii="Apple Color Emoji" w:hAnsi="Apple Color Emoji" w:cs="Apple Color Emoji"/>
                <w:color w:val="000000"/>
              </w:rPr>
              <w:t>🇺🇸</w:t>
            </w:r>
          </w:p>
        </w:tc>
        <w:tc>
          <w:tcPr>
            <w:tcW w:w="1586" w:type="dxa"/>
            <w:tcBorders>
              <w:top w:val="nil"/>
              <w:left w:val="nil"/>
              <w:bottom w:val="nil"/>
              <w:right w:val="nil"/>
            </w:tcBorders>
            <w:noWrap/>
            <w:vAlign w:val="bottom"/>
            <w:hideMark/>
          </w:tcPr>
          <w:p w14:paraId="0D709C88" w14:textId="7DC7D1D2" w:rsidR="00F2561F" w:rsidRDefault="00F2561F" w:rsidP="00F2561F">
            <w:pPr>
              <w:jc w:val="center"/>
              <w:rPr>
                <w:rFonts w:ascii="Aptos Narrow" w:hAnsi="Aptos Narrow"/>
                <w:color w:val="000000"/>
              </w:rPr>
            </w:pPr>
            <w:r>
              <w:rPr>
                <w:rFonts w:ascii="Aptos Narrow" w:hAnsi="Aptos Narrow"/>
                <w:color w:val="000000"/>
              </w:rPr>
              <w:t>6/11/23</w:t>
            </w:r>
          </w:p>
        </w:tc>
        <w:tc>
          <w:tcPr>
            <w:tcW w:w="1495" w:type="dxa"/>
            <w:tcBorders>
              <w:top w:val="nil"/>
              <w:left w:val="nil"/>
              <w:bottom w:val="nil"/>
              <w:right w:val="nil"/>
            </w:tcBorders>
            <w:noWrap/>
            <w:vAlign w:val="bottom"/>
            <w:hideMark/>
          </w:tcPr>
          <w:p w14:paraId="3431B32C" w14:textId="1DEB53A1" w:rsidR="00F2561F" w:rsidRDefault="00F2561F" w:rsidP="00F2561F">
            <w:pPr>
              <w:jc w:val="right"/>
              <w:rPr>
                <w:rFonts w:ascii="Aptos Narrow" w:hAnsi="Aptos Narrow"/>
                <w:color w:val="000000"/>
              </w:rPr>
            </w:pPr>
            <w:r>
              <w:rPr>
                <w:rFonts w:ascii="Aptos Narrow" w:hAnsi="Aptos Narrow"/>
                <w:color w:val="000000"/>
              </w:rPr>
              <w:t>42288.10907</w:t>
            </w:r>
          </w:p>
        </w:tc>
        <w:tc>
          <w:tcPr>
            <w:tcW w:w="1620" w:type="dxa"/>
            <w:tcBorders>
              <w:top w:val="nil"/>
              <w:left w:val="nil"/>
              <w:bottom w:val="nil"/>
              <w:right w:val="nil"/>
            </w:tcBorders>
            <w:noWrap/>
            <w:vAlign w:val="bottom"/>
            <w:hideMark/>
          </w:tcPr>
          <w:p w14:paraId="71B36770" w14:textId="380AF0F1" w:rsidR="00F2561F" w:rsidRDefault="00F2561F" w:rsidP="00F2561F">
            <w:pPr>
              <w:jc w:val="right"/>
              <w:rPr>
                <w:rFonts w:ascii="Aptos Narrow" w:hAnsi="Aptos Narrow"/>
                <w:color w:val="000000"/>
              </w:rPr>
            </w:pPr>
            <w:r>
              <w:rPr>
                <w:rFonts w:ascii="Aptos Narrow" w:hAnsi="Aptos Narrow"/>
                <w:color w:val="000000"/>
              </w:rPr>
              <w:t>0.0006061</w:t>
            </w:r>
          </w:p>
        </w:tc>
        <w:tc>
          <w:tcPr>
            <w:tcW w:w="1620" w:type="dxa"/>
            <w:tcBorders>
              <w:top w:val="nil"/>
              <w:left w:val="nil"/>
              <w:bottom w:val="nil"/>
              <w:right w:val="nil"/>
            </w:tcBorders>
            <w:noWrap/>
            <w:vAlign w:val="bottom"/>
            <w:hideMark/>
          </w:tcPr>
          <w:p w14:paraId="0A942655" w14:textId="3CDB9C38" w:rsidR="00F2561F" w:rsidRDefault="00F2561F" w:rsidP="00F2561F">
            <w:pPr>
              <w:jc w:val="right"/>
              <w:rPr>
                <w:rFonts w:ascii="Aptos Narrow" w:hAnsi="Aptos Narrow"/>
                <w:color w:val="000000"/>
              </w:rPr>
            </w:pPr>
            <w:r>
              <w:rPr>
                <w:rFonts w:ascii="Aptos Narrow" w:hAnsi="Aptos Narrow"/>
                <w:color w:val="000000"/>
              </w:rPr>
              <w:t>1.162</w:t>
            </w:r>
          </w:p>
        </w:tc>
      </w:tr>
    </w:tbl>
    <w:p w14:paraId="480B5E2E" w14:textId="72474388" w:rsidR="00F2561F" w:rsidRDefault="00F2561F">
      <w:r>
        <w:t>These data points match the manually determined ones based on the same TLEs! For the coding, I used ChatGPT to assist in writing and debugging my code.</w:t>
      </w:r>
      <w:r w:rsidR="007E207E">
        <w:t xml:space="preserve"> My commented code can be found on </w:t>
      </w:r>
      <w:proofErr w:type="spellStart"/>
      <w:r w:rsidR="007E207E">
        <w:t>Github</w:t>
      </w:r>
      <w:proofErr w:type="spellEnd"/>
      <w:r w:rsidR="007E207E">
        <w:t xml:space="preserve"> under </w:t>
      </w:r>
      <w:hyperlink r:id="rId9" w:history="1">
        <w:r w:rsidR="007E207E" w:rsidRPr="00953031">
          <w:rPr>
            <w:rStyle w:val="Hyperlink"/>
          </w:rPr>
          <w:t>https://github.com/dgantt6/INTA4803-ClassAssignments/tree/master/Assignment1</w:t>
        </w:r>
      </w:hyperlink>
      <w:r w:rsidR="007E207E">
        <w:t>.</w:t>
      </w:r>
      <w:r w:rsidR="00E9331B">
        <w:t xml:space="preserve"> It is also in the zip file in the submission.</w:t>
      </w:r>
    </w:p>
    <w:p w14:paraId="1362C341" w14:textId="331B5FAE" w:rsidR="00905F06" w:rsidRDefault="00905F06"/>
    <w:p w14:paraId="768B6E2F" w14:textId="3DBD4DC9" w:rsidR="00905F06" w:rsidRDefault="00905F06">
      <w:r>
        <w:t>The general process of my script follow</w:t>
      </w:r>
      <w:r w:rsidR="005E2DCD">
        <w:t>s</w:t>
      </w:r>
      <w:r>
        <w:t xml:space="preserve"> the logic:</w:t>
      </w:r>
    </w:p>
    <w:p w14:paraId="0310EC15" w14:textId="778A52EB" w:rsidR="00905F06" w:rsidRDefault="00905F06" w:rsidP="00905F06">
      <w:pPr>
        <w:pStyle w:val="ListParagraph"/>
        <w:numPr>
          <w:ilvl w:val="0"/>
          <w:numId w:val="15"/>
        </w:numPr>
      </w:pPr>
      <w:r>
        <w:t>Log-in to space-track.org with user credentials to access its satellite catalog</w:t>
      </w:r>
    </w:p>
    <w:p w14:paraId="4999914F" w14:textId="16489EBB" w:rsidR="00905F06" w:rsidRDefault="00905F06" w:rsidP="00905F06">
      <w:pPr>
        <w:pStyle w:val="ListParagraph"/>
        <w:numPr>
          <w:ilvl w:val="0"/>
          <w:numId w:val="15"/>
        </w:numPr>
      </w:pPr>
      <w:r>
        <w:t xml:space="preserve">Open the TLEs.txt file and extract each two lines </w:t>
      </w:r>
    </w:p>
    <w:p w14:paraId="034122B9" w14:textId="33E536DC" w:rsidR="00905F06" w:rsidRDefault="00905F06" w:rsidP="00905F06">
      <w:pPr>
        <w:pStyle w:val="ListParagraph"/>
        <w:numPr>
          <w:ilvl w:val="1"/>
          <w:numId w:val="15"/>
        </w:numPr>
      </w:pPr>
      <w:r>
        <w:t xml:space="preserve">With each two lines, extract the </w:t>
      </w:r>
      <w:r w:rsidR="0034620F">
        <w:t>elemental data pieces based on the indices of the element and the line they fall on</w:t>
      </w:r>
    </w:p>
    <w:p w14:paraId="70E6F0C6" w14:textId="02AFC9DD" w:rsidR="0034620F" w:rsidRDefault="0034620F" w:rsidP="00905F06">
      <w:pPr>
        <w:pStyle w:val="ListParagraph"/>
        <w:numPr>
          <w:ilvl w:val="1"/>
          <w:numId w:val="15"/>
        </w:numPr>
      </w:pPr>
      <w:r>
        <w:t>The NORAD ID and designator are taken directly from the TLE</w:t>
      </w:r>
    </w:p>
    <w:p w14:paraId="09FAD9E5" w14:textId="3A46E300" w:rsidR="0034620F" w:rsidRDefault="0034620F" w:rsidP="00905F06">
      <w:pPr>
        <w:pStyle w:val="ListParagraph"/>
        <w:numPr>
          <w:ilvl w:val="1"/>
          <w:numId w:val="15"/>
        </w:numPr>
      </w:pPr>
      <w:r>
        <w:t>For the epoch fraction, take the first two indices and if they’re less than 57, the date is 20XX. Otherwise, the date is 19XX, the rest of the epoch fraction is the time since January 1 of that year, which can be calculated using the datetime package. This is now the calendar date (not including seconds and milliseconds)</w:t>
      </w:r>
    </w:p>
    <w:p w14:paraId="189A6CFE" w14:textId="26FF78C9" w:rsidR="0034620F" w:rsidRDefault="0034620F" w:rsidP="00905F06">
      <w:pPr>
        <w:pStyle w:val="ListParagraph"/>
        <w:numPr>
          <w:ilvl w:val="1"/>
          <w:numId w:val="15"/>
        </w:numPr>
      </w:pPr>
      <w:r>
        <w:t>The inclination in degrees is taken directly from the TLE.</w:t>
      </w:r>
    </w:p>
    <w:p w14:paraId="194641F2" w14:textId="33D4B924" w:rsidR="0034620F" w:rsidRDefault="0034620F" w:rsidP="00905F06">
      <w:pPr>
        <w:pStyle w:val="ListParagraph"/>
        <w:numPr>
          <w:ilvl w:val="1"/>
          <w:numId w:val="15"/>
        </w:numPr>
      </w:pPr>
      <w:r>
        <w:t>The eccentricity for elliptical orbits (assuming these satellites are in elliptical orbits) must be less than 1, and the number in the TLE is missing the leading zero which is added in the code.</w:t>
      </w:r>
    </w:p>
    <w:p w14:paraId="6C53E7E5" w14:textId="7CCABEAF" w:rsidR="0034620F" w:rsidRDefault="0034620F" w:rsidP="00905F06">
      <w:pPr>
        <w:pStyle w:val="ListParagraph"/>
        <w:numPr>
          <w:ilvl w:val="1"/>
          <w:numId w:val="15"/>
        </w:numPr>
      </w:pPr>
      <w:r>
        <w:t>For the semi-major axis (a), the mean motion given in the TLE in revolutions per day can be used to calculate a. The equations and mu value from part 1 of this exercise matches the equations and mu value used in the code.</w:t>
      </w:r>
    </w:p>
    <w:p w14:paraId="6AE10B09" w14:textId="5039FAAE" w:rsidR="006B2505" w:rsidRDefault="005E2DCD" w:rsidP="00905F06">
      <w:pPr>
        <w:pStyle w:val="ListParagraph"/>
        <w:numPr>
          <w:ilvl w:val="1"/>
          <w:numId w:val="15"/>
        </w:numPr>
      </w:pPr>
      <w:r>
        <w:t>All</w:t>
      </w:r>
      <w:r w:rsidR="006B2505">
        <w:t xml:space="preserve"> these values are inputted into a dictionary for further use after the loop</w:t>
      </w:r>
    </w:p>
    <w:p w14:paraId="6DB411A0" w14:textId="4B8CF28C" w:rsidR="006B2505" w:rsidRDefault="006B2505" w:rsidP="006B2505">
      <w:pPr>
        <w:pStyle w:val="ListParagraph"/>
        <w:numPr>
          <w:ilvl w:val="0"/>
          <w:numId w:val="15"/>
        </w:numPr>
      </w:pPr>
      <w:r>
        <w:t>Look up all the NORAD IDs in space-track.org</w:t>
      </w:r>
    </w:p>
    <w:p w14:paraId="6A492A2E" w14:textId="5FD03565" w:rsidR="006B2505" w:rsidRDefault="006B2505" w:rsidP="006B2505">
      <w:pPr>
        <w:pStyle w:val="ListParagraph"/>
        <w:numPr>
          <w:ilvl w:val="1"/>
          <w:numId w:val="15"/>
        </w:numPr>
      </w:pPr>
      <w:r>
        <w:t>Based on common launching nations, use hard-coded list to map ISO-3 country codes to ISO-2 (for later use)</w:t>
      </w:r>
      <w:r w:rsidR="00DC2EF0">
        <w:t xml:space="preserve"> </w:t>
      </w:r>
    </w:p>
    <w:p w14:paraId="1887D97F" w14:textId="4ADD3405" w:rsidR="00DC2EF0" w:rsidRDefault="00DC2EF0" w:rsidP="00DC2EF0">
      <w:pPr>
        <w:pStyle w:val="ListParagraph"/>
        <w:numPr>
          <w:ilvl w:val="2"/>
          <w:numId w:val="15"/>
        </w:numPr>
      </w:pPr>
      <w:r>
        <w:t>This list could be better refined so it is not hard-coded and can input any launching country rather than just popular countries.</w:t>
      </w:r>
    </w:p>
    <w:p w14:paraId="1EDB2F5B" w14:textId="7A89386B" w:rsidR="006B2505" w:rsidRDefault="006B2505" w:rsidP="006B2505">
      <w:pPr>
        <w:pStyle w:val="ListParagraph"/>
        <w:numPr>
          <w:ilvl w:val="1"/>
          <w:numId w:val="15"/>
        </w:numPr>
      </w:pPr>
      <w:r>
        <w:t xml:space="preserve">Lookup all unique NORAD IDs from TLE file in space-track.org and store it (including extraction logic based on how the </w:t>
      </w:r>
      <w:proofErr w:type="spellStart"/>
      <w:r>
        <w:t>json</w:t>
      </w:r>
      <w:proofErr w:type="spellEnd"/>
      <w:r>
        <w:t xml:space="preserve"> data comes back)</w:t>
      </w:r>
    </w:p>
    <w:p w14:paraId="5C8E4DEB" w14:textId="6C7E3423" w:rsidR="006B2505" w:rsidRDefault="006B2505" w:rsidP="006B2505">
      <w:pPr>
        <w:pStyle w:val="ListParagraph"/>
        <w:numPr>
          <w:ilvl w:val="1"/>
          <w:numId w:val="15"/>
        </w:numPr>
      </w:pPr>
      <w:r>
        <w:t>Add the satellite name, object type, and country flag emoji (assuming it matches one of the common countries) to the dataset made in part 2</w:t>
      </w:r>
    </w:p>
    <w:p w14:paraId="4B09DF5D" w14:textId="31421E79" w:rsidR="006B2505" w:rsidRDefault="006B2505" w:rsidP="006B2505">
      <w:pPr>
        <w:pStyle w:val="ListParagraph"/>
        <w:numPr>
          <w:ilvl w:val="0"/>
          <w:numId w:val="15"/>
        </w:numPr>
      </w:pPr>
      <w:r>
        <w:t xml:space="preserve">Use </w:t>
      </w:r>
      <w:proofErr w:type="gramStart"/>
      <w:r>
        <w:t>pandas</w:t>
      </w:r>
      <w:proofErr w:type="gramEnd"/>
      <w:r>
        <w:t xml:space="preserve"> package to create an organized table of the data </w:t>
      </w:r>
    </w:p>
    <w:p w14:paraId="6DDADF7C" w14:textId="12A707BE" w:rsidR="006B2505" w:rsidRDefault="006B2505" w:rsidP="006B2505">
      <w:pPr>
        <w:pStyle w:val="ListParagraph"/>
        <w:numPr>
          <w:ilvl w:val="0"/>
          <w:numId w:val="15"/>
        </w:numPr>
      </w:pPr>
      <w:r>
        <w:t>Export to CSV</w:t>
      </w:r>
    </w:p>
    <w:p w14:paraId="4750941E" w14:textId="77777777" w:rsidR="006B2505" w:rsidRDefault="006B2505" w:rsidP="006B2505"/>
    <w:p w14:paraId="5B0CD1EE" w14:textId="77777777" w:rsidR="006B2505" w:rsidRDefault="006B2505" w:rsidP="006B2505"/>
    <w:p w14:paraId="13E3AF2C" w14:textId="77777777" w:rsidR="006B2505" w:rsidRDefault="006B2505" w:rsidP="006B2505"/>
    <w:p w14:paraId="143A520D" w14:textId="77777777" w:rsidR="006B2505" w:rsidRDefault="006B2505" w:rsidP="006B2505"/>
    <w:p w14:paraId="3D86E1DC" w14:textId="77777777" w:rsidR="006B2505" w:rsidRDefault="006B2505" w:rsidP="006B2505"/>
    <w:p w14:paraId="08B64D94" w14:textId="77777777" w:rsidR="006B2505" w:rsidRDefault="006B2505" w:rsidP="006B2505"/>
    <w:p w14:paraId="043798CE" w14:textId="77777777" w:rsidR="006B2505" w:rsidRDefault="006B2505" w:rsidP="006B2505"/>
    <w:p w14:paraId="334C3E2F" w14:textId="77777777" w:rsidR="006B2505" w:rsidRDefault="006B2505" w:rsidP="006B2505"/>
    <w:p w14:paraId="38D01A13" w14:textId="77777777" w:rsidR="006B2505" w:rsidRDefault="006B2505" w:rsidP="006B2505"/>
    <w:p w14:paraId="69E7D2CC" w14:textId="77777777" w:rsidR="006B2505" w:rsidRDefault="006B2505" w:rsidP="006B2505"/>
    <w:p w14:paraId="678235F7" w14:textId="77777777" w:rsidR="006B2505" w:rsidRDefault="006B2505" w:rsidP="006B2505"/>
    <w:p w14:paraId="557E8C4B" w14:textId="77777777" w:rsidR="006B2505" w:rsidRDefault="006B2505" w:rsidP="006B2505"/>
    <w:p w14:paraId="0BD4F7EC" w14:textId="77777777" w:rsidR="006B2505" w:rsidRDefault="006B2505" w:rsidP="006B2505"/>
    <w:p w14:paraId="569F2A8C" w14:textId="77777777" w:rsidR="00DC2EF0" w:rsidRDefault="00DC2EF0"/>
    <w:p w14:paraId="58E90B6B" w14:textId="77777777" w:rsidR="00DC2EF0" w:rsidRDefault="00DC2EF0"/>
    <w:p w14:paraId="683E4829" w14:textId="3BEAFF2E" w:rsidR="00B454E6" w:rsidRDefault="00B454E6">
      <w:pPr>
        <w:rPr>
          <w:b/>
          <w:bCs/>
        </w:rPr>
      </w:pPr>
      <w:r w:rsidRPr="00B454E6">
        <w:rPr>
          <w:b/>
          <w:bCs/>
        </w:rPr>
        <w:t>EXERCISE 2: Protected Regions</w:t>
      </w:r>
    </w:p>
    <w:p w14:paraId="2B77E230" w14:textId="77777777" w:rsidR="00B454E6" w:rsidRDefault="00B454E6">
      <w:pPr>
        <w:rPr>
          <w:b/>
          <w:bCs/>
        </w:rPr>
      </w:pPr>
    </w:p>
    <w:p w14:paraId="29B180D9" w14:textId="133A3092" w:rsidR="00B454E6" w:rsidRDefault="00B454E6">
      <w:pPr>
        <w:rPr>
          <w:rFonts w:ascii="Aptos Narrow" w:hAnsi="Aptos Narrow"/>
          <w:color w:val="000000"/>
        </w:rPr>
      </w:pPr>
      <w:r>
        <w:rPr>
          <w:rFonts w:ascii="Aptos Narrow" w:hAnsi="Aptos Narrow"/>
          <w:color w:val="000000"/>
        </w:rPr>
        <w:t>SL-16 R/B:</w:t>
      </w:r>
    </w:p>
    <w:p w14:paraId="4BE725B0" w14:textId="43F50E73" w:rsidR="00B454E6" w:rsidRDefault="00B454E6" w:rsidP="00B454E6">
      <w:pPr>
        <w:pStyle w:val="ListParagraph"/>
        <w:numPr>
          <w:ilvl w:val="0"/>
          <w:numId w:val="11"/>
        </w:numPr>
      </w:pPr>
      <w:r>
        <w:t xml:space="preserve">This </w:t>
      </w:r>
      <w:r w:rsidR="003B4CD5">
        <w:t>rocket body</w:t>
      </w:r>
      <w:r>
        <w:t xml:space="preserve"> flies in the orbital regime of LEO</w:t>
      </w:r>
      <w:r w:rsidR="003B4CD5">
        <w:t>.</w:t>
      </w:r>
    </w:p>
    <w:p w14:paraId="01E5744B" w14:textId="5E327FE8" w:rsidR="009127EE" w:rsidRDefault="0079417D" w:rsidP="009127EE">
      <w:pPr>
        <w:pStyle w:val="ListParagraph"/>
        <w:numPr>
          <w:ilvl w:val="0"/>
          <w:numId w:val="11"/>
        </w:numPr>
      </w:pPr>
      <w:r>
        <w:t>This payload resides in a protected region of LEO according to the Inter-agency Debris Coordination Committee.</w:t>
      </w:r>
      <w:r w:rsidR="004F1EDB">
        <w:rPr>
          <w:rStyle w:val="FootnoteReference"/>
        </w:rPr>
        <w:footnoteReference w:id="2"/>
      </w:r>
    </w:p>
    <w:p w14:paraId="16B708E4" w14:textId="18784C48" w:rsidR="00B454E6" w:rsidRDefault="009127EE" w:rsidP="004F1EDB">
      <w:pPr>
        <w:pStyle w:val="ListParagraph"/>
        <w:numPr>
          <w:ilvl w:val="0"/>
          <w:numId w:val="11"/>
        </w:numPr>
      </w:pPr>
      <w:r>
        <w:t>While this rocket body doesn’t have station keeping capabilities, I would expect it to stay in its current orbit in the long term. As it flies between apogee of 848 km and perigee of 835 km currently</w:t>
      </w:r>
      <w:r>
        <w:rPr>
          <w:rStyle w:val="FootnoteReference"/>
        </w:rPr>
        <w:footnoteReference w:id="3"/>
      </w:r>
      <w:r>
        <w:t>, the rocket body will likely not degrade in its orbit as it is still very far from the altitude at which satellites burn up in Earth’s atmosphere.</w:t>
      </w:r>
    </w:p>
    <w:p w14:paraId="73485792" w14:textId="57F9AE9C" w:rsidR="003B4CD5" w:rsidRDefault="003B4CD5" w:rsidP="003B4CD5">
      <w:pPr>
        <w:rPr>
          <w:rFonts w:ascii="Aptos Narrow" w:hAnsi="Aptos Narrow"/>
          <w:color w:val="000000"/>
        </w:rPr>
      </w:pPr>
      <w:r>
        <w:rPr>
          <w:rFonts w:ascii="Aptos Narrow" w:hAnsi="Aptos Narrow"/>
          <w:color w:val="000000"/>
        </w:rPr>
        <w:t>FENGYUN 1C DEB</w:t>
      </w:r>
    </w:p>
    <w:p w14:paraId="140BB041" w14:textId="3D951671" w:rsidR="003B4CD5" w:rsidRDefault="003B4CD5" w:rsidP="003B4CD5">
      <w:pPr>
        <w:pStyle w:val="ListParagraph"/>
        <w:numPr>
          <w:ilvl w:val="0"/>
          <w:numId w:val="12"/>
        </w:numPr>
      </w:pPr>
      <w:r>
        <w:t xml:space="preserve">This debris flies in the orbital regime of </w:t>
      </w:r>
      <w:r w:rsidR="0079417D">
        <w:t xml:space="preserve">LEO and </w:t>
      </w:r>
      <w:r>
        <w:t>MEO.</w:t>
      </w:r>
    </w:p>
    <w:p w14:paraId="02565AC5" w14:textId="493570BF" w:rsidR="003B4CD5" w:rsidRDefault="0079417D" w:rsidP="003B4CD5">
      <w:pPr>
        <w:pStyle w:val="ListParagraph"/>
        <w:numPr>
          <w:ilvl w:val="0"/>
          <w:numId w:val="12"/>
        </w:numPr>
      </w:pPr>
      <w:r>
        <w:t>This debris intersects a protected region of LEO according to the Inter-agency Debris Coordination Committee.</w:t>
      </w:r>
    </w:p>
    <w:p w14:paraId="28D7C7DF" w14:textId="666224C1" w:rsidR="009127EE" w:rsidRDefault="009127EE" w:rsidP="003B4CD5">
      <w:pPr>
        <w:pStyle w:val="ListParagraph"/>
        <w:numPr>
          <w:ilvl w:val="0"/>
          <w:numId w:val="12"/>
        </w:numPr>
      </w:pPr>
      <w:r>
        <w:t>This debris intersects a protected region rather than resides in one.</w:t>
      </w:r>
    </w:p>
    <w:p w14:paraId="7D022669" w14:textId="434FE62B" w:rsidR="003B4CD5" w:rsidRDefault="003B4CD5" w:rsidP="003B4CD5">
      <w:pPr>
        <w:rPr>
          <w:rFonts w:ascii="Aptos Narrow" w:hAnsi="Aptos Narrow"/>
          <w:color w:val="000000"/>
        </w:rPr>
      </w:pPr>
      <w:r>
        <w:rPr>
          <w:rFonts w:ascii="Aptos Narrow" w:hAnsi="Aptos Narrow"/>
          <w:color w:val="000000"/>
        </w:rPr>
        <w:t>MEV-1</w:t>
      </w:r>
    </w:p>
    <w:p w14:paraId="3CA46E5F" w14:textId="4E457F61" w:rsidR="003B4CD5" w:rsidRDefault="003B4CD5" w:rsidP="003B4CD5">
      <w:pPr>
        <w:pStyle w:val="ListParagraph"/>
        <w:numPr>
          <w:ilvl w:val="0"/>
          <w:numId w:val="13"/>
        </w:numPr>
      </w:pPr>
      <w:r>
        <w:t>This payload flies in the orbital regime of GEO.</w:t>
      </w:r>
    </w:p>
    <w:p w14:paraId="313E7E17" w14:textId="77777777" w:rsidR="0079417D" w:rsidRPr="00B454E6" w:rsidRDefault="0079417D" w:rsidP="0079417D">
      <w:pPr>
        <w:pStyle w:val="ListParagraph"/>
        <w:numPr>
          <w:ilvl w:val="0"/>
          <w:numId w:val="13"/>
        </w:numPr>
      </w:pPr>
      <w:r>
        <w:t xml:space="preserve">This payload resides in a protected region of GEO according to the Inter-agency Debris Coordination Committee. </w:t>
      </w:r>
    </w:p>
    <w:p w14:paraId="0A05738F" w14:textId="3D892A3C" w:rsidR="0079417D" w:rsidRDefault="009A1BF9" w:rsidP="003B4CD5">
      <w:pPr>
        <w:pStyle w:val="ListParagraph"/>
        <w:numPr>
          <w:ilvl w:val="0"/>
          <w:numId w:val="13"/>
        </w:numPr>
      </w:pPr>
      <w:r>
        <w:t>This payload designed to extend the life of other GEO satellites will continue to stay in protected regions of GEO because it’s intended to extend the life of other satellites in the region.</w:t>
      </w:r>
      <w:r>
        <w:rPr>
          <w:rStyle w:val="FootnoteReference"/>
        </w:rPr>
        <w:footnoteReference w:id="4"/>
      </w:r>
      <w:r>
        <w:t xml:space="preserve"> </w:t>
      </w:r>
    </w:p>
    <w:p w14:paraId="63998C10" w14:textId="2F5C535A" w:rsidR="003B4CD5" w:rsidRDefault="003B4CD5" w:rsidP="003B4CD5">
      <w:pPr>
        <w:rPr>
          <w:rFonts w:ascii="Aptos Narrow" w:hAnsi="Aptos Narrow"/>
          <w:color w:val="000000"/>
        </w:rPr>
      </w:pPr>
      <w:r>
        <w:rPr>
          <w:rFonts w:ascii="Aptos Narrow" w:hAnsi="Aptos Narrow"/>
          <w:color w:val="000000"/>
        </w:rPr>
        <w:t>ELSA-D</w:t>
      </w:r>
    </w:p>
    <w:p w14:paraId="22829F36" w14:textId="20840197" w:rsidR="003B4CD5" w:rsidRDefault="003B4CD5" w:rsidP="003B4CD5">
      <w:pPr>
        <w:pStyle w:val="ListParagraph"/>
        <w:numPr>
          <w:ilvl w:val="0"/>
          <w:numId w:val="13"/>
        </w:numPr>
      </w:pPr>
      <w:r>
        <w:t>This payload flies in the orbital regime of LEO.</w:t>
      </w:r>
    </w:p>
    <w:p w14:paraId="7FF9D361" w14:textId="77777777" w:rsidR="0079417D" w:rsidRPr="00B454E6" w:rsidRDefault="0079417D" w:rsidP="0079417D">
      <w:pPr>
        <w:pStyle w:val="ListParagraph"/>
        <w:numPr>
          <w:ilvl w:val="0"/>
          <w:numId w:val="13"/>
        </w:numPr>
      </w:pPr>
      <w:r>
        <w:t xml:space="preserve">This payload resides in a protected region of LEO according to the Inter-agency Debris Coordination Committee. </w:t>
      </w:r>
    </w:p>
    <w:p w14:paraId="45FC9C07" w14:textId="6E5E79E2" w:rsidR="0079417D" w:rsidRDefault="009A1BF9" w:rsidP="003B4CD5">
      <w:pPr>
        <w:pStyle w:val="ListParagraph"/>
        <w:numPr>
          <w:ilvl w:val="0"/>
          <w:numId w:val="13"/>
        </w:numPr>
      </w:pPr>
      <w:r>
        <w:t xml:space="preserve">This payload designed </w:t>
      </w:r>
      <w:r w:rsidR="00003394">
        <w:t>to provide on-orbit servicing and debris removal capabilities completed its mission operations in 2024 and will therefore not stay in the protected region of LEO in the long term.</w:t>
      </w:r>
      <w:r w:rsidR="00003394">
        <w:rPr>
          <w:rStyle w:val="FootnoteReference"/>
        </w:rPr>
        <w:footnoteReference w:id="5"/>
      </w:r>
    </w:p>
    <w:p w14:paraId="0D1275AA" w14:textId="77777777" w:rsidR="002C0EB7" w:rsidRDefault="002C0EB7" w:rsidP="003B4CD5">
      <w:pPr>
        <w:rPr>
          <w:rFonts w:ascii="Aptos Narrow" w:hAnsi="Aptos Narrow"/>
          <w:color w:val="000000"/>
        </w:rPr>
      </w:pPr>
    </w:p>
    <w:p w14:paraId="737D9C61" w14:textId="235849C3" w:rsidR="003B4CD5" w:rsidRDefault="003B4CD5" w:rsidP="003B4CD5">
      <w:pPr>
        <w:rPr>
          <w:rFonts w:ascii="Aptos Narrow" w:hAnsi="Aptos Narrow"/>
          <w:color w:val="000000"/>
        </w:rPr>
      </w:pPr>
      <w:r>
        <w:rPr>
          <w:rFonts w:ascii="Aptos Narrow" w:hAnsi="Aptos Narrow"/>
          <w:color w:val="000000"/>
        </w:rPr>
        <w:lastRenderedPageBreak/>
        <w:t>ECHOSTAR 7</w:t>
      </w:r>
    </w:p>
    <w:p w14:paraId="7829EB08" w14:textId="635754A1" w:rsidR="003B4CD5" w:rsidRDefault="003B4CD5" w:rsidP="003B4CD5">
      <w:pPr>
        <w:pStyle w:val="ListParagraph"/>
        <w:numPr>
          <w:ilvl w:val="0"/>
          <w:numId w:val="13"/>
        </w:numPr>
      </w:pPr>
      <w:r>
        <w:t>This payload flies in the orbital regime of GEO.</w:t>
      </w:r>
    </w:p>
    <w:p w14:paraId="6801D538" w14:textId="0E46F41A" w:rsidR="003B4CD5" w:rsidRDefault="003B4CD5" w:rsidP="003B4CD5">
      <w:pPr>
        <w:pStyle w:val="ListParagraph"/>
        <w:numPr>
          <w:ilvl w:val="0"/>
          <w:numId w:val="13"/>
        </w:numPr>
      </w:pPr>
      <w:r>
        <w:t xml:space="preserve">This payload resides in </w:t>
      </w:r>
      <w:r w:rsidR="0079417D">
        <w:t xml:space="preserve">a protected region of GEO according to the Inter-agency Debris Coordination Committee. </w:t>
      </w:r>
    </w:p>
    <w:p w14:paraId="32ECB925" w14:textId="59B00203" w:rsidR="007E207E" w:rsidRDefault="00003394" w:rsidP="007E207E">
      <w:pPr>
        <w:pStyle w:val="ListParagraph"/>
        <w:numPr>
          <w:ilvl w:val="0"/>
          <w:numId w:val="13"/>
        </w:numPr>
      </w:pPr>
      <w:r>
        <w:t>This payload currently resides 122 km above its original GEO orbit and therefore remains in the protected region of GEO. However, it was supposed to end its mission 300 km above its original orbit and now has no fuel left to perform further station keeping getting it to a more suitable graveyard orbit.</w:t>
      </w:r>
      <w:r>
        <w:rPr>
          <w:rStyle w:val="FootnoteReference"/>
        </w:rPr>
        <w:footnoteReference w:id="6"/>
      </w:r>
      <w:r>
        <w:t xml:space="preserve"> Due to the costliness of sending another satellite to push ECHOSTAR 7 to its intended graveyard orbit, it will likely remain in the protected region of GEO for the long term.</w:t>
      </w:r>
    </w:p>
    <w:p w14:paraId="5DEA5EE4" w14:textId="034729D9" w:rsidR="00AA76A0" w:rsidRDefault="00AA76A0" w:rsidP="007E207E">
      <w:r>
        <w:t>OPTION B:</w:t>
      </w:r>
    </w:p>
    <w:p w14:paraId="6FD5F0CC" w14:textId="77777777" w:rsidR="00113BC8" w:rsidRDefault="00113BC8" w:rsidP="007E207E"/>
    <w:p w14:paraId="4271CC6E" w14:textId="219CAA24" w:rsidR="00113BC8" w:rsidRDefault="00113BC8" w:rsidP="007E207E">
      <w:r>
        <w:t xml:space="preserve">The </w:t>
      </w:r>
      <w:r w:rsidR="00FF586F">
        <w:t>Federal Communications Commission</w:t>
      </w:r>
      <w:r>
        <w:t xml:space="preserve"> </w:t>
      </w:r>
      <w:r w:rsidR="00FF586F">
        <w:t xml:space="preserve">(FCC) </w:t>
      </w:r>
      <w:r w:rsidR="000D36DC">
        <w:t>dates to</w:t>
      </w:r>
      <w:r>
        <w:t xml:space="preserve"> 1934 when The Communications Act of 1934 was codified into law. </w:t>
      </w:r>
      <w:r w:rsidR="000D36DC">
        <w:t xml:space="preserve">This </w:t>
      </w:r>
      <w:r w:rsidR="00FF586F">
        <w:t>act created the FCC</w:t>
      </w:r>
      <w:r w:rsidR="005C2FB3">
        <w:t xml:space="preserve"> and gave the organization the authority to monitor and regulate the telephone, telegraph, and radio communication industries. Since its formation, the Act has been regularly updated based on new technologies such as satellite communications.</w:t>
      </w:r>
      <w:r w:rsidR="005C2FB3">
        <w:rPr>
          <w:rStyle w:val="FootnoteReference"/>
        </w:rPr>
        <w:footnoteReference w:id="7"/>
      </w:r>
      <w:r w:rsidR="005C2FB3">
        <w:t xml:space="preserve"> Currently, CFR Part 25 highlights many regulations regarding the use of satellites in Earth orbit exhibiting radio communication behaviors. Specifically, </w:t>
      </w:r>
      <w:r w:rsidR="005C2FB3" w:rsidRPr="005C2FB3">
        <w:t>47 CFR 25.114(d)(14)(vii)(A)</w:t>
      </w:r>
      <w:r w:rsidR="005C2FB3">
        <w:t xml:space="preserve"> states that geostationary orbit satellites must disclose the altitude for their disposal orbit and the calculations for such orbit.</w:t>
      </w:r>
      <w:r w:rsidR="005C2FB3">
        <w:rPr>
          <w:rStyle w:val="FootnoteReference"/>
        </w:rPr>
        <w:footnoteReference w:id="8"/>
      </w:r>
      <w:r w:rsidR="005C2FB3">
        <w:t xml:space="preserve"> This law applies to all geostationary spacecraft registered to the United States</w:t>
      </w:r>
      <w:r w:rsidR="00181D2B">
        <w:t xml:space="preserve"> which</w:t>
      </w:r>
      <w:r w:rsidR="009D42F9">
        <w:t xml:space="preserve"> </w:t>
      </w:r>
      <w:r w:rsidR="00181D2B">
        <w:t>must have been given FCC approval for radio communication privileges including disposal plans. Satellite disposal plans are included to preserve geostationary orbital slots, a limited natural resource, for future mission use. For geostationary orbit</w:t>
      </w:r>
      <w:r w:rsidR="004A02B9">
        <w:t>s</w:t>
      </w:r>
      <w:r w:rsidR="00181D2B">
        <w:t xml:space="preserve">, the most accepted form of satellite disposal is </w:t>
      </w:r>
      <w:r w:rsidR="004A02B9">
        <w:t>pushing</w:t>
      </w:r>
      <w:r w:rsidR="00181D2B">
        <w:t xml:space="preserve"> the satellite to an altitude more than 200 k</w:t>
      </w:r>
      <w:r w:rsidR="00941CCE">
        <w:t>ilo</w:t>
      </w:r>
      <w:r w:rsidR="00181D2B">
        <w:t>m</w:t>
      </w:r>
      <w:r w:rsidR="00941CCE">
        <w:t>eters</w:t>
      </w:r>
      <w:r w:rsidR="00181D2B">
        <w:t xml:space="preserve"> above </w:t>
      </w:r>
      <w:r w:rsidR="00941CCE">
        <w:t>the geostationary belt.</w:t>
      </w:r>
    </w:p>
    <w:p w14:paraId="16B59896" w14:textId="77777777" w:rsidR="00181D2B" w:rsidRDefault="00181D2B" w:rsidP="007E207E"/>
    <w:p w14:paraId="7E7F17BD" w14:textId="356BAD86" w:rsidR="00181D2B" w:rsidRPr="00B454E6" w:rsidRDefault="00181D2B" w:rsidP="007E207E">
      <w:r>
        <w:t xml:space="preserve">In 2002, DISH launched </w:t>
      </w:r>
      <w:r w:rsidR="00941CCE">
        <w:t xml:space="preserve">the geostationary </w:t>
      </w:r>
      <w:r>
        <w:t xml:space="preserve">EchoStar-7 with the FCC and later filed for an orbital debris mitigation plan in 2012. </w:t>
      </w:r>
      <w:r w:rsidR="00941CCE">
        <w:t xml:space="preserve">However, DISH’s fuel usage didn’t account for the necessary orbital transition and only ended up completing about 40% of its required altitude change, remaining well under </w:t>
      </w:r>
      <w:r w:rsidR="004A02B9">
        <w:t xml:space="preserve">its 300 </w:t>
      </w:r>
      <w:r w:rsidR="00941CCE">
        <w:t xml:space="preserve">kilometers </w:t>
      </w:r>
      <w:r w:rsidR="004A02B9">
        <w:t>promise</w:t>
      </w:r>
      <w:r w:rsidR="00941CCE">
        <w:t>.</w:t>
      </w:r>
      <w:r w:rsidR="004A02B9">
        <w:rPr>
          <w:rStyle w:val="FootnoteReference"/>
        </w:rPr>
        <w:footnoteReference w:id="9"/>
      </w:r>
      <w:r w:rsidR="00941CCE">
        <w:t xml:space="preserve"> Because EchoStar-7 was registered under the US, the FCC retained the authority to fine DISH for its unsatisfactory performance in disposing adequately of </w:t>
      </w:r>
      <w:r w:rsidR="009D42F9">
        <w:t>EchoStar-7</w:t>
      </w:r>
      <w:r w:rsidR="004A02B9">
        <w:t>. This</w:t>
      </w:r>
      <w:r w:rsidR="00941CCE">
        <w:t xml:space="preserve"> satellite, now defunct and unable to perform further </w:t>
      </w:r>
      <w:r w:rsidR="004A02B9">
        <w:t>maneuvering,</w:t>
      </w:r>
      <w:r w:rsidR="00941CCE">
        <w:t xml:space="preserve"> is a cause of space debris and </w:t>
      </w:r>
      <w:r w:rsidR="004A02B9">
        <w:t>resides</w:t>
      </w:r>
      <w:r w:rsidR="00941CCE">
        <w:t xml:space="preserve"> </w:t>
      </w:r>
      <w:r w:rsidR="004A02B9">
        <w:t>in</w:t>
      </w:r>
      <w:r w:rsidR="00941CCE">
        <w:t xml:space="preserve"> a valuable slot in the geostationary </w:t>
      </w:r>
      <w:r w:rsidR="004A02B9">
        <w:t>orbital regime.</w:t>
      </w:r>
    </w:p>
    <w:sectPr w:rsidR="00181D2B" w:rsidRPr="00B454E6"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ADC7" w14:textId="77777777" w:rsidR="007B1A89" w:rsidRDefault="007B1A89">
      <w:r>
        <w:separator/>
      </w:r>
    </w:p>
  </w:endnote>
  <w:endnote w:type="continuationSeparator" w:id="0">
    <w:p w14:paraId="2465E53A" w14:textId="77777777" w:rsidR="007B1A89" w:rsidRDefault="007B1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Narrow">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F980" w14:textId="77777777" w:rsidR="007B1A89" w:rsidRDefault="007B1A89">
      <w:r>
        <w:separator/>
      </w:r>
    </w:p>
  </w:footnote>
  <w:footnote w:type="continuationSeparator" w:id="0">
    <w:p w14:paraId="38DA1273" w14:textId="77777777" w:rsidR="007B1A89" w:rsidRDefault="007B1A89">
      <w:r>
        <w:continuationSeparator/>
      </w:r>
    </w:p>
  </w:footnote>
  <w:footnote w:id="1">
    <w:p w14:paraId="5095C979" w14:textId="469E54AA" w:rsidR="00B76B46" w:rsidRDefault="00B76B46">
      <w:pPr>
        <w:pStyle w:val="FootnoteText"/>
      </w:pPr>
      <w:r>
        <w:rPr>
          <w:rStyle w:val="FootnoteReference"/>
        </w:rPr>
        <w:footnoteRef/>
      </w:r>
      <w:r>
        <w:t xml:space="preserve"> COSPAR ID pulled from space-track.org satellite catalog rather than directly from the TLE.</w:t>
      </w:r>
    </w:p>
  </w:footnote>
  <w:footnote w:id="2">
    <w:p w14:paraId="7C707DA8" w14:textId="08851FD2" w:rsidR="004F1EDB" w:rsidRDefault="004F1EDB">
      <w:pPr>
        <w:pStyle w:val="FootnoteText"/>
      </w:pPr>
      <w:r>
        <w:rPr>
          <w:rStyle w:val="FootnoteReference"/>
        </w:rPr>
        <w:footnoteRef/>
      </w:r>
      <w:r>
        <w:t xml:space="preserve"> </w:t>
      </w:r>
      <w:r w:rsidRPr="004F1EDB">
        <w:t>Inter-Agency Space Debris Coordination Committee Steering Group and Working Group 4, IADC Space Debris Mitigation Guidelines (2020), 7.</w:t>
      </w:r>
    </w:p>
  </w:footnote>
  <w:footnote w:id="3">
    <w:p w14:paraId="37DCBCCC" w14:textId="15A6B0A9" w:rsidR="009127EE" w:rsidRDefault="009127EE">
      <w:pPr>
        <w:pStyle w:val="FootnoteText"/>
      </w:pPr>
      <w:r>
        <w:rPr>
          <w:rStyle w:val="FootnoteReference"/>
        </w:rPr>
        <w:footnoteRef/>
      </w:r>
      <w:r>
        <w:t xml:space="preserve"> </w:t>
      </w:r>
      <w:r w:rsidR="00003394" w:rsidRPr="00003394">
        <w:t>Space-Track.org, Two-Line Element–Derived Orbital Parameters for Earth-Orbiting Objects, United States Space Force, accessed January 21, 2026, https://www.space-track.org.</w:t>
      </w:r>
    </w:p>
  </w:footnote>
  <w:footnote w:id="4">
    <w:p w14:paraId="016FE6A0" w14:textId="222C574B" w:rsidR="009A1BF9" w:rsidRDefault="009A1BF9" w:rsidP="00003394">
      <w:pPr>
        <w:pStyle w:val="p1"/>
      </w:pPr>
      <w:r w:rsidRPr="00003394">
        <w:rPr>
          <w:rStyle w:val="FootnoteReference"/>
          <w:sz w:val="22"/>
          <w:szCs w:val="22"/>
        </w:rPr>
        <w:footnoteRef/>
      </w:r>
      <w:r w:rsidR="00003394">
        <w:rPr>
          <w:i/>
          <w:iCs/>
          <w:sz w:val="18"/>
          <w:szCs w:val="18"/>
        </w:rPr>
        <w:t xml:space="preserve"> </w:t>
      </w:r>
      <w:r w:rsidRPr="009A1BF9">
        <w:rPr>
          <w:i/>
          <w:iCs/>
          <w:sz w:val="18"/>
          <w:szCs w:val="18"/>
        </w:rPr>
        <w:t>Northrop Grumman Achieves First-Ever Undocking Between Two Commercial Spacecraft in Geosynchronous Orbit</w:t>
      </w:r>
      <w:r w:rsidRPr="009A1BF9">
        <w:rPr>
          <w:sz w:val="18"/>
          <w:szCs w:val="18"/>
        </w:rPr>
        <w:t>, Northrop Grumman Press Release, April 9, 2025, Northrop Grumman, accessed January 21, 2026, https://news.northropgrumman.com/satellites/northrop-grumman-achieves-first-ever-undocking-between-two-commercial-spacecraft-in-geosynchronous-orbit.</w:t>
      </w:r>
    </w:p>
  </w:footnote>
  <w:footnote w:id="5">
    <w:p w14:paraId="3976C811" w14:textId="5B786D5A" w:rsidR="00003394" w:rsidRDefault="00003394">
      <w:pPr>
        <w:pStyle w:val="FootnoteText"/>
      </w:pPr>
      <w:r>
        <w:rPr>
          <w:rStyle w:val="FootnoteReference"/>
        </w:rPr>
        <w:footnoteRef/>
      </w:r>
      <w:r>
        <w:t xml:space="preserve"> </w:t>
      </w:r>
      <w:proofErr w:type="spellStart"/>
      <w:r w:rsidRPr="00003394">
        <w:t>Astroscale’s</w:t>
      </w:r>
      <w:proofErr w:type="spellEnd"/>
      <w:r w:rsidRPr="00003394">
        <w:t xml:space="preserve"> ELSA-d Finalizes De-Orbit Operations Marking Successful Mission Conclusion, </w:t>
      </w:r>
      <w:proofErr w:type="spellStart"/>
      <w:r w:rsidRPr="00003394">
        <w:t>Astroscale</w:t>
      </w:r>
      <w:proofErr w:type="spellEnd"/>
      <w:r w:rsidRPr="00003394">
        <w:t xml:space="preserve"> press release, January 24, 2024, </w:t>
      </w:r>
      <w:proofErr w:type="spellStart"/>
      <w:r w:rsidRPr="00003394">
        <w:t>Astroscale</w:t>
      </w:r>
      <w:proofErr w:type="spellEnd"/>
      <w:r w:rsidRPr="00003394">
        <w:t xml:space="preserve"> Holdings Inc., accessed January 21, 2026, https://www.astroscale.com/en/news/astroscales-elsa-d-finalizes-de-orbit-operations-marking-successful-mission-conclusion.</w:t>
      </w:r>
    </w:p>
  </w:footnote>
  <w:footnote w:id="6">
    <w:p w14:paraId="675B99A8" w14:textId="70AC2868" w:rsidR="00003394" w:rsidRDefault="00003394">
      <w:pPr>
        <w:pStyle w:val="FootnoteText"/>
      </w:pPr>
      <w:r>
        <w:rPr>
          <w:rStyle w:val="FootnoteReference"/>
        </w:rPr>
        <w:footnoteRef/>
      </w:r>
      <w:r>
        <w:t xml:space="preserve"> </w:t>
      </w:r>
      <w:r w:rsidR="001E4AA7" w:rsidRPr="001E4AA7">
        <w:t>Federal Communications Commission, FCC Takes First Space Debris Enforcement Action: Settles Investigation of DISH for Failing to Comply with Deorbiting Plan, press release, October 2, 2023, accessed January 21, 2026, https://docs.fcc.gov/public/attachments/DOC-397412A1.pdf.</w:t>
      </w:r>
    </w:p>
  </w:footnote>
  <w:footnote w:id="7">
    <w:p w14:paraId="6E89F69A" w14:textId="70290A07" w:rsidR="005C2FB3" w:rsidRDefault="005C2FB3">
      <w:pPr>
        <w:pStyle w:val="FootnoteText"/>
      </w:pPr>
      <w:r>
        <w:rPr>
          <w:rStyle w:val="FootnoteReference"/>
        </w:rPr>
        <w:footnoteRef/>
      </w:r>
      <w:r>
        <w:t xml:space="preserve"> </w:t>
      </w:r>
      <w:r w:rsidRPr="005C2FB3">
        <w:t>The Communications Act of 1934, Bureau of Justice Assistance, U.S. Department of Justice, accessed January 21, 2026, https://bja.ojp.gov/program/it/privacy-civil-liberties/authorities/statutes/1288.</w:t>
      </w:r>
    </w:p>
  </w:footnote>
  <w:footnote w:id="8">
    <w:p w14:paraId="540358AD" w14:textId="5A4D5EB4" w:rsidR="005C2FB3" w:rsidRDefault="005C2FB3">
      <w:pPr>
        <w:pStyle w:val="FootnoteText"/>
      </w:pPr>
      <w:r>
        <w:rPr>
          <w:rStyle w:val="FootnoteReference"/>
        </w:rPr>
        <w:footnoteRef/>
      </w:r>
      <w:r>
        <w:t xml:space="preserve"> </w:t>
      </w:r>
      <w:r w:rsidRPr="005C2FB3">
        <w:t>47 C.F.R. § 25.114(d)(14)(vii)(A) (Code of Federal Regulations, “Applications for Space Station Authorizations”), accessed January 21, 2026, https://www.ecfr.gov/current/title-47/part-25#p-25.114(d)(14)(vii)(A).</w:t>
      </w:r>
    </w:p>
  </w:footnote>
  <w:footnote w:id="9">
    <w:p w14:paraId="46CB4A90" w14:textId="6DAFD985" w:rsidR="004A02B9" w:rsidRDefault="004A02B9">
      <w:pPr>
        <w:pStyle w:val="FootnoteText"/>
      </w:pPr>
      <w:r>
        <w:rPr>
          <w:rStyle w:val="FootnoteReference"/>
        </w:rPr>
        <w:footnoteRef/>
      </w:r>
      <w:r>
        <w:t xml:space="preserve"> </w:t>
      </w:r>
      <w:r w:rsidRPr="001E4AA7">
        <w:t>Federal Communications Commission, FCC Takes First Space Debris Enforcement Action: Settles Investigation of DISH for Failing to Comply with Deorbiting Plan, press release, October 2, 2023, accessed January 21, 2026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9DC9" w14:textId="235491C5" w:rsidR="000F69BB" w:rsidRDefault="00EF7AF5">
    <w:pPr>
      <w:pStyle w:val="Header"/>
    </w:pPr>
    <w:r>
      <w:t>Dylan Gantt</w:t>
    </w:r>
    <w:r>
      <w:br/>
      <w:t>Assignment 1</w:t>
    </w:r>
    <w:r>
      <w:br/>
      <w:t>INTA 4803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F64D22"/>
    <w:multiLevelType w:val="hybridMultilevel"/>
    <w:tmpl w:val="0A2A31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1C7E94"/>
    <w:multiLevelType w:val="multilevel"/>
    <w:tmpl w:val="B1DC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0684A"/>
    <w:multiLevelType w:val="hybridMultilevel"/>
    <w:tmpl w:val="78EA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45272"/>
    <w:multiLevelType w:val="hybridMultilevel"/>
    <w:tmpl w:val="509A7892"/>
    <w:lvl w:ilvl="0" w:tplc="1EACECC8">
      <w:start w:val="1"/>
      <w:numFmt w:val="bullet"/>
      <w:lvlText w:val="-"/>
      <w:lvlJc w:val="left"/>
      <w:pPr>
        <w:ind w:left="720" w:hanging="360"/>
      </w:pPr>
      <w:rPr>
        <w:rFonts w:ascii="Aptos Narrow" w:eastAsia="Times New Roman" w:hAnsi="Aptos Narrow"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741337"/>
    <w:multiLevelType w:val="hybridMultilevel"/>
    <w:tmpl w:val="8EFE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148C3"/>
    <w:multiLevelType w:val="hybridMultilevel"/>
    <w:tmpl w:val="362CB2AA"/>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190876">
    <w:abstractNumId w:val="8"/>
  </w:num>
  <w:num w:numId="2" w16cid:durableId="2036223486">
    <w:abstractNumId w:val="6"/>
  </w:num>
  <w:num w:numId="3" w16cid:durableId="1862812592">
    <w:abstractNumId w:val="5"/>
  </w:num>
  <w:num w:numId="4" w16cid:durableId="1467165644">
    <w:abstractNumId w:val="4"/>
  </w:num>
  <w:num w:numId="5" w16cid:durableId="651906182">
    <w:abstractNumId w:val="7"/>
  </w:num>
  <w:num w:numId="6" w16cid:durableId="1495950948">
    <w:abstractNumId w:val="3"/>
  </w:num>
  <w:num w:numId="7" w16cid:durableId="1598518457">
    <w:abstractNumId w:val="2"/>
  </w:num>
  <w:num w:numId="8" w16cid:durableId="603071076">
    <w:abstractNumId w:val="1"/>
  </w:num>
  <w:num w:numId="9" w16cid:durableId="1892186185">
    <w:abstractNumId w:val="0"/>
  </w:num>
  <w:num w:numId="10" w16cid:durableId="16741036">
    <w:abstractNumId w:val="12"/>
  </w:num>
  <w:num w:numId="11" w16cid:durableId="851840123">
    <w:abstractNumId w:val="14"/>
  </w:num>
  <w:num w:numId="12" w16cid:durableId="1911378534">
    <w:abstractNumId w:val="13"/>
  </w:num>
  <w:num w:numId="13" w16cid:durableId="772167185">
    <w:abstractNumId w:val="11"/>
  </w:num>
  <w:num w:numId="14" w16cid:durableId="967586106">
    <w:abstractNumId w:val="10"/>
  </w:num>
  <w:num w:numId="15" w16cid:durableId="863443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94"/>
    <w:rsid w:val="00033AB2"/>
    <w:rsid w:val="00034616"/>
    <w:rsid w:val="0006063C"/>
    <w:rsid w:val="000D36DC"/>
    <w:rsid w:val="000F69BB"/>
    <w:rsid w:val="00113BC8"/>
    <w:rsid w:val="00134982"/>
    <w:rsid w:val="0015074B"/>
    <w:rsid w:val="00181D2B"/>
    <w:rsid w:val="001E4AA7"/>
    <w:rsid w:val="0029639D"/>
    <w:rsid w:val="002A5FCD"/>
    <w:rsid w:val="002C0EB7"/>
    <w:rsid w:val="00326F90"/>
    <w:rsid w:val="0034620F"/>
    <w:rsid w:val="003B4CD5"/>
    <w:rsid w:val="003E57E5"/>
    <w:rsid w:val="00467DD9"/>
    <w:rsid w:val="004A02B9"/>
    <w:rsid w:val="004F1EDB"/>
    <w:rsid w:val="005C2FB3"/>
    <w:rsid w:val="005E2DCD"/>
    <w:rsid w:val="006277ED"/>
    <w:rsid w:val="006B2505"/>
    <w:rsid w:val="0079417D"/>
    <w:rsid w:val="00797E4F"/>
    <w:rsid w:val="007B1A89"/>
    <w:rsid w:val="007E207E"/>
    <w:rsid w:val="008D2B74"/>
    <w:rsid w:val="008F7A04"/>
    <w:rsid w:val="00905F06"/>
    <w:rsid w:val="009127EE"/>
    <w:rsid w:val="00941CCE"/>
    <w:rsid w:val="009A1BF9"/>
    <w:rsid w:val="009D42F9"/>
    <w:rsid w:val="00A33882"/>
    <w:rsid w:val="00AA1D8D"/>
    <w:rsid w:val="00AA3E79"/>
    <w:rsid w:val="00AA76A0"/>
    <w:rsid w:val="00B454E6"/>
    <w:rsid w:val="00B47730"/>
    <w:rsid w:val="00B60D02"/>
    <w:rsid w:val="00B76B46"/>
    <w:rsid w:val="00C569A0"/>
    <w:rsid w:val="00C7537A"/>
    <w:rsid w:val="00CB0664"/>
    <w:rsid w:val="00D60919"/>
    <w:rsid w:val="00DB158E"/>
    <w:rsid w:val="00DC2EF0"/>
    <w:rsid w:val="00E9331B"/>
    <w:rsid w:val="00EF7AF5"/>
    <w:rsid w:val="00F2561F"/>
    <w:rsid w:val="00FA0D83"/>
    <w:rsid w:val="00FC693F"/>
    <w:rsid w:val="00FF5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53EDA"/>
  <w14:defaultImageDpi w14:val="300"/>
  <w15:docId w15:val="{81F30275-6412-0444-BB9B-C0208746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6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F7AF5"/>
    <w:rPr>
      <w:color w:val="666666"/>
    </w:rPr>
  </w:style>
  <w:style w:type="character" w:styleId="Hyperlink">
    <w:name w:val="Hyperlink"/>
    <w:basedOn w:val="DefaultParagraphFont"/>
    <w:uiPriority w:val="99"/>
    <w:unhideWhenUsed/>
    <w:rsid w:val="006277ED"/>
    <w:rPr>
      <w:color w:val="0000FF" w:themeColor="hyperlink"/>
      <w:u w:val="single"/>
    </w:rPr>
  </w:style>
  <w:style w:type="character" w:styleId="UnresolvedMention">
    <w:name w:val="Unresolved Mention"/>
    <w:basedOn w:val="DefaultParagraphFont"/>
    <w:uiPriority w:val="99"/>
    <w:semiHidden/>
    <w:unhideWhenUsed/>
    <w:rsid w:val="006277ED"/>
    <w:rPr>
      <w:color w:val="605E5C"/>
      <w:shd w:val="clear" w:color="auto" w:fill="E1DFDD"/>
    </w:rPr>
  </w:style>
  <w:style w:type="paragraph" w:styleId="FootnoteText">
    <w:name w:val="footnote text"/>
    <w:basedOn w:val="Normal"/>
    <w:link w:val="FootnoteTextChar"/>
    <w:uiPriority w:val="99"/>
    <w:semiHidden/>
    <w:unhideWhenUsed/>
    <w:rsid w:val="009127EE"/>
    <w:rPr>
      <w:sz w:val="20"/>
      <w:szCs w:val="20"/>
    </w:rPr>
  </w:style>
  <w:style w:type="character" w:customStyle="1" w:styleId="FootnoteTextChar">
    <w:name w:val="Footnote Text Char"/>
    <w:basedOn w:val="DefaultParagraphFont"/>
    <w:link w:val="FootnoteText"/>
    <w:uiPriority w:val="99"/>
    <w:semiHidden/>
    <w:rsid w:val="009127E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127EE"/>
    <w:rPr>
      <w:vertAlign w:val="superscript"/>
    </w:rPr>
  </w:style>
  <w:style w:type="paragraph" w:customStyle="1" w:styleId="p1">
    <w:name w:val="p1"/>
    <w:basedOn w:val="Normal"/>
    <w:rsid w:val="009A1BF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gantt6/INTA4803-ClassAssignments/tree/master/Assignmen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Gantt, Dylan</cp:lastModifiedBy>
  <cp:revision>18</cp:revision>
  <dcterms:created xsi:type="dcterms:W3CDTF">2026-01-21T17:05:00Z</dcterms:created>
  <dcterms:modified xsi:type="dcterms:W3CDTF">2026-01-21T21:17:00Z</dcterms:modified>
  <cp:category/>
</cp:coreProperties>
</file>