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textAlignment w:val="baseline"/>
        <w:rPr>
          <w:rFonts w:ascii="Arial" w:hAnsi="Arial" w:eastAsia="Arial" w:cs="Arial"/>
          <w:b/>
          <w:sz w:val="36"/>
          <w:szCs w:val="36"/>
          <w:lang w:val="en-GB" w:eastAsia="zh-CN" w:bidi="hi-IN"/>
        </w:rPr>
      </w:pPr>
      <w:r>
        <w:rPr>
          <w:rFonts w:eastAsia="Arial" w:cs="Arial" w:ascii="Arial" w:hAnsi="Arial"/>
          <w:b/>
          <w:i/>
          <w:sz w:val="36"/>
          <w:szCs w:val="36"/>
          <w:lang w:val="en-GB" w:eastAsia="zh-CN" w:bidi="hi-IN"/>
        </w:rPr>
        <w:t>Computational Modeling of Social Systems</w:t>
      </w:r>
    </w:p>
    <w:p>
      <w:pPr>
        <w:pStyle w:val="NoSpacing"/>
        <w:rPr>
          <w:rFonts w:ascii="Arial" w:hAnsi="Arial" w:cs="Arial"/>
          <w:lang w:val="en-GB"/>
        </w:rPr>
      </w:pPr>
      <w:r>
        <w:rPr>
          <w:rFonts w:cs="Arial" w:ascii="Arial" w:hAnsi="Arial"/>
          <w:lang w:val="en-GB"/>
        </w:rPr>
        <w:t>David Garcia, summer semester 2025</w:t>
      </w:r>
    </w:p>
    <w:p>
      <w:pPr>
        <w:pStyle w:val="NoSpacing"/>
        <w:rPr>
          <w:rFonts w:ascii="Arial" w:hAnsi="Arial" w:cs="Arial"/>
          <w:lang w:val="en-GB"/>
        </w:rPr>
      </w:pPr>
      <w:r>
        <w:rPr>
          <w:rFonts w:cs="Arial" w:ascii="Arial" w:hAnsi="Arial"/>
          <w:lang w:val="en-GB"/>
        </w:rPr>
      </w:r>
    </w:p>
    <w:p>
      <w:pPr>
        <w:pStyle w:val="NoSpacing"/>
        <w:rPr>
          <w:rFonts w:ascii="Arial" w:hAnsi="Arial" w:cs="Arial"/>
          <w:b/>
          <w:lang w:val="en-GB"/>
        </w:rPr>
      </w:pPr>
      <w:r>
        <w:rPr>
          <w:rFonts w:cs="Arial" w:ascii="Arial" w:hAnsi="Arial"/>
          <w:b/>
          <w:lang w:val="en-GB"/>
        </w:rPr>
        <w:t xml:space="preserve">Type of the course: </w:t>
      </w:r>
      <w:r>
        <w:rPr>
          <w:rFonts w:cs="Arial" w:ascii="Arial" w:hAnsi="Arial"/>
          <w:lang w:val="en-GB"/>
        </w:rPr>
        <w:t>seminar</w:t>
      </w:r>
    </w:p>
    <w:p>
      <w:pPr>
        <w:pStyle w:val="NoSpacing"/>
        <w:rPr>
          <w:rFonts w:ascii="Arial" w:hAnsi="Arial" w:cs="Arial"/>
          <w:b/>
          <w:lang w:val="en-GB"/>
        </w:rPr>
      </w:pPr>
      <w:r>
        <w:rPr>
          <w:rFonts w:cs="Arial" w:ascii="Arial" w:hAnsi="Arial"/>
          <w:b/>
          <w:lang w:val="en-GB"/>
        </w:rPr>
        <w:t xml:space="preserve">Module: </w:t>
      </w:r>
      <w:r>
        <w:rPr>
          <w:rFonts w:cs="Arial" w:ascii="Arial" w:hAnsi="Arial"/>
          <w:lang w:val="en-GB"/>
        </w:rPr>
        <w:t>Social Science Applications</w:t>
      </w:r>
    </w:p>
    <w:p>
      <w:pPr>
        <w:pStyle w:val="NoSpacing"/>
        <w:rPr>
          <w:rFonts w:ascii="Arial" w:hAnsi="Arial" w:cs="Arial"/>
          <w:b/>
          <w:lang w:val="en-GB"/>
        </w:rPr>
      </w:pPr>
      <w:r>
        <w:rPr>
          <w:rFonts w:cs="Arial" w:ascii="Arial" w:hAnsi="Arial"/>
          <w:b/>
          <w:lang w:val="en-GB"/>
        </w:rPr>
        <w:t xml:space="preserve">Maximum number of participants: </w:t>
      </w:r>
      <w:r>
        <w:rPr>
          <w:rFonts w:cs="Arial" w:ascii="Arial" w:hAnsi="Arial"/>
          <w:lang w:val="en-GB"/>
        </w:rPr>
        <w:t>20</w:t>
      </w:r>
    </w:p>
    <w:p>
      <w:pPr>
        <w:pStyle w:val="NoSpacing"/>
        <w:rPr>
          <w:rFonts w:ascii="Arial" w:hAnsi="Arial" w:cs="Arial"/>
          <w:b/>
          <w:lang w:val="en-GB"/>
        </w:rPr>
      </w:pPr>
      <w:r>
        <w:rPr>
          <w:rFonts w:cs="Arial" w:ascii="Arial" w:hAnsi="Arial"/>
          <w:b/>
          <w:lang w:val="en-GB"/>
        </w:rPr>
        <w:t>Date &amp; Time</w:t>
      </w:r>
    </w:p>
    <w:p>
      <w:pPr>
        <w:pStyle w:val="NoSpacing"/>
        <w:rPr>
          <w:color w:val="auto"/>
        </w:rPr>
      </w:pPr>
      <w:r>
        <w:rPr>
          <w:rFonts w:cs="Arial" w:ascii="Arial" w:hAnsi="Arial"/>
          <w:color w:val="auto"/>
          <w:lang w:val="en-GB"/>
        </w:rPr>
        <w:t>lecture: Tuesday, 10.00 - 11.30, D301</w:t>
      </w:r>
    </w:p>
    <w:p>
      <w:pPr>
        <w:pStyle w:val="NoSpacing"/>
        <w:rPr/>
      </w:pPr>
      <w:r>
        <w:rPr>
          <w:rFonts w:cs="Arial" w:ascii="Arial" w:hAnsi="Arial"/>
          <w:color w:val="auto"/>
          <w:lang w:val="en-GB"/>
        </w:rPr>
        <w:t xml:space="preserve">exercise: Thursday, 10.00 – 11.30, </w:t>
      </w:r>
      <w:bookmarkStart w:id="0" w:name="_GoBack"/>
      <w:bookmarkEnd w:id="0"/>
      <w:r>
        <w:rPr>
          <w:rFonts w:cs="Arial" w:ascii="Arial" w:hAnsi="Arial"/>
          <w:color w:val="auto"/>
          <w:lang w:val="en-GB"/>
        </w:rPr>
        <w:t>G227a</w:t>
      </w:r>
    </w:p>
    <w:p>
      <w:pPr>
        <w:pStyle w:val="NoSpacing"/>
        <w:rPr>
          <w:rFonts w:ascii="Arial" w:hAnsi="Arial" w:cs="Arial"/>
          <w:b/>
          <w:lang w:val="en-GB"/>
        </w:rPr>
      </w:pPr>
      <w:r>
        <w:rPr>
          <w:rFonts w:cs="Arial" w:ascii="Arial" w:hAnsi="Arial"/>
          <w:b/>
          <w:lang w:val="en-GB"/>
        </w:rPr>
        <w:t xml:space="preserve">ECTS: </w:t>
      </w:r>
      <w:r>
        <w:rPr>
          <w:rFonts w:cs="Arial" w:ascii="Arial" w:hAnsi="Arial"/>
          <w:lang w:val="en-GB"/>
        </w:rPr>
        <w:t>6 ECTS; 2 semester hours and 2 tutorial hours</w:t>
      </w:r>
    </w:p>
    <w:p>
      <w:pPr>
        <w:pStyle w:val="NoSpacing"/>
        <w:rPr>
          <w:rFonts w:ascii="Arial" w:hAnsi="Arial" w:cs="Arial"/>
          <w:b/>
          <w:strike/>
          <w:color w:val="FF0000"/>
          <w:lang w:val="en-GB"/>
        </w:rPr>
      </w:pPr>
      <w:r>
        <w:rPr>
          <w:rFonts w:cs="Arial" w:ascii="Arial" w:hAnsi="Arial"/>
          <w:b/>
          <w:strike/>
          <w:color w:val="FF0000"/>
          <w:lang w:val="en-GB"/>
        </w:rPr>
      </w:r>
    </w:p>
    <w:p>
      <w:pPr>
        <w:pStyle w:val="NoSpacing"/>
        <w:rPr>
          <w:rFonts w:ascii="Arial" w:hAnsi="Arial" w:cs="Arial"/>
          <w:b/>
          <w:lang w:val="en-GB"/>
        </w:rPr>
      </w:pPr>
      <w:r>
        <w:rPr>
          <w:rFonts w:cs="Arial" w:ascii="Arial" w:hAnsi="Arial"/>
          <w:b/>
          <w:lang w:val="en-GB"/>
        </w:rPr>
        <w:t>Contents</w:t>
      </w:r>
    </w:p>
    <w:p>
      <w:pPr>
        <w:pStyle w:val="NoSpacing"/>
        <w:rPr>
          <w:rFonts w:ascii="Arial" w:hAnsi="Arial" w:cs="Arial"/>
          <w:b/>
          <w:sz w:val="21"/>
          <w:szCs w:val="21"/>
          <w:lang w:val="en-GB"/>
        </w:rPr>
      </w:pPr>
      <w:r>
        <w:rPr>
          <w:rFonts w:cs="Arial" w:ascii="Arial" w:hAnsi="Arial"/>
          <w:b/>
          <w:sz w:val="21"/>
          <w:szCs w:val="21"/>
          <w:lang w:val="en-GB"/>
        </w:rPr>
      </w:r>
    </w:p>
    <w:p>
      <w:pPr>
        <w:pStyle w:val="NoSpacing"/>
        <w:rPr>
          <w:sz w:val="21"/>
          <w:szCs w:val="21"/>
        </w:rPr>
      </w:pPr>
      <w:r>
        <w:rPr>
          <w:rFonts w:cs="Arial" w:ascii="Arial" w:hAnsi="Arial"/>
          <w:sz w:val="21"/>
          <w:szCs w:val="21"/>
          <w:lang w:val="en-GB"/>
        </w:rPr>
        <w:t>This introductory course on computational modelling will introduce the students to the question of explaining human behavior across levels of analysis. Following a complexity science approach, the course will illustrate the basics of computational modelling with models that explain various kinds of human behavior.</w:t>
      </w:r>
    </w:p>
    <w:p>
      <w:pPr>
        <w:pStyle w:val="NoSpacing"/>
        <w:rPr>
          <w:sz w:val="21"/>
          <w:szCs w:val="21"/>
        </w:rPr>
      </w:pPr>
      <w:r>
        <w:rPr>
          <w:rFonts w:cs="Arial" w:ascii="Arial" w:hAnsi="Arial"/>
          <w:sz w:val="21"/>
          <w:szCs w:val="21"/>
          <w:lang w:val="en-GB"/>
        </w:rPr>
        <w:t>The course will cover the following computational approaches to the modelling of social systems:</w:t>
      </w:r>
    </w:p>
    <w:p>
      <w:pPr>
        <w:pStyle w:val="NoSpacing"/>
        <w:numPr>
          <w:ilvl w:val="0"/>
          <w:numId w:val="1"/>
        </w:numPr>
        <w:rPr>
          <w:sz w:val="21"/>
          <w:szCs w:val="21"/>
        </w:rPr>
      </w:pPr>
      <w:r>
        <w:rPr>
          <w:rFonts w:cs="Arial" w:ascii="Arial" w:hAnsi="Arial"/>
          <w:sz w:val="21"/>
          <w:szCs w:val="21"/>
          <w:lang w:val="en-GB"/>
        </w:rPr>
        <w:t>Agent-based modelling: segregation and cultures</w:t>
      </w:r>
    </w:p>
    <w:p>
      <w:pPr>
        <w:pStyle w:val="NoSpacing"/>
        <w:numPr>
          <w:ilvl w:val="0"/>
          <w:numId w:val="1"/>
        </w:numPr>
        <w:rPr>
          <w:sz w:val="21"/>
          <w:szCs w:val="21"/>
        </w:rPr>
      </w:pPr>
      <w:r>
        <w:rPr>
          <w:rFonts w:cs="Arial" w:ascii="Arial" w:hAnsi="Arial"/>
          <w:sz w:val="21"/>
          <w:szCs w:val="21"/>
          <w:lang w:val="en-GB"/>
        </w:rPr>
        <w:t>Opinion dynamics: voter models bounded confidence</w:t>
      </w:r>
    </w:p>
    <w:p>
      <w:pPr>
        <w:pStyle w:val="NoSpacing"/>
        <w:numPr>
          <w:ilvl w:val="0"/>
          <w:numId w:val="1"/>
        </w:numPr>
        <w:rPr>
          <w:color w:val="auto"/>
          <w:sz w:val="21"/>
          <w:szCs w:val="21"/>
        </w:rPr>
      </w:pPr>
      <w:r>
        <w:rPr>
          <w:rFonts w:cs="Arial" w:ascii="Arial" w:hAnsi="Arial"/>
          <w:color w:val="auto"/>
          <w:sz w:val="21"/>
          <w:szCs w:val="21"/>
          <w:lang w:val="en-GB"/>
        </w:rPr>
        <w:t>Generative models on and of social networks</w:t>
      </w:r>
    </w:p>
    <w:p>
      <w:pPr>
        <w:pStyle w:val="NoSpacing"/>
        <w:numPr>
          <w:ilvl w:val="0"/>
          <w:numId w:val="1"/>
        </w:numPr>
        <w:rPr>
          <w:color w:val="auto"/>
          <w:sz w:val="21"/>
          <w:szCs w:val="21"/>
        </w:rPr>
      </w:pPr>
      <w:r>
        <w:rPr>
          <w:rFonts w:cs="Arial" w:ascii="Arial" w:hAnsi="Arial"/>
          <w:color w:val="auto"/>
          <w:sz w:val="21"/>
          <w:szCs w:val="21"/>
          <w:lang w:val="en-GB"/>
        </w:rPr>
        <w:t>Integration between language modelling and agent-based modelling</w:t>
      </w:r>
    </w:p>
    <w:p>
      <w:pPr>
        <w:pStyle w:val="NoSpacing"/>
        <w:ind w:left="720"/>
        <w:rPr>
          <w:rFonts w:ascii="Arial" w:hAnsi="Arial" w:cs="Arial"/>
          <w:color w:val="auto"/>
          <w:sz w:val="21"/>
          <w:szCs w:val="21"/>
          <w:lang w:val="en-GB"/>
        </w:rPr>
      </w:pPr>
      <w:r>
        <w:rPr>
          <w:rFonts w:cs="Arial" w:ascii="Arial" w:hAnsi="Arial"/>
          <w:color w:val="auto"/>
          <w:sz w:val="21"/>
          <w:szCs w:val="21"/>
          <w:lang w:val="en-GB"/>
        </w:rPr>
      </w:r>
    </w:p>
    <w:p>
      <w:pPr>
        <w:pStyle w:val="NoSpacing"/>
        <w:rPr>
          <w:color w:val="auto"/>
          <w:sz w:val="21"/>
          <w:szCs w:val="21"/>
        </w:rPr>
      </w:pPr>
      <w:r>
        <w:rPr>
          <w:rFonts w:cs="Arial" w:ascii="Arial" w:hAnsi="Arial"/>
          <w:color w:val="auto"/>
          <w:sz w:val="21"/>
          <w:szCs w:val="21"/>
          <w:lang w:val="en-GB"/>
        </w:rPr>
        <w:t xml:space="preserve">The course takes the form of a seminar in two phases: </w:t>
      </w:r>
    </w:p>
    <w:p>
      <w:pPr>
        <w:pStyle w:val="NoSpacing"/>
        <w:numPr>
          <w:ilvl w:val="0"/>
          <w:numId w:val="2"/>
        </w:numPr>
        <w:rPr>
          <w:color w:val="auto"/>
          <w:sz w:val="21"/>
          <w:szCs w:val="21"/>
        </w:rPr>
      </w:pPr>
      <w:r>
        <w:rPr>
          <w:rFonts w:cs="Arial" w:ascii="Arial" w:hAnsi="Arial"/>
          <w:color w:val="auto"/>
          <w:sz w:val="21"/>
          <w:szCs w:val="21"/>
          <w:lang w:val="en-GB"/>
        </w:rPr>
        <w:t>Lectures on basics of computational modelling</w:t>
      </w:r>
    </w:p>
    <w:p>
      <w:pPr>
        <w:pStyle w:val="NoSpacing"/>
        <w:numPr>
          <w:ilvl w:val="0"/>
          <w:numId w:val="2"/>
        </w:numPr>
        <w:rPr>
          <w:color w:val="auto"/>
          <w:sz w:val="21"/>
          <w:szCs w:val="21"/>
        </w:rPr>
      </w:pPr>
      <w:r>
        <w:rPr>
          <w:rFonts w:cs="Arial" w:ascii="Arial" w:hAnsi="Arial"/>
          <w:color w:val="auto"/>
          <w:sz w:val="21"/>
          <w:szCs w:val="21"/>
          <w:lang w:val="en-GB"/>
        </w:rPr>
        <w:t>Student presentations on selected readings in computational modelling</w:t>
      </w:r>
    </w:p>
    <w:p>
      <w:pPr>
        <w:pStyle w:val="NoSpacing"/>
        <w:rPr>
          <w:rFonts w:ascii="Arial" w:hAnsi="Arial" w:cs="Arial"/>
          <w:color w:val="auto"/>
          <w:sz w:val="21"/>
          <w:szCs w:val="21"/>
          <w:lang w:val="en-GB"/>
        </w:rPr>
      </w:pPr>
      <w:r>
        <w:rPr>
          <w:rFonts w:cs="Arial" w:ascii="Arial" w:hAnsi="Arial"/>
          <w:color w:val="auto"/>
          <w:sz w:val="21"/>
          <w:szCs w:val="21"/>
          <w:lang w:val="en-GB"/>
        </w:rPr>
      </w:r>
    </w:p>
    <w:p>
      <w:pPr>
        <w:pStyle w:val="NoSpacing"/>
        <w:rPr>
          <w:sz w:val="21"/>
          <w:szCs w:val="21"/>
        </w:rPr>
      </w:pPr>
      <w:r>
        <w:rPr>
          <w:rFonts w:cs="Arial" w:ascii="Arial" w:hAnsi="Arial"/>
          <w:color w:val="auto"/>
          <w:sz w:val="21"/>
          <w:szCs w:val="21"/>
          <w:lang w:val="en-GB"/>
        </w:rPr>
        <w:t>Students select a published article from a set of readings</w:t>
      </w:r>
      <w:r>
        <w:rPr>
          <w:rFonts w:cs="Arial" w:ascii="Arial" w:hAnsi="Arial"/>
          <w:color w:val="auto"/>
          <w:sz w:val="21"/>
          <w:szCs w:val="21"/>
          <w:lang w:val="en-GB"/>
        </w:rPr>
        <w:t xml:space="preserve"> to reproduce </w:t>
      </w:r>
      <w:r>
        <w:rPr>
          <w:rFonts w:cs="Arial" w:ascii="Arial" w:hAnsi="Arial"/>
          <w:color w:val="auto"/>
          <w:sz w:val="21"/>
          <w:szCs w:val="21"/>
          <w:lang w:val="en-GB"/>
        </w:rPr>
        <w:t>an</w:t>
      </w:r>
      <w:r>
        <w:rPr>
          <w:rFonts w:cs="Arial" w:ascii="Arial" w:hAnsi="Arial"/>
          <w:sz w:val="21"/>
          <w:szCs w:val="21"/>
          <w:lang w:val="en-GB"/>
        </w:rPr>
        <w:t>d present in the second part and to write a short review of the article. The course grade is based on the student presentation (50%), participation in discussions after each presentation (20%), and on the report (30%).</w:t>
      </w:r>
    </w:p>
    <w:p>
      <w:pPr>
        <w:pStyle w:val="NoSpacing"/>
        <w:rPr>
          <w:rFonts w:ascii="Arial" w:hAnsi="Arial" w:cs="Arial"/>
          <w:color w:val="auto"/>
          <w:sz w:val="21"/>
          <w:szCs w:val="21"/>
          <w:lang w:val="en-GB"/>
        </w:rPr>
      </w:pPr>
      <w:r>
        <w:rPr>
          <w:rFonts w:cs="Arial" w:ascii="Arial" w:hAnsi="Arial"/>
          <w:color w:val="auto"/>
          <w:sz w:val="21"/>
          <w:szCs w:val="21"/>
          <w:lang w:val="en-GB"/>
        </w:rPr>
      </w:r>
    </w:p>
    <w:p>
      <w:pPr>
        <w:pStyle w:val="NoSpacing"/>
        <w:rPr>
          <w:sz w:val="21"/>
          <w:szCs w:val="21"/>
        </w:rPr>
      </w:pPr>
      <w:r>
        <w:rPr>
          <w:rFonts w:cs="Arial" w:ascii="Arial" w:hAnsi="Arial"/>
          <w:color w:val="auto"/>
          <w:sz w:val="21"/>
          <w:szCs w:val="21"/>
          <w:lang w:val="en-GB"/>
        </w:rPr>
        <w:t>The course contains a practical part of exercises connected to the lectures</w:t>
      </w:r>
      <w:r>
        <w:rPr>
          <w:rFonts w:cs="Arial" w:ascii="Arial" w:hAnsi="Arial"/>
          <w:color w:val="auto"/>
          <w:sz w:val="21"/>
          <w:szCs w:val="21"/>
          <w:lang w:val="en-GB"/>
        </w:rPr>
        <w:t xml:space="preserve">. It is highly recommended to participate in this exercise part because it will help to acquire the </w:t>
      </w:r>
      <w:r>
        <w:rPr>
          <w:rFonts w:cs="Arial" w:ascii="Arial" w:hAnsi="Arial"/>
          <w:sz w:val="21"/>
          <w:szCs w:val="21"/>
          <w:lang w:val="en-GB"/>
        </w:rPr>
        <w:t>skills that are applied in the final project. The exercises will not be graded.</w:t>
      </w:r>
    </w:p>
    <w:p>
      <w:pPr>
        <w:pStyle w:val="NoSpacing"/>
        <w:rPr>
          <w:rFonts w:ascii="Arial" w:hAnsi="Arial" w:cs="Arial"/>
          <w:sz w:val="21"/>
          <w:szCs w:val="21"/>
          <w:lang w:val="en-GB"/>
        </w:rPr>
      </w:pPr>
      <w:r>
        <w:rPr>
          <w:rFonts w:cs="Arial" w:ascii="Arial" w:hAnsi="Arial"/>
          <w:sz w:val="21"/>
          <w:szCs w:val="21"/>
          <w:lang w:val="en-GB"/>
        </w:rPr>
      </w:r>
    </w:p>
    <w:p>
      <w:pPr>
        <w:pStyle w:val="NoSpacing"/>
        <w:rPr>
          <w:sz w:val="21"/>
          <w:szCs w:val="21"/>
        </w:rPr>
      </w:pPr>
      <w:r>
        <w:rPr>
          <w:rFonts w:cs="Arial" w:ascii="Arial" w:hAnsi="Arial"/>
          <w:b/>
          <w:sz w:val="21"/>
          <w:szCs w:val="21"/>
          <w:lang w:val="en-GB"/>
        </w:rPr>
        <w:t>Objectives</w:t>
      </w:r>
    </w:p>
    <w:p>
      <w:pPr>
        <w:pStyle w:val="NoSpacing"/>
        <w:rPr>
          <w:rFonts w:ascii="Arial" w:hAnsi="Arial" w:cs="Arial"/>
          <w:sz w:val="21"/>
          <w:szCs w:val="21"/>
          <w:lang w:val="en-GB"/>
        </w:rPr>
      </w:pPr>
      <w:r>
        <w:rPr>
          <w:rFonts w:cs="Arial" w:ascii="Arial" w:hAnsi="Arial"/>
          <w:sz w:val="21"/>
          <w:szCs w:val="21"/>
          <w:lang w:val="en-GB"/>
        </w:rPr>
      </w:r>
    </w:p>
    <w:p>
      <w:pPr>
        <w:pStyle w:val="NoSpacing"/>
        <w:rPr>
          <w:sz w:val="21"/>
          <w:szCs w:val="21"/>
        </w:rPr>
      </w:pPr>
      <w:r>
        <w:rPr>
          <w:rFonts w:cs="Arial" w:ascii="Arial" w:hAnsi="Arial"/>
          <w:sz w:val="21"/>
          <w:szCs w:val="21"/>
          <w:lang w:val="en-GB"/>
        </w:rPr>
        <w:t>Upon the completion of this course, students will be familiar with the following:</w:t>
      </w:r>
    </w:p>
    <w:p>
      <w:pPr>
        <w:pStyle w:val="NoSpacing"/>
        <w:numPr>
          <w:ilvl w:val="0"/>
          <w:numId w:val="3"/>
        </w:numPr>
        <w:rPr>
          <w:sz w:val="21"/>
          <w:szCs w:val="21"/>
        </w:rPr>
      </w:pPr>
      <w:r>
        <w:rPr>
          <w:rFonts w:cs="Arial" w:ascii="Arial" w:hAnsi="Arial"/>
          <w:sz w:val="21"/>
          <w:szCs w:val="21"/>
          <w:lang w:val="en-GB"/>
        </w:rPr>
        <w:t>Various approaches to model social interactions to bring the micro-macro gap</w:t>
      </w:r>
    </w:p>
    <w:p>
      <w:pPr>
        <w:pStyle w:val="NoSpacing"/>
        <w:numPr>
          <w:ilvl w:val="0"/>
          <w:numId w:val="3"/>
        </w:numPr>
        <w:rPr>
          <w:sz w:val="21"/>
          <w:szCs w:val="21"/>
        </w:rPr>
      </w:pPr>
      <w:r>
        <w:rPr>
          <w:rFonts w:cs="Arial" w:ascii="Arial" w:hAnsi="Arial"/>
          <w:sz w:val="21"/>
          <w:szCs w:val="21"/>
          <w:lang w:val="en-GB"/>
        </w:rPr>
        <w:t>General principles of agent-based modelling and network modelling</w:t>
      </w:r>
    </w:p>
    <w:p>
      <w:pPr>
        <w:pStyle w:val="NoSpacing"/>
        <w:numPr>
          <w:ilvl w:val="0"/>
          <w:numId w:val="3"/>
        </w:numPr>
        <w:rPr>
          <w:sz w:val="21"/>
          <w:szCs w:val="21"/>
        </w:rPr>
      </w:pPr>
      <w:r>
        <w:rPr>
          <w:rFonts w:cs="Arial" w:ascii="Arial" w:hAnsi="Arial"/>
          <w:sz w:val="21"/>
          <w:szCs w:val="21"/>
          <w:lang w:val="en-GB"/>
        </w:rPr>
        <w:t>The analytical approach to formalization, simulation, and analysis of computational models</w:t>
      </w:r>
    </w:p>
    <w:p>
      <w:pPr>
        <w:pStyle w:val="NoSpacing"/>
        <w:numPr>
          <w:ilvl w:val="0"/>
          <w:numId w:val="3"/>
        </w:numPr>
        <w:rPr>
          <w:sz w:val="21"/>
          <w:szCs w:val="21"/>
        </w:rPr>
      </w:pPr>
      <w:r>
        <w:rPr>
          <w:rFonts w:cs="Arial" w:ascii="Arial" w:hAnsi="Arial"/>
          <w:sz w:val="21"/>
          <w:szCs w:val="21"/>
          <w:lang w:val="en-GB"/>
        </w:rPr>
        <w:t>The role of empirical data in the calibration and validation of computational models</w:t>
      </w:r>
    </w:p>
    <w:p>
      <w:pPr>
        <w:pStyle w:val="NoSpacing"/>
        <w:numPr>
          <w:ilvl w:val="0"/>
          <w:numId w:val="3"/>
        </w:numPr>
        <w:rPr>
          <w:sz w:val="21"/>
          <w:szCs w:val="21"/>
        </w:rPr>
      </w:pPr>
      <w:r>
        <w:rPr>
          <w:rFonts w:cs="Arial" w:ascii="Arial" w:hAnsi="Arial"/>
          <w:sz w:val="21"/>
          <w:szCs w:val="21"/>
          <w:lang w:val="en-GB"/>
        </w:rPr>
        <w:t>The limitations and applications of computational modelling in the social sciences</w:t>
      </w:r>
    </w:p>
    <w:p>
      <w:pPr>
        <w:pStyle w:val="NoSpacing"/>
        <w:ind w:left="720"/>
        <w:rPr>
          <w:rFonts w:ascii="Arial" w:hAnsi="Arial" w:cs="Arial"/>
          <w:sz w:val="21"/>
          <w:szCs w:val="21"/>
          <w:lang w:val="en-GB"/>
        </w:rPr>
      </w:pPr>
      <w:r>
        <w:rPr>
          <w:rFonts w:cs="Arial" w:ascii="Arial" w:hAnsi="Arial"/>
          <w:sz w:val="21"/>
          <w:szCs w:val="21"/>
          <w:lang w:val="en-GB"/>
        </w:rPr>
      </w:r>
    </w:p>
    <w:p>
      <w:pPr>
        <w:pStyle w:val="NoSpacing"/>
        <w:rPr>
          <w:sz w:val="21"/>
          <w:szCs w:val="21"/>
        </w:rPr>
      </w:pPr>
      <w:r>
        <w:rPr>
          <w:rFonts w:cs="Arial" w:ascii="Arial" w:hAnsi="Arial"/>
          <w:b/>
          <w:sz w:val="21"/>
          <w:szCs w:val="21"/>
          <w:lang w:val="en-GB"/>
        </w:rPr>
        <w:t>Recommended prerequisites</w:t>
      </w:r>
    </w:p>
    <w:p>
      <w:pPr>
        <w:pStyle w:val="NoSpacing"/>
        <w:rPr>
          <w:rFonts w:ascii="Arial" w:hAnsi="Arial" w:cs="Arial"/>
          <w:b/>
          <w:sz w:val="21"/>
          <w:szCs w:val="21"/>
          <w:lang w:val="en-GB"/>
        </w:rPr>
      </w:pPr>
      <w:r>
        <w:rPr>
          <w:rFonts w:cs="Arial" w:ascii="Arial" w:hAnsi="Arial"/>
          <w:b/>
          <w:sz w:val="21"/>
          <w:szCs w:val="21"/>
          <w:lang w:val="en-GB"/>
        </w:rPr>
      </w:r>
    </w:p>
    <w:p>
      <w:pPr>
        <w:pStyle w:val="NoSpacing"/>
        <w:rPr>
          <w:sz w:val="21"/>
          <w:szCs w:val="21"/>
        </w:rPr>
      </w:pPr>
      <w:r>
        <w:rPr>
          <w:rFonts w:cs="Arial" w:ascii="Arial" w:hAnsi="Arial"/>
          <w:sz w:val="21"/>
          <w:szCs w:val="21"/>
          <w:lang w:val="en-GB"/>
        </w:rPr>
        <w:t>This course does not have specific pre-requisites but is especially indicated for students beyond the first semester of their master studies, especially the SEDS programme.</w:t>
      </w:r>
    </w:p>
    <w:p>
      <w:pPr>
        <w:pStyle w:val="NoSpacing"/>
        <w:rPr>
          <w:rFonts w:ascii="Arial" w:hAnsi="Arial" w:cs="Arial"/>
          <w:sz w:val="21"/>
          <w:szCs w:val="21"/>
          <w:lang w:val="en-GB"/>
        </w:rPr>
      </w:pPr>
      <w:r>
        <w:rPr>
          <w:rFonts w:cs="Arial" w:ascii="Arial" w:hAnsi="Arial"/>
          <w:sz w:val="21"/>
          <w:szCs w:val="21"/>
          <w:lang w:val="en-GB"/>
        </w:rPr>
      </w:r>
    </w:p>
    <w:p>
      <w:pPr>
        <w:pStyle w:val="NoSpacing"/>
        <w:rPr>
          <w:sz w:val="21"/>
          <w:szCs w:val="21"/>
        </w:rPr>
      </w:pPr>
      <w:r>
        <w:rPr>
          <w:rFonts w:cs="Arial" w:ascii="Arial" w:hAnsi="Arial"/>
          <w:b/>
          <w:sz w:val="21"/>
          <w:szCs w:val="21"/>
          <w:lang w:val="en-GB"/>
        </w:rPr>
        <w:t>Literature</w:t>
      </w:r>
    </w:p>
    <w:p>
      <w:pPr>
        <w:pStyle w:val="NoSpacing"/>
        <w:rPr>
          <w:rFonts w:ascii="Arial" w:hAnsi="Arial" w:cs="Arial"/>
          <w:b w:val="false"/>
          <w:bCs w:val="false"/>
          <w:sz w:val="21"/>
          <w:szCs w:val="21"/>
          <w:lang w:val="en-GB"/>
        </w:rPr>
      </w:pPr>
      <w:r>
        <w:rPr>
          <w:rFonts w:cs="Arial" w:ascii="Arial" w:hAnsi="Arial"/>
          <w:b w:val="false"/>
          <w:bCs w:val="false"/>
          <w:sz w:val="21"/>
          <w:szCs w:val="21"/>
          <w:lang w:val="en-GB"/>
        </w:rPr>
      </w:r>
    </w:p>
    <w:p>
      <w:pPr>
        <w:pStyle w:val="NoSpacing"/>
        <w:rPr>
          <w:b w:val="false"/>
          <w:bCs w:val="false"/>
          <w:sz w:val="21"/>
          <w:szCs w:val="21"/>
        </w:rPr>
      </w:pPr>
      <w:r>
        <w:rPr>
          <w:rFonts w:eastAsia="Calibri" w:cs="Arial" w:ascii="Arial" w:hAnsi="Arial" w:eastAsiaTheme="minorHAnsi"/>
          <w:b w:val="false"/>
          <w:bCs w:val="false"/>
          <w:color w:val="auto"/>
          <w:kern w:val="0"/>
          <w:sz w:val="21"/>
          <w:szCs w:val="21"/>
          <w:lang w:val="en-GB" w:eastAsia="en-US" w:bidi="ar-SA"/>
        </w:rPr>
        <w:t>Given the variety of modeling approaches covered by the course, there is no single reading source for the course. Each lecture will have one or two recommended readings as preparation and a more extensive readings list will be provided at the beginning of the course for students to choose a paper to present.</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a2b01"/>
    <w:pPr>
      <w:spacing w:before="0" w:after="160"/>
      <w:ind w:hanging="0" w:left="720"/>
      <w:contextualSpacing/>
    </w:pPr>
    <w:rPr/>
  </w:style>
  <w:style w:type="paragraph" w:styleId="NoSpacing">
    <w:name w:val="No Spacing"/>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LibreOffice/24.8.5.2$Linux_X86_64 LibreOffice_project/480$Build-2</Application>
  <AppVersion>15.0000</AppVersion>
  <DocSecurity>0</DocSecurity>
  <Pages>1</Pages>
  <Words>407</Words>
  <Characters>2290</Characters>
  <CharactersWithSpaces>2658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2022-06-21T09:51:00Z</dcterms:created>
  <dc:creator>User</dc:creator>
  <dc:description/>
  <dc:language>en-US</dc:language>
  <cp:lastModifiedBy/>
  <dcterms:modified xsi:type="dcterms:W3CDTF">2025-03-17T14:15:44Z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