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52.png" ContentType="image/png"/>
  <Override PartName="/word/media/rId44.gif" ContentType="image/gif"/>
  <Override PartName="/word/media/rId26.png" ContentType="image/png"/>
  <Override PartName="/word/media/rId39.png" ContentType="image/png"/>
  <Override PartName="/word/media/rId30.png" ContentType="image/png"/>
  <Override PartName="/word/media/rId17.png" ContentType="image/png"/>
  <Override PartName="/word/media/rId21.png" ContentType="image/png"/>
  <Override PartName="/word/media/rId35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Имитационное моделирование: реализация основных моделей в подходе сетей Петри</w:t>
      </w:r>
    </w:p>
    <w:p>
      <w:pPr>
        <w:pStyle w:val="Date"/>
      </w:pPr>
      <w:r>
        <w:t xml:space="preserve">today</w:t>
      </w:r>
    </w:p>
    <w:bookmarkStart w:id="11" w:name="информация"/>
    <w:p>
      <w:pPr>
        <w:pStyle w:val="Heading1"/>
      </w:pPr>
      <w:r>
        <w:t xml:space="preserve">Информация</w:t>
      </w:r>
    </w:p>
    <w:bookmarkStart w:id="1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Авдадаев Джамал Геланиевич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1032230169@rudn.ru</w:t>
        </w:r>
      </w:hyperlink>
    </w:p>
    <w:bookmarkEnd w:id="10"/>
    <w:bookmarkEnd w:id="11"/>
    <w:bookmarkStart w:id="16" w:name="вводная-часть"/>
    <w:p>
      <w:pPr>
        <w:pStyle w:val="Heading1"/>
      </w:pPr>
      <w:r>
        <w:t xml:space="preserve">Вводная часть</w:t>
      </w:r>
    </w:p>
    <w:bookmarkStart w:id="12" w:name="цель-работы"/>
    <w:p>
      <w:pPr>
        <w:pStyle w:val="Heading2"/>
      </w:pPr>
      <w:r>
        <w:t xml:space="preserve">Цель работы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модель SIR на основе сетей Петри (AlgebraicPetri, Catlab)</w:t>
      </w:r>
    </w:p>
    <w:p>
      <w:pPr>
        <w:pStyle w:val="Compact"/>
        <w:numPr>
          <w:ilvl w:val="0"/>
          <w:numId w:val="1002"/>
        </w:numPr>
      </w:pPr>
      <w:r>
        <w:t xml:space="preserve">Выполнить детерминированное и стохастическое моделирование, сравнить подходы</w:t>
      </w:r>
    </w:p>
    <w:p>
      <w:pPr>
        <w:pStyle w:val="Compact"/>
        <w:numPr>
          <w:ilvl w:val="0"/>
          <w:numId w:val="1002"/>
        </w:numPr>
      </w:pPr>
      <w:r>
        <w:t xml:space="preserve">Провести сканирование по β и оформить скрипты в литературном стиле</w:t>
      </w:r>
    </w:p>
    <w:bookmarkEnd w:id="12"/>
    <w:bookmarkStart w:id="13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Объект:</w:t>
      </w:r>
      <w:r>
        <w:t xml:space="preserve"> </w:t>
      </w:r>
      <w:r>
        <w:t xml:space="preserve">модель SIR, представленная как</w:t>
      </w:r>
      <w:r>
        <w:t xml:space="preserve"> </w:t>
      </w:r>
      <w:r>
        <w:rPr>
          <w:rStyle w:val="VerbatimChar"/>
        </w:rPr>
        <w:t xml:space="preserve">LabelledPetriNet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сравнение детерминированной и стохастической динамики, влияние β на пик эпидемии</w:t>
      </w:r>
    </w:p>
    <w:bookmarkEnd w:id="13"/>
    <w:bookmarkStart w:id="14" w:name="математическая-постановка"/>
    <w:p>
      <w:pPr>
        <w:pStyle w:val="Heading2"/>
      </w:pPr>
      <w:r>
        <w:t xml:space="preserve">Математическая постановка</w:t>
      </w:r>
    </w:p>
    <w:p>
      <w:pPr>
        <w:pStyle w:val="Compact"/>
        <w:numPr>
          <w:ilvl w:val="0"/>
          <w:numId w:val="1004"/>
        </w:numPr>
      </w:pPr>
      <w:r>
        <w:t xml:space="preserve">Переходы сети:</w:t>
      </w:r>
      <w:r>
        <w:t xml:space="preserve"> </w:t>
      </w:r>
      <w:r>
        <w:rPr>
          <w:b/>
          <w:bCs/>
        </w:rPr>
        <w:t xml:space="preserve">infection</w:t>
      </w:r>
      <w:r>
        <w:t xml:space="preserve"> </w:t>
      </w:r>
      <w:r>
        <w:t xml:space="preserve">S + I → I + I (β),</w:t>
      </w:r>
      <w:r>
        <w:t xml:space="preserve"> </w:t>
      </w:r>
      <w:r>
        <w:rPr>
          <w:b/>
          <w:bCs/>
        </w:rPr>
        <w:t xml:space="preserve">recovery</w:t>
      </w:r>
      <w:r>
        <w:t xml:space="preserve"> </w:t>
      </w:r>
      <w:r>
        <w:t xml:space="preserve">I → R (γ)</w:t>
      </w:r>
    </w:p>
    <w:p>
      <w:pPr>
        <w:pStyle w:val="Compact"/>
        <w:numPr>
          <w:ilvl w:val="0"/>
          <w:numId w:val="1004"/>
        </w:numPr>
      </w:pPr>
      <w:r>
        <w:t xml:space="preserve">Система ОДУ: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β</m:t>
        </m:r>
        <m:r>
          <m:t>S</m:t>
        </m:r>
        <m:r>
          <m:t>I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β</m:t>
        </m:r>
        <m:r>
          <m:t>S</m:t>
        </m:r>
        <m:r>
          <m:t>I</m:t>
        </m:r>
        <m:r>
          <m:rPr>
            <m:sty m:val="p"/>
          </m:rPr>
          <m:t>−</m:t>
        </m:r>
        <m:r>
          <m:t>γ</m:t>
        </m:r>
        <m:r>
          <m:t>I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γ</m:t>
        </m:r>
        <m:r>
          <m:t>I</m:t>
        </m:r>
      </m:oMath>
    </w:p>
    <w:p>
      <w:pPr>
        <w:pStyle w:val="Compact"/>
        <w:numPr>
          <w:ilvl w:val="0"/>
          <w:numId w:val="1004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γ</m:t>
        </m:r>
      </m:oMath>
      <w:r>
        <w:t xml:space="preserve">: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эпидемия развивается</w:t>
      </w:r>
    </w:p>
    <w:p>
      <w:pPr>
        <w:pStyle w:val="Compact"/>
        <w:numPr>
          <w:ilvl w:val="0"/>
          <w:numId w:val="1004"/>
        </w:numPr>
      </w:pPr>
      <w:r>
        <w:t xml:space="preserve">Детерминированный подход — Tsit5; стохастический — алгоритм Гиллеспи (SSA)</w:t>
      </w:r>
    </w:p>
    <w:bookmarkEnd w:id="14"/>
    <w:bookmarkStart w:id="15" w:name="используемые-инструменты"/>
    <w:p>
      <w:pPr>
        <w:pStyle w:val="Heading2"/>
      </w:pPr>
      <w:r>
        <w:t xml:space="preserve">Используемые инструменты</w:t>
      </w:r>
    </w:p>
    <w:p>
      <w:pPr>
        <w:pStyle w:val="Compact"/>
        <w:numPr>
          <w:ilvl w:val="0"/>
          <w:numId w:val="1005"/>
        </w:numPr>
      </w:pPr>
      <w:r>
        <w:t xml:space="preserve">Julia 1.12.6, DrWatson v2.19.1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AlgebraicPetri v0.10.0</w:t>
      </w:r>
      <w:r>
        <w:t xml:space="preserve">,</w:t>
      </w:r>
      <w:r>
        <w:t xml:space="preserve"> </w:t>
      </w:r>
      <w:r>
        <w:rPr>
          <w:rStyle w:val="VerbatimChar"/>
        </w:rPr>
        <w:t xml:space="preserve">Catlab v0.17.6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 v6.107.0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 v1.41.6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</w:p>
    <w:bookmarkEnd w:id="15"/>
    <w:bookmarkEnd w:id="16"/>
    <w:bookmarkStart w:id="25" w:name="реализация-модели"/>
    <w:p>
      <w:pPr>
        <w:pStyle w:val="Heading1"/>
      </w:pPr>
      <w:r>
        <w:t xml:space="preserve">Реализация модели</w:t>
      </w:r>
    </w:p>
    <w:bookmarkStart w:id="20" w:name="модуль-sirpetri.jl"/>
    <w:p>
      <w:pPr>
        <w:pStyle w:val="Heading2"/>
      </w:pPr>
      <w:r>
        <w:t xml:space="preserve">Модуль SIRPetri.jl</w:t>
      </w:r>
    </w:p>
    <w:p>
      <w:pPr>
        <w:pStyle w:val="CaptionedFigure"/>
      </w:pPr>
      <w:r>
        <w:drawing>
          <wp:inline>
            <wp:extent cx="4533900" cy="3779012"/>
            <wp:effectExtent b="0" l="0" r="0" t="0"/>
            <wp:docPr descr="SIRPetri.jl: функция build_sir_network" title="" id="1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6-24-3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779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SIRPetri.jl: функция build_sir_network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LabelledPetriNet</w:t>
      </w:r>
      <w:r>
        <w:t xml:space="preserve">: позиции [:S, :I, :R], переходы infection и recovery</w:t>
      </w:r>
    </w:p>
    <w:p>
      <w:pPr>
        <w:pStyle w:val="Compact"/>
        <w:numPr>
          <w:ilvl w:val="0"/>
          <w:numId w:val="1006"/>
        </w:numPr>
      </w:pPr>
      <w:r>
        <w:t xml:space="preserve">Начальная маркировка: S = 990, I = 10, R = 0</w:t>
      </w:r>
    </w:p>
    <w:p>
      <w:pPr>
        <w:pStyle w:val="Compact"/>
        <w:numPr>
          <w:ilvl w:val="0"/>
          <w:numId w:val="1006"/>
        </w:numPr>
      </w:pPr>
      <w:r>
        <w:t xml:space="preserve">Функции:</w:t>
      </w:r>
      <w:r>
        <w:t xml:space="preserve"> </w:t>
      </w:r>
      <w:r>
        <w:rPr>
          <w:rStyle w:val="VerbatimChar"/>
        </w:rPr>
        <w:t xml:space="preserve">simulate_deterministic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plot_sir</w:t>
      </w:r>
      <w:r>
        <w:t xml:space="preserve">,</w:t>
      </w:r>
      <w:r>
        <w:t xml:space="preserve"> </w:t>
      </w:r>
      <w:r>
        <w:rPr>
          <w:rStyle w:val="VerbatimChar"/>
        </w:rPr>
        <w:t xml:space="preserve">to_graphviz_sir</w:t>
      </w:r>
    </w:p>
    <w:bookmarkEnd w:id="20"/>
    <w:bookmarkStart w:id="24" w:name="базовый-скрипт-sirpetri_run.jl"/>
    <w:p>
      <w:pPr>
        <w:pStyle w:val="Heading2"/>
      </w:pPr>
      <w:r>
        <w:t xml:space="preserve">Базовый скрипт: sirpetri_run.jl</w:t>
      </w:r>
    </w:p>
    <w:p>
      <w:pPr>
        <w:pStyle w:val="CaptionedFigure"/>
      </w:pPr>
      <w:r>
        <w:drawing>
          <wp:inline>
            <wp:extent cx="4533900" cy="3474027"/>
            <wp:effectExtent b="0" l="0" r="0" t="0"/>
            <wp:docPr descr="sirpetri_run.jl: параметры и симуляции" title="" id="2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7-30-5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74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sirpetri_run.jl: параметры и симуляции</w:t>
      </w:r>
    </w:p>
    <w:p>
      <w:pPr>
        <w:pStyle w:val="Compact"/>
        <w:numPr>
          <w:ilvl w:val="0"/>
          <w:numId w:val="1007"/>
        </w:numPr>
      </w:pPr>
      <w:r>
        <w:t xml:space="preserve">β = 0.3, γ = 0.1, tmax = 100.0</w:t>
      </w:r>
    </w:p>
    <w:p>
      <w:pPr>
        <w:pStyle w:val="Compact"/>
        <w:numPr>
          <w:ilvl w:val="0"/>
          <w:numId w:val="1007"/>
        </w:numPr>
      </w:pPr>
      <w:r>
        <w:t xml:space="preserve">Детерминированная (</w:t>
      </w:r>
      <w:r>
        <w:rPr>
          <w:rStyle w:val="VerbatimChar"/>
        </w:rPr>
        <w:t xml:space="preserve">saveat = 0.5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sir_det.csv</w:t>
      </w:r>
    </w:p>
    <w:p>
      <w:pPr>
        <w:pStyle w:val="Compact"/>
        <w:numPr>
          <w:ilvl w:val="0"/>
          <w:numId w:val="1007"/>
        </w:numPr>
      </w:pPr>
      <w:r>
        <w:t xml:space="preserve">Стохастическая (</w:t>
      </w:r>
      <w:r>
        <w:rPr>
          <w:rStyle w:val="VerbatimChar"/>
        </w:rPr>
        <w:t xml:space="preserve">Random.seed!(123)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sir_stoch.csv</w:t>
      </w:r>
    </w:p>
    <w:bookmarkEnd w:id="24"/>
    <w:bookmarkEnd w:id="25"/>
    <w:bookmarkStart w:id="34" w:name="базовый-эксперимент-β-0.3-γ-0.1"/>
    <w:p>
      <w:pPr>
        <w:pStyle w:val="Heading1"/>
      </w:pPr>
      <w:r>
        <w:t xml:space="preserve">Базовый эксперимент (β = 0.3, γ = 0.1)</w:t>
      </w:r>
    </w:p>
    <w:bookmarkStart w:id="29" w:name="детерминированная-динамика"/>
    <w:p>
      <w:pPr>
        <w:pStyle w:val="Heading2"/>
      </w:pPr>
      <w:r>
        <w:t xml:space="preserve">Детерминированная динамика</w:t>
      </w:r>
    </w:p>
    <w:p>
      <w:pPr>
        <w:pStyle w:val="CaptionedFigure"/>
      </w:pPr>
      <w:r>
        <w:drawing>
          <wp:inline>
            <wp:extent cx="4267200" cy="3048000"/>
            <wp:effectExtent b="0" l="0" r="0" t="0"/>
            <wp:docPr descr="sir_det_dynamics.png" title="" id="27" name="Picture"/>
            <a:graphic>
              <a:graphicData uri="http://schemas.openxmlformats.org/drawingml/2006/picture">
                <pic:pic>
                  <pic:nvPicPr>
                    <pic:cNvPr descr="image/sir_det_dynamic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sir_det_dynamics.png</w:t>
      </w:r>
    </w:p>
    <w:p>
      <w:pPr>
        <w:pStyle w:val="Compact"/>
        <w:numPr>
          <w:ilvl w:val="0"/>
          <w:numId w:val="1008"/>
        </w:numPr>
      </w:pPr>
      <w:r>
        <w:t xml:space="preserve">S падает с 1000 до 0 уже к t ≈ 5</w:t>
      </w:r>
    </w:p>
    <w:p>
      <w:pPr>
        <w:pStyle w:val="Compact"/>
        <w:numPr>
          <w:ilvl w:val="0"/>
          <w:numId w:val="1008"/>
        </w:numPr>
      </w:pPr>
      <w:r>
        <w:t xml:space="preserve">I выходит на пик ≈ 940 почти сразу (t ≈ 1), убывает к 0 к t ≈ 75</w:t>
      </w:r>
    </w:p>
    <w:p>
      <w:pPr>
        <w:pStyle w:val="Compact"/>
        <w:numPr>
          <w:ilvl w:val="0"/>
          <w:numId w:val="1008"/>
        </w:numPr>
      </w:pPr>
      <w:r>
        <w:t xml:space="preserve">R₀ = 0.3·990/0.1 = 2970 — стремительное распространение</w:t>
      </w:r>
    </w:p>
    <w:bookmarkEnd w:id="29"/>
    <w:bookmarkStart w:id="33" w:name="стохастическая-динамика"/>
    <w:p>
      <w:pPr>
        <w:pStyle w:val="Heading2"/>
      </w:pPr>
      <w:r>
        <w:t xml:space="preserve">Стохастическая динамика</w:t>
      </w:r>
    </w:p>
    <w:p>
      <w:pPr>
        <w:pStyle w:val="CaptionedFigure"/>
      </w:pPr>
      <w:r>
        <w:drawing>
          <wp:inline>
            <wp:extent cx="4267200" cy="3048000"/>
            <wp:effectExtent b="0" l="0" r="0" t="0"/>
            <wp:docPr descr="sir_stoch_dynamics.png" title="" id="31" name="Picture"/>
            <a:graphic>
              <a:graphicData uri="http://schemas.openxmlformats.org/drawingml/2006/picture">
                <pic:pic>
                  <pic:nvPicPr>
                    <pic:cNvPr descr="image/sir_stoch_dynamic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sir_stoch_dynamics.png</w:t>
      </w:r>
    </w:p>
    <w:p>
      <w:pPr>
        <w:pStyle w:val="Compact"/>
        <w:numPr>
          <w:ilvl w:val="0"/>
          <w:numId w:val="1009"/>
        </w:numPr>
      </w:pPr>
      <w:r>
        <w:t xml:space="preserve">Пик I (~1000) достигается позже, около t ≈ 7</w:t>
      </w:r>
    </w:p>
    <w:p>
      <w:pPr>
        <w:pStyle w:val="Compact"/>
        <w:numPr>
          <w:ilvl w:val="0"/>
          <w:numId w:val="1009"/>
        </w:numPr>
      </w:pPr>
      <w:r>
        <w:t xml:space="preserve">I спадает до нуля примерно к t ≈ 65</w:t>
      </w:r>
    </w:p>
    <w:p>
      <w:pPr>
        <w:pStyle w:val="Compact"/>
        <w:numPr>
          <w:ilvl w:val="0"/>
          <w:numId w:val="1009"/>
        </w:numPr>
      </w:pPr>
      <w:r>
        <w:t xml:space="preserve">Заметны флуктуации на нисходящей ветви (алгоритм Гиллеспи, N = 1000)</w:t>
      </w:r>
    </w:p>
    <w:bookmarkEnd w:id="33"/>
    <w:bookmarkEnd w:id="34"/>
    <w:bookmarkStart w:id="43" w:name="сканирование-параметра-β"/>
    <w:p>
      <w:pPr>
        <w:pStyle w:val="Heading1"/>
      </w:pPr>
      <w:r>
        <w:t xml:space="preserve">Сканирование параметра β</w:t>
      </w:r>
    </w:p>
    <w:bookmarkStart w:id="38" w:name="скрипт-sirpetri_scan_parameters.jl"/>
    <w:p>
      <w:pPr>
        <w:pStyle w:val="Heading2"/>
      </w:pPr>
      <w:r>
        <w:t xml:space="preserve">Скрипт sirpetri_scan_parameters.jl</w:t>
      </w:r>
    </w:p>
    <w:p>
      <w:pPr>
        <w:pStyle w:val="CaptionedFigure"/>
      </w:pPr>
      <w:r>
        <w:drawing>
          <wp:inline>
            <wp:extent cx="4533900" cy="3652560"/>
            <wp:effectExtent b="0" l="0" r="0" t="0"/>
            <wp:docPr descr="sirpetri_scan_parameters.jl: цикл по β" title="" id="3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7-39-0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5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sirpetri_scan_parameters.jl: цикл по β</w:t>
      </w:r>
    </w:p>
    <w:p>
      <w:pPr>
        <w:pStyle w:val="Compact"/>
        <w:numPr>
          <w:ilvl w:val="0"/>
          <w:numId w:val="1010"/>
        </w:numPr>
      </w:pPr>
      <w:r>
        <w:t xml:space="preserve">β ∈ 0.1:0.05:0.8, γ = 0.1, tmax = 100.0</w:t>
      </w:r>
    </w:p>
    <w:p>
      <w:pPr>
        <w:pStyle w:val="Compact"/>
        <w:numPr>
          <w:ilvl w:val="0"/>
          <w:numId w:val="1010"/>
        </w:numPr>
      </w:pPr>
      <w:r>
        <w:t xml:space="preserve">Для каждого β:</w:t>
      </w:r>
      <w:r>
        <w:t xml:space="preserve"> </w:t>
      </w:r>
      <w:r>
        <w:rPr>
          <w:rStyle w:val="VerbatimChar"/>
        </w:rPr>
        <w:t xml:space="preserve">peak_I = maximum(df.I)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final_R = df.R[end]</w:t>
      </w:r>
    </w:p>
    <w:p>
      <w:pPr>
        <w:pStyle w:val="Compact"/>
        <w:numPr>
          <w:ilvl w:val="0"/>
          <w:numId w:val="1010"/>
        </w:numPr>
      </w:pPr>
      <w:r>
        <w:t xml:space="preserve">Результат →</w:t>
      </w:r>
      <w:r>
        <w:t xml:space="preserve"> </w:t>
      </w:r>
      <w:r>
        <w:rPr>
          <w:rStyle w:val="VerbatimChar"/>
        </w:rPr>
        <w:t xml:space="preserve">data/sir_scan.csv</w:t>
      </w:r>
    </w:p>
    <w:bookmarkEnd w:id="38"/>
    <w:bookmarkStart w:id="42" w:name="результаты-сканирования"/>
    <w:p>
      <w:pPr>
        <w:pStyle w:val="Heading2"/>
      </w:pPr>
      <w:r>
        <w:t xml:space="preserve">Результаты сканирования</w:t>
      </w:r>
    </w:p>
    <w:p>
      <w:pPr>
        <w:pStyle w:val="CaptionedFigure"/>
      </w:pPr>
      <w:r>
        <w:drawing>
          <wp:inline>
            <wp:extent cx="4267200" cy="3048000"/>
            <wp:effectExtent b="0" l="0" r="0" t="0"/>
            <wp:docPr descr="sir_scan.png: Peak I и Final R" title="" id="40" name="Picture"/>
            <a:graphic>
              <a:graphicData uri="http://schemas.openxmlformats.org/drawingml/2006/picture">
                <pic:pic>
                  <pic:nvPicPr>
                    <pic:cNvPr descr="image/sir_sca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sir_scan.png: Peak I и Final R</w:t>
      </w:r>
    </w:p>
    <w:p>
      <w:pPr>
        <w:pStyle w:val="Compact"/>
        <w:numPr>
          <w:ilvl w:val="0"/>
          <w:numId w:val="1011"/>
        </w:numPr>
      </w:pPr>
      <w:r>
        <w:t xml:space="preserve">Final R ≈ 1000 при всех β ∈ [0.1, 0.8]</w:t>
      </w:r>
    </w:p>
    <w:p>
      <w:pPr>
        <w:pStyle w:val="Compact"/>
        <w:numPr>
          <w:ilvl w:val="0"/>
          <w:numId w:val="1011"/>
        </w:numPr>
      </w:pPr>
      <w:r>
        <w:t xml:space="preserve">Peak I убывает: от ≈ 955.6 (β = 0.1) до ≈ 951.9 (β = 0.8)</w:t>
      </w:r>
    </w:p>
    <w:p>
      <w:pPr>
        <w:pStyle w:val="Compact"/>
        <w:numPr>
          <w:ilvl w:val="0"/>
          <w:numId w:val="1011"/>
        </w:numPr>
      </w:pPr>
      <w:r>
        <w:t xml:space="preserve">При любом β R₀ ≫ 1, эпидемия охватывает всю популяцию</w:t>
      </w:r>
    </w:p>
    <w:bookmarkEnd w:id="42"/>
    <w:bookmarkEnd w:id="43"/>
    <w:bookmarkStart w:id="56" w:name="анимация-и-сравнение-подходов"/>
    <w:p>
      <w:pPr>
        <w:pStyle w:val="Heading1"/>
      </w:pPr>
      <w:r>
        <w:t xml:space="preserve">Анимация и сравнение подходов</w:t>
      </w:r>
    </w:p>
    <w:bookmarkStart w:id="47" w:name="gif-анимация-динамики-sir"/>
    <w:p>
      <w:pPr>
        <w:pStyle w:val="Heading2"/>
      </w:pPr>
      <w:r>
        <w:t xml:space="preserve">GIF-анимация динамики SIR</w:t>
      </w:r>
    </w:p>
    <w:p>
      <w:pPr>
        <w:pStyle w:val="CaptionedFigure"/>
      </w:pPr>
      <w:r>
        <w:drawing>
          <wp:inline>
            <wp:extent cx="3733800" cy="2667000"/>
            <wp:effectExtent b="0" l="0" r="0" t="0"/>
            <wp:docPr descr="sir_animation.gif" title="" id="45" name="Picture"/>
            <a:graphic>
              <a:graphicData uri="http://schemas.openxmlformats.org/drawingml/2006/picture">
                <pic:pic>
                  <pic:nvPicPr>
                    <pic:cNvPr descr="image/sir_animation.gif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sir_animation.gif</w:t>
      </w:r>
    </w:p>
    <w:p>
      <w:pPr>
        <w:pStyle w:val="Compact"/>
        <w:numPr>
          <w:ilvl w:val="0"/>
          <w:numId w:val="1012"/>
        </w:numPr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sirpetri_animate.jl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saveat = 0.2</w:t>
      </w:r>
    </w:p>
    <w:p>
      <w:pPr>
        <w:pStyle w:val="Compact"/>
        <w:numPr>
          <w:ilvl w:val="0"/>
          <w:numId w:val="1012"/>
        </w:numPr>
      </w:pPr>
      <w:r>
        <w:t xml:space="preserve">Покадровая столбчатая диаграмма S, I, R, ylim = (0, 1000)</w:t>
      </w:r>
    </w:p>
    <w:bookmarkEnd w:id="47"/>
    <w:bookmarkStart w:id="51" w:name="X2a2543894223acf69afa261c8c70da0ad2dbc2f"/>
    <w:p>
      <w:pPr>
        <w:pStyle w:val="Heading2"/>
      </w:pPr>
      <w:r>
        <w:t xml:space="preserve">Сравнение детерминированного и стохастического подходов</w:t>
      </w:r>
    </w:p>
    <w:p>
      <w:pPr>
        <w:pStyle w:val="CaptionedFigure"/>
      </w:pPr>
      <w:r>
        <w:drawing>
          <wp:inline>
            <wp:extent cx="4267200" cy="3048000"/>
            <wp:effectExtent b="0" l="0" r="0" t="0"/>
            <wp:docPr descr="comparison.png" title="" id="49" name="Picture"/>
            <a:graphic>
              <a:graphicData uri="http://schemas.openxmlformats.org/drawingml/2006/picture">
                <pic:pic>
                  <pic:nvPicPr>
                    <pic:cNvPr descr="image/comparis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comparison.png</w:t>
      </w:r>
    </w:p>
    <w:p>
      <w:pPr>
        <w:pStyle w:val="Compact"/>
        <w:numPr>
          <w:ilvl w:val="0"/>
          <w:numId w:val="1013"/>
        </w:numPr>
      </w:pPr>
      <w:r>
        <w:t xml:space="preserve">Детерминированная I: пик ≈ 940 уже при t = 0, экспоненциальный спад к 0 к t ≈ 75</w:t>
      </w:r>
    </w:p>
    <w:p>
      <w:pPr>
        <w:pStyle w:val="Compact"/>
        <w:numPr>
          <w:ilvl w:val="0"/>
          <w:numId w:val="1013"/>
        </w:numPr>
      </w:pPr>
      <w:r>
        <w:t xml:space="preserve">Стохастическая I: рост от 0 до ≈ 200 к t = 100</w:t>
      </w:r>
    </w:p>
    <w:p>
      <w:pPr>
        <w:pStyle w:val="Compact"/>
        <w:numPr>
          <w:ilvl w:val="0"/>
          <w:numId w:val="1013"/>
        </w:numPr>
      </w:pPr>
      <w:r>
        <w:t xml:space="preserve">При seed = 123 стохастическая реализация — «медленная» эпидемия</w:t>
      </w:r>
    </w:p>
    <w:bookmarkEnd w:id="51"/>
    <w:bookmarkStart w:id="55" w:name="график-чувствительности"/>
    <w:p>
      <w:pPr>
        <w:pStyle w:val="Heading2"/>
      </w:pPr>
      <w:r>
        <w:t xml:space="preserve">График чувствительности</w:t>
      </w:r>
    </w:p>
    <w:p>
      <w:pPr>
        <w:pStyle w:val="CaptionedFigure"/>
      </w:pPr>
      <w:r>
        <w:drawing>
          <wp:inline>
            <wp:extent cx="4267200" cy="3048000"/>
            <wp:effectExtent b="0" l="0" r="0" t="0"/>
            <wp:docPr descr="sensitivity.png" title="" id="53" name="Picture"/>
            <a:graphic>
              <a:graphicData uri="http://schemas.openxmlformats.org/drawingml/2006/picture">
                <pic:pic>
                  <pic:nvPicPr>
                    <pic:cNvPr descr="image/sensitivity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sensitivity.png</w:t>
      </w:r>
    </w:p>
    <w:p>
      <w:pPr>
        <w:pStyle w:val="Compact"/>
        <w:numPr>
          <w:ilvl w:val="0"/>
          <w:numId w:val="1014"/>
        </w:numPr>
      </w:pPr>
      <w:r>
        <w:t xml:space="preserve">Peak I монотонно убывает с ростом β: 955.6 → 951.9</w:t>
      </w:r>
    </w:p>
    <w:p>
      <w:pPr>
        <w:pStyle w:val="Compact"/>
        <w:numPr>
          <w:ilvl w:val="0"/>
          <w:numId w:val="1014"/>
        </w:numPr>
      </w:pPr>
      <w:r>
        <w:t xml:space="preserve">«Локоть» в районе β ≈ 0.2, далее почти плато</w:t>
      </w:r>
    </w:p>
    <w:p>
      <w:pPr>
        <w:pStyle w:val="Compact"/>
        <w:numPr>
          <w:ilvl w:val="0"/>
          <w:numId w:val="1014"/>
        </w:numPr>
      </w:pPr>
      <w:r>
        <w:t xml:space="preserve">Рост β ускоряет прохождение пика, но мало снижает его величину</w:t>
      </w:r>
    </w:p>
    <w:bookmarkEnd w:id="55"/>
    <w:bookmarkEnd w:id="56"/>
    <w:bookmarkStart w:id="65" w:name="литературное-программирование"/>
    <w:p>
      <w:pPr>
        <w:pStyle w:val="Heading1"/>
      </w:pPr>
      <w:r>
        <w:t xml:space="preserve">Литературное программирование</w:t>
      </w:r>
    </w:p>
    <w:bookmarkStart w:id="60" w:name="literate-скрипты-и-чистый-код"/>
    <w:p>
      <w:pPr>
        <w:pStyle w:val="Heading2"/>
      </w:pPr>
      <w:r>
        <w:t xml:space="preserve">Literate-скрипты и чистый код</w:t>
      </w:r>
    </w:p>
    <w:p>
      <w:pPr>
        <w:pStyle w:val="CaptionedFigure"/>
      </w:pPr>
      <w:r>
        <w:drawing>
          <wp:inline>
            <wp:extent cx="4533900" cy="3372833"/>
            <wp:effectExtent b="0" l="0" r="0" t="0"/>
            <wp:docPr descr="sirpetri_run_literate.jl" title="" id="5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39-4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7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sirpetri_run_literate.jl</w:t>
      </w:r>
    </w:p>
    <w:p>
      <w:pPr>
        <w:pStyle w:val="Compact"/>
        <w:numPr>
          <w:ilvl w:val="0"/>
          <w:numId w:val="1015"/>
        </w:numPr>
      </w:pPr>
      <w:r>
        <w:t xml:space="preserve">4 скрипта переведены в литературный стиль (Literate.jl)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Literate.script()</w:t>
      </w:r>
      <w:r>
        <w:t xml:space="preserve"> </w:t>
      </w:r>
      <w:r>
        <w:t xml:space="preserve">→ чистые</w:t>
      </w:r>
      <w:r>
        <w:t xml:space="preserve"> </w:t>
      </w:r>
      <w:r>
        <w:rPr>
          <w:rStyle w:val="VerbatimChar"/>
        </w:rPr>
        <w:t xml:space="preserve">.jl</w:t>
      </w:r>
      <w:r>
        <w:t xml:space="preserve">-файлы без разметки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Literate.notebook()</w:t>
      </w:r>
      <w:r>
        <w:t xml:space="preserve"> </w:t>
      </w:r>
      <w:r>
        <w:t xml:space="preserve">→ 4 Jupyter Notebook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Literate.markdown(...; flavor = QuartoFlavor())</w:t>
      </w:r>
      <w:r>
        <w:t xml:space="preserve"> </w:t>
      </w:r>
      <w:r>
        <w:t xml:space="preserve">→ 4 Quarto-документа</w:t>
      </w:r>
    </w:p>
    <w:bookmarkEnd w:id="60"/>
    <w:bookmarkStart w:id="64" w:name="jupyter-notebook-результаты-сканирования"/>
    <w:p>
      <w:pPr>
        <w:pStyle w:val="Heading2"/>
      </w:pPr>
      <w:r>
        <w:t xml:space="preserve">Jupyter Notebook: результаты сканирования</w:t>
      </w:r>
    </w:p>
    <w:p>
      <w:pPr>
        <w:pStyle w:val="CaptionedFigure"/>
      </w:pPr>
      <w:r>
        <w:drawing>
          <wp:inline>
            <wp:extent cx="4533900" cy="3627120"/>
            <wp:effectExtent b="0" l="0" r="0" t="0"/>
            <wp:docPr descr="sirpetri_report_literate.ipynb: таблица df_scan" title="" id="6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53-4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sirpetri_report_literate.ipynb: таблица df_scan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df_scan</w:t>
      </w:r>
      <w:r>
        <w:t xml:space="preserve">: 15×3 DataFrame (β, peak_I, final_R)</w:t>
      </w:r>
    </w:p>
    <w:p>
      <w:pPr>
        <w:pStyle w:val="Compact"/>
        <w:numPr>
          <w:ilvl w:val="0"/>
          <w:numId w:val="1016"/>
        </w:numPr>
      </w:pPr>
      <w:r>
        <w:t xml:space="preserve">β = 0.1 → peak_I = 955.626, final_R = 999.954</w:t>
      </w:r>
    </w:p>
    <w:p>
      <w:pPr>
        <w:pStyle w:val="Compact"/>
        <w:numPr>
          <w:ilvl w:val="0"/>
          <w:numId w:val="1016"/>
        </w:numPr>
      </w:pPr>
      <w:r>
        <w:t xml:space="preserve">β = 0.3 → peak_I = 952.691, final_R = 999.955</w:t>
      </w:r>
    </w:p>
    <w:bookmarkEnd w:id="64"/>
    <w:bookmarkEnd w:id="65"/>
    <w:bookmarkStart w:id="68" w:name="заключение-и-выводы"/>
    <w:p>
      <w:pPr>
        <w:pStyle w:val="Heading1"/>
      </w:pPr>
      <w:r>
        <w:t xml:space="preserve">Заключение и выводы</w:t>
      </w:r>
    </w:p>
    <w:bookmarkStart w:id="66" w:name="итоги-работы"/>
    <w:p>
      <w:pPr>
        <w:pStyle w:val="Heading2"/>
      </w:pPr>
      <w:r>
        <w:t xml:space="preserve">Итоги работы</w:t>
      </w:r>
    </w:p>
    <w:p>
      <w:pPr>
        <w:pStyle w:val="Compact"/>
        <w:numPr>
          <w:ilvl w:val="0"/>
          <w:numId w:val="1017"/>
        </w:numPr>
      </w:pPr>
      <w:r>
        <w:t xml:space="preserve">Реализован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LabelledPetriNet</w:t>
      </w:r>
      <w:r>
        <w:t xml:space="preserve"> </w:t>
      </w:r>
      <w:r>
        <w:t xml:space="preserve">(переходы infection, recovery)</w:t>
      </w:r>
    </w:p>
    <w:p>
      <w:pPr>
        <w:pStyle w:val="Compact"/>
        <w:numPr>
          <w:ilvl w:val="0"/>
          <w:numId w:val="1017"/>
        </w:numPr>
      </w:pPr>
      <w:r>
        <w:t xml:space="preserve">Детерминированный режим: пик I ≈ 940 при t ≈ 1, S → 0 к t ≈ 5</w:t>
      </w:r>
    </w:p>
    <w:p>
      <w:pPr>
        <w:pStyle w:val="Compact"/>
        <w:numPr>
          <w:ilvl w:val="0"/>
          <w:numId w:val="1017"/>
        </w:numPr>
      </w:pPr>
      <w:r>
        <w:t xml:space="preserve">Стохастический режим (seed 123): пик I ≈ 1000 при t ≈ 7, завершение к t ≈ 65</w:t>
      </w:r>
    </w:p>
    <w:p>
      <w:pPr>
        <w:pStyle w:val="Compact"/>
        <w:numPr>
          <w:ilvl w:val="0"/>
          <w:numId w:val="1017"/>
        </w:numPr>
      </w:pPr>
      <w:r>
        <w:t xml:space="preserve">Сканирование β ∈ [0.1, 0.8]: final_R ≈ 999.955 во всём диапазоне, Peak I убывает 955.6 → 951.9</w:t>
      </w:r>
    </w:p>
    <w:bookmarkEnd w:id="66"/>
    <w:bookmarkStart w:id="67" w:name="освоенные-навыки"/>
    <w:p>
      <w:pPr>
        <w:pStyle w:val="Heading2"/>
      </w:pPr>
      <w:r>
        <w:t xml:space="preserve">Освоенные навыки</w:t>
      </w:r>
    </w:p>
    <w:p>
      <w:pPr>
        <w:pStyle w:val="Compact"/>
        <w:numPr>
          <w:ilvl w:val="0"/>
          <w:numId w:val="1018"/>
        </w:numPr>
      </w:pPr>
      <w:r>
        <w:t xml:space="preserve">Построение</w:t>
      </w:r>
      <w:r>
        <w:t xml:space="preserve"> </w:t>
      </w:r>
      <w:r>
        <w:rPr>
          <w:rStyle w:val="VerbatimChar"/>
        </w:rPr>
        <w:t xml:space="preserve">LabelledPetriNet</w:t>
      </w:r>
      <w:r>
        <w:t xml:space="preserve"> </w:t>
      </w:r>
      <w:r>
        <w:t xml:space="preserve">средствами AlgebraicPetri и Catlab</w:t>
      </w:r>
    </w:p>
    <w:p>
      <w:pPr>
        <w:pStyle w:val="Compact"/>
        <w:numPr>
          <w:ilvl w:val="0"/>
          <w:numId w:val="1018"/>
        </w:numPr>
      </w:pPr>
      <w:r>
        <w:t xml:space="preserve">Детерминированное (Tsit5) и стохастическое (Гиллеспи) моделирование SIR</w:t>
      </w:r>
    </w:p>
    <w:p>
      <w:pPr>
        <w:pStyle w:val="Compact"/>
        <w:numPr>
          <w:ilvl w:val="0"/>
          <w:numId w:val="1018"/>
        </w:numPr>
      </w:pPr>
      <w:r>
        <w:t xml:space="preserve">Параметрическое сканирование и анализ чувствительности</w:t>
      </w:r>
    </w:p>
    <w:p>
      <w:pPr>
        <w:pStyle w:val="Compact"/>
        <w:numPr>
          <w:ilvl w:val="0"/>
          <w:numId w:val="1018"/>
        </w:numPr>
      </w:pPr>
      <w:r>
        <w:t xml:space="preserve">Литературное программирование: Literate.jl → чистый код, Jupyter Notebook, Quarto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44" Target="media/rId44.gif" /><Relationship Type="http://schemas.openxmlformats.org/officeDocument/2006/relationships/image" Id="rId26" Target="media/rId26.png" /><Relationship Type="http://schemas.openxmlformats.org/officeDocument/2006/relationships/image" Id="rId39" Target="media/rId39.png" /><Relationship Type="http://schemas.openxmlformats.org/officeDocument/2006/relationships/image" Id="rId30" Target="media/rId30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hyperlink" Id="rId9" Target="mailto:103223016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3016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/>
  <cp:keywords/>
  <dcterms:created xsi:type="dcterms:W3CDTF">2026-06-16T10:17:05Z</dcterms:created>
  <dcterms:modified xsi:type="dcterms:W3CDTF">2026-06-16T10:17:05Z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YYYY-MM-DD</vt:lpwstr>
  </property>
  <property fmtid="{D5CDD505-2E9C-101B-9397-08002B2CF9AE}" pid="4" name="subtitle">
    <vt:lpwstr>Имитационное моделирование: реализация основных моделей в подходе сетей Петри</vt:lpwstr>
  </property>
</Properties>
</file>