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32.png" ContentType="image/png"/>
  <Override PartName="/word/media/rId36.png" ContentType="image/png"/>
  <Override PartName="/word/media/rId23.png" ContentType="image/png"/>
  <Override PartName="/word/media/rId27.png" ContentType="image/png"/>
  <Override PartName="/word/media/rId41.png" ContentType="image/png"/>
  <Override PartName="/word/media/rId45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1.png" ContentType="image/png"/>
  <Override PartName="/word/media/rId85.png" ContentType="image/png"/>
  <Override PartName="/word/media/rId50.png" ContentType="image/png"/>
  <Override PartName="/word/media/rId58.png" ContentType="image/png"/>
  <Override PartName="/word/media/rId62.png" ContentType="image/png"/>
  <Override PartName="/word/media/rId94.png" ContentType="image/png"/>
  <Override PartName="/word/media/rId90.png" ContentType="image/png"/>
  <Override PartName="/word/media/rId54.png" ContentType="image/png"/>
  <Override PartName="/word/media/rId98.png" ContentType="image/png"/>
  <Override PartName="/word/media/rId104.png" ContentType="image/png"/>
  <Override PartName="/word/media/rId108.png" ContentType="image/png"/>
  <Override PartName="/word/media/rId1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Основные модели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 данной лабораторной работы — исследовать основные математические модели: модель распространения инфекционного заболевания (SIR) и</w:t>
      </w:r>
      <w:r>
        <w:t xml:space="preserve"> </w:t>
      </w:r>
      <w:r>
        <w:t xml:space="preserve">модель динамики популяций хищник-жертва (Лотки-Вольтерры).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— Создать рабочий каталог для лабораторной работы.</w:t>
      </w:r>
      <w:r>
        <w:t xml:space="preserve"> </w:t>
      </w:r>
      <w:r>
        <w:t xml:space="preserve">— Установить необходимые пакеты.</w:t>
      </w:r>
      <w:r>
        <w:t xml:space="preserve"> </w:t>
      </w:r>
      <w:r>
        <w:t xml:space="preserve">— Выполнить предложенный код.</w:t>
      </w:r>
      <w:r>
        <w:t xml:space="preserve"> </w:t>
      </w:r>
      <w:r>
        <w:t xml:space="preserve">— Преобразовать код в литературный стиль.</w:t>
      </w:r>
      <w:r>
        <w:t xml:space="preserve"> </w:t>
      </w:r>
      <w:r>
        <w:t xml:space="preserve">— Добавить вычисления для набора параметров.</w:t>
      </w:r>
      <w:r>
        <w:t xml:space="preserve"> </w:t>
      </w:r>
      <w:r>
        <w:t xml:space="preserve">— Сгенерировать код, notebook и документацию для варианта с параметрами.</w:t>
      </w:r>
      <w:r>
        <w:t xml:space="preserve"> </w:t>
      </w:r>
      <w:r>
        <w:t xml:space="preserve">— Выполнить расчёты с параметрами.</w:t>
      </w:r>
      <w:r>
        <w:t xml:space="preserve"> </w:t>
      </w:r>
      <w:r>
        <w:t xml:space="preserve">— Сгенерировать из литературного кода: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  <w:r>
        <w:t xml:space="preserve"> </w:t>
      </w:r>
      <w:r>
        <w:t xml:space="preserve">— Выполнить код из jupyter notebook.</w:t>
      </w:r>
      <w:r>
        <w:t xml:space="preserve"> </w:t>
      </w:r>
      <w:r>
        <w:t xml:space="preserve">— Интегрировать документацию в формате Quarto в отчёт.</w:t>
      </w:r>
    </w:p>
    <w:bookmarkEnd w:id="10"/>
    <w:bookmarkStart w:id="13" w:name="теоретическое-введение"/>
    <w:p>
      <w:pPr>
        <w:pStyle w:val="Heading1"/>
      </w:pPr>
      <w:r>
        <w:t xml:space="preserve">Теоретическое введение</w:t>
      </w:r>
    </w:p>
    <w:bookmarkStart w:id="11" w:name="модель-sir"/>
    <w:p>
      <w:pPr>
        <w:pStyle w:val="Heading2"/>
      </w:pPr>
      <w:r>
        <w:t xml:space="preserve">Модель SIR</w:t>
      </w:r>
    </w:p>
    <w:p>
      <w:pPr>
        <w:pStyle w:val="FirstParagraph"/>
      </w:pPr>
      <w:r>
        <w:t xml:space="preserve">Модель SIR — классическая математическая модель эпидемиологии, описывающая динамику распространения инфекционного заболевания в закрытой популяции.</w:t>
      </w:r>
      <w:r>
        <w:t xml:space="preserve"> </w:t>
      </w:r>
      <w:r>
        <w:t xml:space="preserve">Модель делит всю популяцию на три компартмента:</w:t>
      </w:r>
    </w:p>
    <w:p>
      <w:pPr>
        <w:pStyle w:val="BodyText"/>
      </w:pPr>
      <w:r>
        <w:t xml:space="preserve">—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(Susceptible, Восприимчивые) — особи, не имеющие иммунитета и способные заразиться при контакте с инфицированными.</w:t>
      </w:r>
    </w:p>
    <w:p>
      <w:pPr>
        <w:pStyle w:val="BodyText"/>
      </w:pPr>
      <w:r>
        <w:t xml:space="preserve">—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(Infectious, Инфицированные) — особи, болеющие в данный момент и способные передавать инфекцию.</w:t>
      </w:r>
    </w:p>
    <w:p>
      <w:pPr>
        <w:pStyle w:val="BodyText"/>
      </w:pPr>
      <w:r>
        <w:t xml:space="preserve">—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(Recovered, Выздоровевшие) — особи, переболевшие и приобретшие иммунитет.</w:t>
      </w:r>
    </w:p>
    <w:p>
      <w:pPr>
        <w:pStyle w:val="BodyText"/>
      </w:pPr>
      <w:r>
        <w:t xml:space="preserve">Система дифференциальных уравнений модели: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r>
            <m:t>c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t>N</m:t>
              </m:r>
            </m:den>
          </m:f>
          <m:r>
            <m:t>S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c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t>N</m:t>
              </m:r>
            </m:den>
          </m:f>
          <m:r>
            <m:t>S</m:t>
          </m:r>
          <m:r>
            <m:rPr>
              <m:sty m:val="p"/>
            </m:rPr>
            <m:t>−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вероятность заражения при контакте,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среднее число контактов,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скорость выздоровления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— общая численность популяции. Ключевым параметром модели является базовое репродуктивное число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c</m:t>
        </m:r>
        <m:r>
          <m:t>β</m:t>
        </m:r>
        <m:r>
          <m:rPr>
            <m:sty m:val="p"/>
          </m:rPr>
          <m:t>/</m:t>
        </m:r>
        <m:r>
          <m:t>γ</m:t>
        </m:r>
      </m:oMath>
      <w:r>
        <w:t xml:space="preserve">,</w:t>
      </w:r>
      <w:r>
        <w:t xml:space="preserve"> </w:t>
      </w:r>
      <w:r>
        <w:t xml:space="preserve">определяющее характер распространения болезни: 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возникает эпидемия, 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— нет.</w:t>
      </w:r>
    </w:p>
    <w:bookmarkEnd w:id="11"/>
    <w:bookmarkStart w:id="12" w:name="модель-лотки-вольтерры"/>
    <w:p>
      <w:pPr>
        <w:pStyle w:val="Heading2"/>
      </w:pPr>
      <w:r>
        <w:t xml:space="preserve">Модель Лотки-Вольтерры</w:t>
      </w:r>
    </w:p>
    <w:p>
      <w:pPr>
        <w:pStyle w:val="FirstParagraph"/>
      </w:pPr>
      <w:r>
        <w:t xml:space="preserve">Модель Лотки-Вольтерры описывает динамику взаимодействия двух популяций — жертв и хищников. Была независимо предложена Альфредом Лоткой (1925) и</w:t>
      </w:r>
      <w:r>
        <w:t xml:space="preserve"> </w:t>
      </w:r>
      <w:r>
        <w:t xml:space="preserve">Витторио Вольтеррой (1926). Система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x</m:t>
          </m:r>
          <m:r>
            <m:rPr>
              <m:sty m:val="p"/>
            </m:rPr>
            <m:t>−</m:t>
          </m:r>
          <m:r>
            <m:t>β</m:t>
          </m:r>
          <m:r>
            <m:t>x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δ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γ</m:t>
          </m:r>
          <m:r>
            <m:t>y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численность жертв,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численность хищников,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скорость естественного прироста жертв,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 поедания жертв хищниками,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— коэффициент прироста хищников за счёт поедания жертв,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естественная смертность хищников. Система имеет стационарную точку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γ</m:t>
        </m:r>
        <m:r>
          <m:rPr>
            <m:sty m:val="p"/>
          </m:rPr>
          <m:t>/</m:t>
        </m:r>
        <m:r>
          <m:t>δ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α</m:t>
        </m:r>
        <m:r>
          <m:rPr>
            <m:sty m:val="p"/>
          </m:rPr>
          <m:t>/</m:t>
        </m:r>
        <m:r>
          <m:t>β</m:t>
        </m:r>
      </m:oMath>
      <w:r>
        <w:t xml:space="preserve">,</w:t>
      </w:r>
      <w:r>
        <w:t xml:space="preserve"> </w:t>
      </w:r>
      <w:r>
        <w:t xml:space="preserve">вокруг которой решения образуют замкнутые орбиты — популяции колеблются периодически.</w:t>
      </w:r>
    </w:p>
    <w:bookmarkEnd w:id="12"/>
    <w:bookmarkEnd w:id="13"/>
    <w:bookmarkStart w:id="11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2" w:name="подготовка-рабочего-каталога"/>
    <w:p>
      <w:pPr>
        <w:pStyle w:val="Heading2"/>
      </w:pPr>
      <w:r>
        <w:t xml:space="preserve">Подготовка рабочего каталога</w:t>
      </w:r>
    </w:p>
    <w:p>
      <w:pPr>
        <w:pStyle w:val="FirstParagraph"/>
      </w:pPr>
      <w:r>
        <w:t xml:space="preserve">— Перейдём из каталога первой лабораторной в общий каталог курса и создадим директорию</w:t>
      </w:r>
      <w:r>
        <w:t xml:space="preserve"> </w:t>
      </w:r>
      <w:r>
        <w:rPr>
          <w:rStyle w:val="VerbatimChar"/>
        </w:rPr>
        <w:t xml:space="preserve">lab02</w:t>
      </w:r>
      <w:r>
        <w:t xml:space="preserve">.</w:t>
      </w:r>
      <w:r>
        <w:t xml:space="preserve"> </w:t>
      </w:r>
      <w:r>
        <w:t xml:space="preserve">Внутри неё создадим поддиректории</w:t>
      </w:r>
      <w:r>
        <w:t xml:space="preserve"> </w:t>
      </w:r>
      <w:r>
        <w:rPr>
          <w:rStyle w:val="VerbatimChar"/>
        </w:rPr>
        <w:t xml:space="preserve">presentation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, а также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— рабочее пространство DrWatson (</w:t>
      </w:r>
      <w:r>
        <w:t xml:space="preserve">[рис. @fig-001]</w:t>
      </w:r>
      <w:r>
        <w:t xml:space="preserve">).</w:t>
      </w:r>
    </w:p>
    <w:bookmarkStart w:id="17" w:name="fig-001"/>
    <w:p>
      <w:pPr>
        <w:pStyle w:val="CaptionedFigure"/>
      </w:pPr>
      <w:r>
        <w:drawing>
          <wp:inline>
            <wp:extent cx="3733800" cy="411675"/>
            <wp:effectExtent b="0" l="0" r="0" t="0"/>
            <wp:docPr descr="Создание каталога лабораторной работы" title="" id="15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18-16-28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лабораторной работы</w:t>
      </w:r>
    </w:p>
    <w:bookmarkEnd w:id="17"/>
    <w:p>
      <w:pPr>
        <w:pStyle w:val="BodyText"/>
      </w:pPr>
      <w:r>
        <w:t xml:space="preserve">— Перейдём в каталог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, запустим Julia и инициализируем новый проект DrWatson командой</w:t>
      </w:r>
      <w:r>
        <w:t xml:space="preserve"> </w:t>
      </w:r>
      <w:r>
        <w:rPr>
          <w:rStyle w:val="VerbatimChar"/>
        </w:rPr>
        <w:t xml:space="preserve">initialize_project(".")</w:t>
      </w:r>
      <w:r>
        <w:t xml:space="preserve">.</w:t>
      </w:r>
      <w:r>
        <w:t xml:space="preserve"> </w:t>
      </w:r>
      <w:r>
        <w:t xml:space="preserve">Менеджер пакетов добавит DrWatson и создаст стандартные файлы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 </w:t>
      </w:r>
      <w:r>
        <w:t xml:space="preserve">(</w:t>
      </w:r>
      <w:r>
        <w:t xml:space="preserve">[рис. @fig-002]</w:t>
      </w:r>
      <w:r>
        <w:t xml:space="preserve">).</w:t>
      </w:r>
    </w:p>
    <w:bookmarkStart w:id="21" w:name="fig-002"/>
    <w:p>
      <w:pPr>
        <w:pStyle w:val="CaptionedFigure"/>
      </w:pPr>
      <w:r>
        <w:drawing>
          <wp:inline>
            <wp:extent cx="3733800" cy="2480148"/>
            <wp:effectExtent b="0" l="0" r="0" t="0"/>
            <wp:docPr descr="Инициализация проекта DrWatson для lab02" title="" id="19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18-16-58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проекта DrWatson для lab02</w:t>
      </w:r>
    </w:p>
    <w:bookmarkEnd w:id="21"/>
    <w:bookmarkEnd w:id="22"/>
    <w:bookmarkStart w:id="67" w:name="модель-sir-1"/>
    <w:p>
      <w:pPr>
        <w:pStyle w:val="Heading2"/>
      </w:pPr>
      <w:r>
        <w:t xml:space="preserve">Модель SIR</w:t>
      </w:r>
    </w:p>
    <w:bookmarkStart w:id="31" w:name="установка-пакетов"/>
    <w:p>
      <w:pPr>
        <w:pStyle w:val="Heading3"/>
      </w:pPr>
      <w:r>
        <w:t xml:space="preserve">Установка пакетов</w:t>
      </w:r>
    </w:p>
    <w:p>
      <w:pPr>
        <w:pStyle w:val="FirstParagraph"/>
      </w:pPr>
      <w:r>
        <w:t xml:space="preserve">— Для реализации модели SIR установим дополнительные пакеты.</w:t>
      </w:r>
      <w:r>
        <w:t xml:space="preserve"> </w:t>
      </w:r>
      <w:r>
        <w:t xml:space="preserve">В Pkg-REPL добавим</w:t>
      </w:r>
      <w:r>
        <w:t xml:space="preserve"> </w:t>
      </w:r>
      <w:r>
        <w:rPr>
          <w:rStyle w:val="VerbatimChar"/>
        </w:rPr>
        <w:t xml:space="preserve">SimpleDiffEq</w:t>
      </w:r>
      <w:r>
        <w:t xml:space="preserve"> </w:t>
      </w:r>
      <w:r>
        <w:t xml:space="preserve">(упрощённый интерфейс к солверам),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 </w:t>
      </w:r>
      <w:r>
        <w:t xml:space="preserve">(измерение производительности) и</w:t>
      </w:r>
      <w:r>
        <w:t xml:space="preserve"> </w:t>
      </w:r>
      <w:r>
        <w:rPr>
          <w:rStyle w:val="VerbatimChar"/>
        </w:rPr>
        <w:t xml:space="preserve">LaTeXStrings</w:t>
      </w:r>
      <w:r>
        <w:t xml:space="preserve"> </w:t>
      </w:r>
      <w:r>
        <w:t xml:space="preserve">(отображение формул на графиках) (</w:t>
      </w:r>
      <w:r>
        <w:t xml:space="preserve">[рис. @fig-005]</w:t>
      </w:r>
      <w:r>
        <w:t xml:space="preserve">).</w:t>
      </w:r>
    </w:p>
    <w:bookmarkStart w:id="26" w:name="fig-005"/>
    <w:p>
      <w:pPr>
        <w:pStyle w:val="CaptionedFigure"/>
      </w:pPr>
      <w:r>
        <w:drawing>
          <wp:inline>
            <wp:extent cx="3733800" cy="2116843"/>
            <wp:effectExtent b="0" l="0" r="0" t="0"/>
            <wp:docPr descr="Установка пакетов SimpleDiffEq, BenchmarkTools, LaTeXStrings" title="" id="24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18-45-19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6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 SimpleDiffEq, BenchmarkTools, LaTeXStrings</w:t>
      </w:r>
    </w:p>
    <w:bookmarkEnd w:id="26"/>
    <w:p>
      <w:pPr>
        <w:pStyle w:val="BodyText"/>
      </w:pPr>
      <w:r>
        <w:t xml:space="preserve">— Установим пакет</w:t>
      </w:r>
      <w:r>
        <w:t xml:space="preserve"> </w:t>
      </w:r>
      <w:r>
        <w:rPr>
          <w:rStyle w:val="VerbatimChar"/>
        </w:rPr>
        <w:t xml:space="preserve">StatsPlots</w:t>
      </w:r>
      <w:r>
        <w:t xml:space="preserve">, предоставляющий расширенные инструменты для статистической визуализации данных (</w:t>
      </w:r>
      <w:r>
        <w:t xml:space="preserve">[рис. @fig-006]</w:t>
      </w:r>
      <w:r>
        <w:t xml:space="preserve">).</w:t>
      </w:r>
    </w:p>
    <w:bookmarkStart w:id="30" w:name="fig-006"/>
    <w:p>
      <w:pPr>
        <w:pStyle w:val="CaptionedFigure"/>
      </w:pPr>
      <w:r>
        <w:drawing>
          <wp:inline>
            <wp:extent cx="3733800" cy="2116843"/>
            <wp:effectExtent b="0" l="0" r="0" t="0"/>
            <wp:docPr descr="Установка пакета StatsPlots" title="" id="2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18-45-38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6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пакета StatsPlots</w:t>
      </w:r>
    </w:p>
    <w:bookmarkEnd w:id="30"/>
    <w:bookmarkEnd w:id="31"/>
    <w:bookmarkStart w:id="40" w:name="реализация-скрипта"/>
    <w:p>
      <w:pPr>
        <w:pStyle w:val="Heading3"/>
      </w:pPr>
      <w:r>
        <w:t xml:space="preserve">Реализация скрипта</w:t>
      </w:r>
    </w:p>
    <w:p>
      <w:pPr>
        <w:pStyle w:val="FirstParagraph"/>
      </w:pPr>
      <w:r>
        <w:t xml:space="preserve">— Создадим файл</w:t>
      </w:r>
      <w:r>
        <w:t xml:space="preserve"> </w:t>
      </w:r>
      <w:r>
        <w:rPr>
          <w:rStyle w:val="VerbatimChar"/>
        </w:rPr>
        <w:t xml:space="preserve">scripts/sir_ode.jl</w:t>
      </w:r>
      <w:r>
        <w:t xml:space="preserve">. Список скриптов в директории подтверждает наличие шаблонного файла</w:t>
      </w:r>
      <w:r>
        <w:t xml:space="preserve"> </w:t>
      </w:r>
      <w:r>
        <w:rPr>
          <w:rStyle w:val="VerbatimChar"/>
        </w:rPr>
        <w:t xml:space="preserve">intro.jl</w:t>
      </w:r>
      <w:r>
        <w:t xml:space="preserve"> </w:t>
      </w:r>
      <w:r>
        <w:t xml:space="preserve">и нового</w:t>
      </w:r>
      <w:r>
        <w:t xml:space="preserve"> </w:t>
      </w:r>
      <w:r>
        <w:rPr>
          <w:rStyle w:val="VerbatimChar"/>
        </w:rPr>
        <w:t xml:space="preserve">sir_ode.jl</w:t>
      </w:r>
      <w:r>
        <w:t xml:space="preserve"> </w:t>
      </w:r>
      <w:r>
        <w:t xml:space="preserve">(</w:t>
      </w:r>
      <w:r>
        <w:t xml:space="preserve">[рис. @fig-003]</w:t>
      </w:r>
      <w:r>
        <w:t xml:space="preserve">).</w:t>
      </w:r>
    </w:p>
    <w:bookmarkStart w:id="35" w:name="fig-003"/>
    <w:p>
      <w:pPr>
        <w:pStyle w:val="CaptionedFigure"/>
      </w:pPr>
      <w:r>
        <w:drawing>
          <wp:inline>
            <wp:extent cx="3733800" cy="369719"/>
            <wp:effectExtent b="0" l="0" r="0" t="0"/>
            <wp:docPr descr="Создание скрипта sir_ode.jl" title="" id="33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18-17-37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9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скрипта sir_ode.jl</w:t>
      </w:r>
    </w:p>
    <w:bookmarkEnd w:id="35"/>
    <w:p>
      <w:pPr>
        <w:pStyle w:val="BodyText"/>
      </w:pPr>
      <w:r>
        <w:t xml:space="preserve">— В редакторе VS Code видна структура скрипта: подключение пакетов (</w:t>
      </w:r>
      <w:r>
        <w:rPr>
          <w:rStyle w:val="VerbatimChar"/>
        </w:rPr>
        <w:t xml:space="preserve">DifferentialEquations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SimpleDiffEq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LaTeXStrings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), определение функции</w:t>
      </w:r>
      <w:r>
        <w:t xml:space="preserve"> </w:t>
      </w:r>
      <w:r>
        <w:rPr>
          <w:rStyle w:val="VerbatimChar"/>
        </w:rPr>
        <w:t xml:space="preserve">sir_ode!</w:t>
      </w:r>
      <w:r>
        <w:t xml:space="preserve"> </w:t>
      </w:r>
      <w:r>
        <w:t xml:space="preserve">с уравнениями модели, задание параметров (</w:t>
      </w:r>
      <m:oMath>
        <m:r>
          <m:t>β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10.0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0.25</m:t>
        </m:r>
      </m:oMath>
      <w:r>
        <w:t xml:space="preserve">, начальные условия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990</m:t>
        </m:r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 расчёт базового репродуктивного числа и численное решение через</w:t>
      </w:r>
      <w:r>
        <w:t xml:space="preserve"> </w:t>
      </w:r>
      <w:r>
        <w:rPr>
          <w:rStyle w:val="VerbatimChar"/>
        </w:rPr>
        <w:t xml:space="preserve">ODEProblem</w:t>
      </w:r>
      <w:r>
        <w:t xml:space="preserve"> </w:t>
      </w:r>
      <w:r>
        <w:t xml:space="preserve">(</w:t>
      </w:r>
      <w:r>
        <w:t xml:space="preserve">[рис. @fig-004]</w:t>
      </w:r>
      <w:r>
        <w:t xml:space="preserve">).</w:t>
      </w:r>
    </w:p>
    <w:bookmarkStart w:id="39" w:name="fig-004"/>
    <w:p>
      <w:pPr>
        <w:pStyle w:val="CaptionedFigure"/>
      </w:pPr>
      <w:r>
        <w:drawing>
          <wp:inline>
            <wp:extent cx="3733800" cy="3421000"/>
            <wp:effectExtent b="0" l="0" r="0" t="0"/>
            <wp:docPr descr="Код скрипта sir_ode.jl в VS Code" title="" id="37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18-19-0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sir_ode.jl в VS Code</w:t>
      </w:r>
    </w:p>
    <w:bookmarkEnd w:id="39"/>
    <w:bookmarkEnd w:id="40"/>
    <w:bookmarkStart w:id="49" w:name="запуск-и-результаты"/>
    <w:p>
      <w:pPr>
        <w:pStyle w:val="Heading3"/>
      </w:pPr>
      <w:r>
        <w:t xml:space="preserve">Запуск и результаты</w:t>
      </w:r>
    </w:p>
    <w:p>
      <w:pPr>
        <w:pStyle w:val="FirstParagraph"/>
      </w:pPr>
      <w:r>
        <w:t xml:space="preserve">— Запустим скрипт командой</w:t>
      </w:r>
      <w:r>
        <w:t xml:space="preserve"> </w:t>
      </w:r>
      <w:r>
        <w:rPr>
          <w:rStyle w:val="VerbatimChar"/>
        </w:rPr>
        <w:t xml:space="preserve">julia --project=. scripts/sir_ode.jl</w:t>
      </w:r>
      <w:r>
        <w:t xml:space="preserve">. Программа выводит параметры модели, результаты анализа: пиковое число заражённых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154.8</m:t>
        </m:r>
      </m:oMath>
      <w:r>
        <w:t xml:space="preserve">,</w:t>
      </w:r>
      <w:r>
        <w:t xml:space="preserve"> </w:t>
      </w:r>
      <w:r>
        <w:t xml:space="preserve">время достижения пика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  <m:r>
              <m:t>e</m:t>
            </m:r>
            <m:r>
              <m:t>a</m:t>
            </m:r>
            <m:r>
              <m:t>k</m:t>
            </m:r>
          </m:sub>
        </m:sSub>
        <m:r>
          <m:rPr>
            <m:sty m:val="p"/>
          </m:rPr>
          <m:t>=</m:t>
        </m:r>
        <m:r>
          <m:t>19.1</m:t>
        </m:r>
      </m:oMath>
      <w:r>
        <w:t xml:space="preserve"> </w:t>
      </w:r>
      <w:r>
        <w:t xml:space="preserve">дней, итоговое число переболевших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775.7</m:t>
        </m:r>
      </m:oMath>
      <w:r>
        <w:t xml:space="preserve"> </w:t>
      </w:r>
      <w:r>
        <w:t xml:space="preserve">(доля 77.6%),</w:t>
      </w:r>
      <w:r>
        <w:t xml:space="preserve"> </w:t>
      </w:r>
      <w:r>
        <w:t xml:space="preserve">а также теоретический порог коллективного иммунитета 50.0% 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2.0</m:t>
        </m:r>
      </m:oMath>
      <w:r>
        <w:t xml:space="preserve"> </w:t>
      </w:r>
      <w:r>
        <w:t xml:space="preserve">(</w:t>
      </w:r>
      <w:r>
        <w:t xml:space="preserve">[рис. @fig-007]</w:t>
      </w:r>
      <w:r>
        <w:t xml:space="preserve">).</w:t>
      </w:r>
    </w:p>
    <w:bookmarkStart w:id="44" w:name="fig-007"/>
    <w:p>
      <w:pPr>
        <w:pStyle w:val="CaptionedFigure"/>
      </w:pPr>
      <w:r>
        <w:drawing>
          <wp:inline>
            <wp:extent cx="3733800" cy="1326163"/>
            <wp:effectExtent b="0" l="0" r="0" t="0"/>
            <wp:docPr descr="Вывод результатов модели SIR" title="" id="4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18-46-1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6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результатов модели SIR</w:t>
      </w:r>
    </w:p>
    <w:bookmarkEnd w:id="44"/>
    <w:p>
      <w:pPr>
        <w:pStyle w:val="BodyText"/>
      </w:pPr>
      <w:r>
        <w:t xml:space="preserve">— Проверим, что скрипт сохранил все графики. Команда</w:t>
      </w:r>
      <w:r>
        <w:t xml:space="preserve"> </w:t>
      </w:r>
      <w:r>
        <w:rPr>
          <w:rStyle w:val="VerbatimChar"/>
        </w:rPr>
        <w:t xml:space="preserve">find plots -type f</w:t>
      </w:r>
      <w:r>
        <w:t xml:space="preserve"> </w:t>
      </w:r>
      <w:r>
        <w:t xml:space="preserve">перечисляет семь файлов:</w:t>
      </w:r>
      <w:r>
        <w:t xml:space="preserve"> </w:t>
      </w:r>
      <w:r>
        <w:rPr>
          <w:rStyle w:val="VerbatimChar"/>
        </w:rPr>
        <w:t xml:space="preserve">sir_phase_portrait.png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sir_log_scale.png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sir_percentages.png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sir_infected.png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sir_effective_R.png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sir_main.png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sir_panel.png</w:t>
      </w:r>
      <w:r>
        <w:t xml:space="preserve"> </w:t>
      </w:r>
      <w:r>
        <w:t xml:space="preserve">(</w:t>
      </w:r>
      <w:r>
        <w:t xml:space="preserve">[рис. @fig-008]</w:t>
      </w:r>
      <w:r>
        <w:t xml:space="preserve">).</w:t>
      </w:r>
    </w:p>
    <w:bookmarkStart w:id="48" w:name="fig-008"/>
    <w:p>
      <w:pPr>
        <w:pStyle w:val="CaptionedFigure"/>
      </w:pPr>
      <w:r>
        <w:drawing>
          <wp:inline>
            <wp:extent cx="3733800" cy="902893"/>
            <wp:effectExtent b="0" l="0" r="0" t="0"/>
            <wp:docPr descr="Список сгенерированных графиков модели SIR" title="" id="4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18-46-2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2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сгенерированных графиков модели SIR</w:t>
      </w:r>
    </w:p>
    <w:bookmarkEnd w:id="48"/>
    <w:bookmarkEnd w:id="49"/>
    <w:bookmarkStart w:id="66" w:name="подготовка-quarto-документации"/>
    <w:p>
      <w:pPr>
        <w:pStyle w:val="Heading3"/>
      </w:pPr>
      <w:r>
        <w:t xml:space="preserve">Подготовка Quarto-документации</w:t>
      </w:r>
    </w:p>
    <w:p>
      <w:pPr>
        <w:pStyle w:val="FirstParagraph"/>
      </w:pPr>
      <w:r>
        <w:t xml:space="preserve">— Создадим каталог</w:t>
      </w:r>
      <w:r>
        <w:t xml:space="preserve"> </w:t>
      </w:r>
      <w:r>
        <w:rPr>
          <w:rStyle w:val="VerbatimChar"/>
        </w:rPr>
        <w:t xml:space="preserve">markdown/sir_ode</w:t>
      </w:r>
      <w:r>
        <w:t xml:space="preserve"> </w:t>
      </w:r>
      <w:r>
        <w:t xml:space="preserve">для Quarto-документации модели SIR и</w:t>
      </w:r>
      <w:r>
        <w:t xml:space="preserve"> </w:t>
      </w:r>
      <w:r>
        <w:rPr>
          <w:rStyle w:val="VerbatimChar"/>
        </w:rPr>
        <w:t xml:space="preserve">markdown/lv_ode</w:t>
      </w:r>
      <w:r>
        <w:t xml:space="preserve"> </w:t>
      </w:r>
      <w:r>
        <w:t xml:space="preserve">для модели Лотки-Вольтерры.</w:t>
      </w:r>
      <w:r>
        <w:t xml:space="preserve"> </w:t>
      </w:r>
      <w:r>
        <w:t xml:space="preserve">Структура каталога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 </w:t>
      </w:r>
      <w:r>
        <w:t xml:space="preserve">и содержимое</w:t>
      </w:r>
      <w:r>
        <w:t xml:space="preserve"> </w:t>
      </w:r>
      <w:r>
        <w:rPr>
          <w:rStyle w:val="VerbatimChar"/>
        </w:rPr>
        <w:t xml:space="preserve">notebooks</w:t>
      </w:r>
      <w:r>
        <w:t xml:space="preserve"> </w:t>
      </w:r>
      <w:r>
        <w:t xml:space="preserve">подтверждают корректность (</w:t>
      </w:r>
      <w:r>
        <w:t xml:space="preserve">[рис. @fig-015]</w:t>
      </w:r>
      <w:r>
        <w:t xml:space="preserve">).</w:t>
      </w:r>
    </w:p>
    <w:bookmarkStart w:id="53" w:name="fig-015"/>
    <w:p>
      <w:pPr>
        <w:pStyle w:val="CaptionedFigure"/>
      </w:pPr>
      <w:r>
        <w:drawing>
          <wp:inline>
            <wp:extent cx="3733800" cy="990695"/>
            <wp:effectExtent b="0" l="0" r="0" t="0"/>
            <wp:docPr descr="Создание каталогов markdown/sir_ode и markdown/lv_ode" title="" id="51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20-22-5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0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каталогов markdown/sir_ode и markdown/lv_ode</w:t>
      </w:r>
    </w:p>
    <w:bookmarkEnd w:id="53"/>
    <w:p>
      <w:pPr>
        <w:pStyle w:val="BodyText"/>
      </w:pPr>
      <w:r>
        <w:t xml:space="preserve">— В редакторе VS Code откроем файл</w:t>
      </w:r>
      <w:r>
        <w:t xml:space="preserve"> </w:t>
      </w:r>
      <w:r>
        <w:rPr>
          <w:rStyle w:val="VerbatimChar"/>
        </w:rPr>
        <w:t xml:space="preserve">markdown/sir_ode/sir_ode.qmd</w:t>
      </w:r>
      <w:r>
        <w:t xml:space="preserve">.</w:t>
      </w:r>
      <w:r>
        <w:t xml:space="preserve"> </w:t>
      </w:r>
      <w:r>
        <w:t xml:space="preserve">Документ содержит заголовок «Модель SIR», разделы с блоками Julia-кода, активацию проекта, подключение всех необходимых пакетов (</w:t>
      </w:r>
      <w:r>
        <w:t xml:space="preserve">[рис. @fig-020]</w:t>
      </w:r>
      <w:r>
        <w:t xml:space="preserve">).</w:t>
      </w:r>
    </w:p>
    <w:bookmarkStart w:id="57" w:name="fig-020"/>
    <w:p>
      <w:pPr>
        <w:pStyle w:val="CaptionedFigure"/>
      </w:pPr>
      <w:r>
        <w:drawing>
          <wp:inline>
            <wp:extent cx="3733800" cy="1875513"/>
            <wp:effectExtent b="0" l="0" r="0" t="0"/>
            <wp:docPr descr="Файл sir_ode.qmd в VS Code" title="" id="55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22-53-2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5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sir_ode.qmd в VS Code</w:t>
      </w:r>
    </w:p>
    <w:bookmarkEnd w:id="57"/>
    <w:p>
      <w:pPr>
        <w:pStyle w:val="BodyText"/>
      </w:pPr>
      <w:r>
        <w:t xml:space="preserve">— Перейдём в каталог</w:t>
      </w:r>
      <w:r>
        <w:t xml:space="preserve"> </w:t>
      </w:r>
      <w:r>
        <w:rPr>
          <w:rStyle w:val="VerbatimChar"/>
        </w:rPr>
        <w:t xml:space="preserve">markdown/sir_ode</w:t>
      </w:r>
      <w:r>
        <w:t xml:space="preserve"> </w:t>
      </w:r>
      <w:r>
        <w:t xml:space="preserve">и запустим</w:t>
      </w:r>
      <w:r>
        <w:t xml:space="preserve"> </w:t>
      </w:r>
      <w:r>
        <w:rPr>
          <w:rStyle w:val="VerbatimChar"/>
        </w:rPr>
        <w:t xml:space="preserve">quarto render sir_ode.qmd</w:t>
      </w:r>
      <w:r>
        <w:t xml:space="preserve">.</w:t>
      </w:r>
      <w:r>
        <w:t xml:space="preserve"> </w:t>
      </w:r>
      <w:r>
        <w:t xml:space="preserve">Quarto последовательно выполняет все 27 блоков Julia-кода: определение функции, задание параметров, численное решение, построение графиков и вывод аналитического анализа (</w:t>
      </w:r>
      <w:r>
        <w:t xml:space="preserve">[рис. @fig-016]</w:t>
      </w:r>
      <w:r>
        <w:t xml:space="preserve">).</w:t>
      </w:r>
    </w:p>
    <w:bookmarkStart w:id="61" w:name="fig-016"/>
    <w:p>
      <w:pPr>
        <w:pStyle w:val="CaptionedFigure"/>
      </w:pPr>
      <w:r>
        <w:drawing>
          <wp:inline>
            <wp:extent cx="3733800" cy="1620892"/>
            <wp:effectExtent b="0" l="0" r="0" t="0"/>
            <wp:docPr descr="Рендеринг документации sir_ode.qmd через Quarto" title="" id="59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20-41-3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0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Рендеринг документации sir_ode.qmd через Quarto</w:t>
      </w:r>
    </w:p>
    <w:bookmarkEnd w:id="61"/>
    <w:p>
      <w:pPr>
        <w:pStyle w:val="BodyText"/>
      </w:pPr>
      <w:r>
        <w:t xml:space="preserve">— Файловый менеджер подтверждает наличие файла</w:t>
      </w:r>
      <w:r>
        <w:t xml:space="preserve"> </w:t>
      </w:r>
      <w:r>
        <w:rPr>
          <w:rStyle w:val="VerbatimChar"/>
        </w:rPr>
        <w:t xml:space="preserve">sir_ode.qmd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markdown/sir_ode</w:t>
      </w:r>
      <w:r>
        <w:t xml:space="preserve"> </w:t>
      </w:r>
      <w:r>
        <w:t xml:space="preserve">вместе с файлами проекта (</w:t>
      </w:r>
      <w:r>
        <w:t xml:space="preserve">[рис. @fig-017]</w:t>
      </w:r>
      <w:r>
        <w:t xml:space="preserve">).</w:t>
      </w:r>
    </w:p>
    <w:bookmarkStart w:id="65" w:name="fig-017"/>
    <w:p>
      <w:pPr>
        <w:pStyle w:val="CaptionedFigure"/>
      </w:pPr>
      <w:r>
        <w:drawing>
          <wp:inline>
            <wp:extent cx="3733800" cy="2572821"/>
            <wp:effectExtent b="0" l="0" r="0" t="0"/>
            <wp:docPr descr="Каталог markdown/sir_ode в файловом менеджере" title="" id="63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22-51-58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2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markdown/sir_ode в файловом менеджере</w:t>
      </w:r>
    </w:p>
    <w:bookmarkEnd w:id="65"/>
    <w:bookmarkEnd w:id="66"/>
    <w:bookmarkEnd w:id="67"/>
    <w:bookmarkStart w:id="103" w:name="модель-лотки-вольтерры-1"/>
    <w:p>
      <w:pPr>
        <w:pStyle w:val="Heading2"/>
      </w:pPr>
      <w:r>
        <w:t xml:space="preserve">Модель Лотки-Вольтерры</w:t>
      </w:r>
    </w:p>
    <w:bookmarkStart w:id="80" w:name="реализация-скрипта-1"/>
    <w:p>
      <w:pPr>
        <w:pStyle w:val="Heading3"/>
      </w:pPr>
      <w:r>
        <w:t xml:space="preserve">Реализация скрипта</w:t>
      </w:r>
    </w:p>
    <w:p>
      <w:pPr>
        <w:pStyle w:val="FirstParagraph"/>
      </w:pPr>
      <w:r>
        <w:t xml:space="preserve">— Создадим файл</w:t>
      </w:r>
      <w:r>
        <w:t xml:space="preserve"> </w:t>
      </w:r>
      <w:r>
        <w:rPr>
          <w:rStyle w:val="VerbatimChar"/>
        </w:rPr>
        <w:t xml:space="preserve">scripts/lv_ode.jl</w:t>
      </w:r>
      <w:r>
        <w:t xml:space="preserve">. Список скриптов теперь содержит три файла:</w:t>
      </w:r>
      <w:r>
        <w:t xml:space="preserve"> </w:t>
      </w:r>
      <w:r>
        <w:rPr>
          <w:rStyle w:val="VerbatimChar"/>
        </w:rPr>
        <w:t xml:space="preserve">intro.jl</w:t>
      </w:r>
      <w:r>
        <w:t xml:space="preserve">,</w:t>
      </w:r>
      <w:r>
        <w:t xml:space="preserve"> </w:t>
      </w:r>
      <w:r>
        <w:rPr>
          <w:rStyle w:val="VerbatimChar"/>
        </w:rPr>
        <w:t xml:space="preserve">lv_ode.jl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sir_ode.jl</w:t>
      </w:r>
      <w:r>
        <w:t xml:space="preserve"> </w:t>
      </w:r>
      <w:r>
        <w:t xml:space="preserve">(</w:t>
      </w:r>
      <w:r>
        <w:t xml:space="preserve">[рис. @fig-010]</w:t>
      </w:r>
      <w:r>
        <w:t xml:space="preserve">).</w:t>
      </w:r>
    </w:p>
    <w:bookmarkStart w:id="71" w:name="fig-010"/>
    <w:p>
      <w:pPr>
        <w:pStyle w:val="CaptionedFigure"/>
      </w:pPr>
      <w:r>
        <w:drawing>
          <wp:inline>
            <wp:extent cx="3733800" cy="276429"/>
            <wp:effectExtent b="0" l="0" r="0" t="0"/>
            <wp:docPr descr="Создание скрипта lv_ode.jl" title="" id="69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19-26-3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скрипта lv_ode.jl</w:t>
      </w:r>
    </w:p>
    <w:bookmarkEnd w:id="71"/>
    <w:p>
      <w:pPr>
        <w:pStyle w:val="BodyText"/>
      </w:pPr>
      <w:r>
        <w:t xml:space="preserve">— В редакторе VS Code открыт файл</w:t>
      </w:r>
      <w:r>
        <w:t xml:space="preserve"> </w:t>
      </w:r>
      <w:r>
        <w:rPr>
          <w:rStyle w:val="VerbatimChar"/>
        </w:rPr>
        <w:t xml:space="preserve">scripts/lv_ode.jl</w:t>
      </w:r>
      <w:r>
        <w:t xml:space="preserve">.</w:t>
      </w:r>
      <w:r>
        <w:t xml:space="preserve"> </w:t>
      </w:r>
      <w:r>
        <w:t xml:space="preserve">Скрипт подключает пакеты (</w:t>
      </w:r>
      <w:r>
        <w:rPr>
          <w:rStyle w:val="VerbatimChar"/>
        </w:rPr>
        <w:t xml:space="preserve">DifferentialEquations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LaTeXStrings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FFTW</w:t>
      </w:r>
      <w:r>
        <w:t xml:space="preserve">),</w:t>
      </w:r>
      <w:r>
        <w:t xml:space="preserve"> </w:t>
      </w:r>
      <w:r>
        <w:t xml:space="preserve">описывает систему уравнений Лотки-Вольтерры с параметрами, определяет функцию</w:t>
      </w:r>
      <w:r>
        <w:t xml:space="preserve"> </w:t>
      </w:r>
      <w:r>
        <w:rPr>
          <w:rStyle w:val="VerbatimChar"/>
        </w:rPr>
        <w:t xml:space="preserve">lotka_volterra!</w:t>
      </w:r>
      <w:r>
        <w:t xml:space="preserve"> </w:t>
      </w:r>
      <w:r>
        <w:t xml:space="preserve">(</w:t>
      </w:r>
      <w:r>
        <w:t xml:space="preserve">[рис. @fig-011]</w:t>
      </w:r>
      <w:r>
        <w:t xml:space="preserve">).</w:t>
      </w:r>
    </w:p>
    <w:bookmarkStart w:id="75" w:name="fig-011"/>
    <w:p>
      <w:pPr>
        <w:pStyle w:val="CaptionedFigure"/>
      </w:pPr>
      <w:r>
        <w:drawing>
          <wp:inline>
            <wp:extent cx="3733800" cy="4106695"/>
            <wp:effectExtent b="0" l="0" r="0" t="0"/>
            <wp:docPr descr="Код скрипта lv_ode.jl в VS Code" title="" id="73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19-26-52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6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lv_ode.jl в VS Code</w:t>
      </w:r>
    </w:p>
    <w:bookmarkEnd w:id="75"/>
    <w:p>
      <w:pPr>
        <w:pStyle w:val="BodyText"/>
      </w:pPr>
      <w:r>
        <w:t xml:space="preserve">— Установим пакет</w:t>
      </w:r>
      <w:r>
        <w:t xml:space="preserve"> </w:t>
      </w:r>
      <w:r>
        <w:rPr>
          <w:rStyle w:val="VerbatimChar"/>
        </w:rPr>
        <w:t xml:space="preserve">FFTW</w:t>
      </w:r>
      <w:r>
        <w:t xml:space="preserve"> </w:t>
      </w:r>
      <w:r>
        <w:t xml:space="preserve">(быстрое преобразование Фурье), необходимый для спектрального анализа колебаний популяций (</w:t>
      </w:r>
      <w:r>
        <w:t xml:space="preserve">[рис. @fig-012]</w:t>
      </w:r>
      <w:r>
        <w:t xml:space="preserve">).</w:t>
      </w:r>
    </w:p>
    <w:bookmarkStart w:id="79" w:name="fig-012"/>
    <w:p>
      <w:pPr>
        <w:pStyle w:val="CaptionedFigure"/>
      </w:pPr>
      <w:r>
        <w:drawing>
          <wp:inline>
            <wp:extent cx="3733800" cy="2174842"/>
            <wp:effectExtent b="0" l="0" r="0" t="0"/>
            <wp:docPr descr="Установка пакета FFTW" title="" id="77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20-20-55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4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пакета FFTW</w:t>
      </w:r>
    </w:p>
    <w:bookmarkEnd w:id="79"/>
    <w:bookmarkEnd w:id="80"/>
    <w:bookmarkStart w:id="89" w:name="запуск-и-результаты-1"/>
    <w:p>
      <w:pPr>
        <w:pStyle w:val="Heading3"/>
      </w:pPr>
      <w:r>
        <w:t xml:space="preserve">Запуск и результаты</w:t>
      </w:r>
    </w:p>
    <w:p>
      <w:pPr>
        <w:pStyle w:val="FirstParagraph"/>
      </w:pPr>
      <w:r>
        <w:t xml:space="preserve">— Запустим скрипт</w:t>
      </w:r>
      <w:r>
        <w:t xml:space="preserve"> </w:t>
      </w:r>
      <w:r>
        <w:rPr>
          <w:rStyle w:val="VerbatimChar"/>
        </w:rPr>
        <w:t xml:space="preserve">julia --project=. scripts/lv_ode.jl</w:t>
      </w:r>
      <w:r>
        <w:t xml:space="preserve">.</w:t>
      </w:r>
      <w:r>
        <w:t xml:space="preserve"> </w:t>
      </w:r>
      <w:r>
        <w:t xml:space="preserve">Программа выводит параметры модели (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0.02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0.3</m:t>
        </m:r>
      </m:oMath>
      <w:r>
        <w:t xml:space="preserve">), начальные условия (жертвы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40.0</m:t>
        </m:r>
      </m:oMath>
      <w:r>
        <w:t xml:space="preserve">, хищники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9.0</m:t>
        </m:r>
      </m:oMath>
      <w:r>
        <w:t xml:space="preserve">),</w:t>
      </w:r>
      <w:r>
        <w:t xml:space="preserve"> </w:t>
      </w:r>
      <w:r>
        <w:t xml:space="preserve">стационарные точки (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30.0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5.0</m:t>
        </m:r>
      </m:oMath>
      <w:r>
        <w:t xml:space="preserve">), доминирующую частоту колебаний жертв 0.2499 Гц и период 4.0 единицы времени (</w:t>
      </w:r>
      <w:r>
        <w:t xml:space="preserve">[рис. @fig-013]</w:t>
      </w:r>
      <w:r>
        <w:t xml:space="preserve">).</w:t>
      </w:r>
    </w:p>
    <w:bookmarkStart w:id="84" w:name="fig-013"/>
    <w:p>
      <w:pPr>
        <w:pStyle w:val="CaptionedFigure"/>
      </w:pPr>
      <w:r>
        <w:drawing>
          <wp:inline>
            <wp:extent cx="3733800" cy="3970789"/>
            <wp:effectExtent b="0" l="0" r="0" t="0"/>
            <wp:docPr descr="Вывод результатов модели Лотки-Вольтерры" title="" id="8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20-22-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70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результатов модели Лотки-Вольтерры</w:t>
      </w:r>
    </w:p>
    <w:bookmarkEnd w:id="84"/>
    <w:p>
      <w:pPr>
        <w:pStyle w:val="BodyText"/>
      </w:pPr>
      <w:r>
        <w:t xml:space="preserve">— После успешного завершения моделирования проверим сохранённые файлы.</w:t>
      </w:r>
      <w:r>
        <w:t xml:space="preserve"> </w:t>
      </w:r>
      <w:r>
        <w:rPr>
          <w:rStyle w:val="VerbatimChar"/>
        </w:rPr>
        <w:t xml:space="preserve">find plots -type f</w:t>
      </w:r>
      <w:r>
        <w:t xml:space="preserve"> </w:t>
      </w:r>
      <w:r>
        <w:t xml:space="preserve">показывает полный набор графиков обеих моделей: 7 файлов SIR и 6 файлов LV (</w:t>
      </w:r>
      <w:r>
        <w:rPr>
          <w:rStyle w:val="VerbatimChar"/>
        </w:rPr>
        <w:t xml:space="preserve">lv_panel.png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lv_phase_portrait.png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lv_derivatives.png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lv_relative_changes.png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lv_dynamics.png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lv_spectrum.png</w:t>
      </w:r>
      <w:r>
        <w:t xml:space="preserve">). Команда</w:t>
      </w:r>
      <w:r>
        <w:t xml:space="preserve"> </w:t>
      </w:r>
      <w:r>
        <w:rPr>
          <w:rStyle w:val="VerbatimChar"/>
        </w:rPr>
        <w:t xml:space="preserve">find . -maxdepth 2 -type d</w:t>
      </w:r>
      <w:r>
        <w:t xml:space="preserve"> </w:t>
      </w:r>
      <w:r>
        <w:t xml:space="preserve">демонстрирует полную структуру проекта (</w:t>
      </w:r>
      <w:r>
        <w:t xml:space="preserve">[рис. @fig-014]</w:t>
      </w:r>
      <w:r>
        <w:t xml:space="preserve">).</w:t>
      </w:r>
    </w:p>
    <w:bookmarkStart w:id="88" w:name="fig-014"/>
    <w:p>
      <w:pPr>
        <w:pStyle w:val="CaptionedFigure"/>
      </w:pPr>
      <w:r>
        <w:drawing>
          <wp:inline>
            <wp:extent cx="3733800" cy="3013157"/>
            <wp:effectExtent b="0" l="0" r="0" t="0"/>
            <wp:docPr descr="Список всех сгенерированных графиков и структура проекта" title="" id="8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20-22-49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3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всех сгенерированных графиков и структура проекта</w:t>
      </w:r>
    </w:p>
    <w:bookmarkEnd w:id="88"/>
    <w:bookmarkEnd w:id="89"/>
    <w:bookmarkStart w:id="102" w:name="подготовка-quarto-документации-1"/>
    <w:p>
      <w:pPr>
        <w:pStyle w:val="Heading3"/>
      </w:pPr>
      <w:r>
        <w:t xml:space="preserve">Подготовка Quarto-документации</w:t>
      </w:r>
    </w:p>
    <w:p>
      <w:pPr>
        <w:pStyle w:val="FirstParagraph"/>
      </w:pPr>
      <w:r>
        <w:t xml:space="preserve">— В редакторе VS Code откроем файл</w:t>
      </w:r>
      <w:r>
        <w:t xml:space="preserve"> </w:t>
      </w:r>
      <w:r>
        <w:rPr>
          <w:rStyle w:val="VerbatimChar"/>
        </w:rPr>
        <w:t xml:space="preserve">markdown/lv_ode/lv_ode.qmd</w:t>
      </w:r>
      <w:r>
        <w:t xml:space="preserve">. Документ оформлен в литературном стиле: заголовок «Модель Лотки-Вольтерры»,</w:t>
      </w:r>
      <w:r>
        <w:t xml:space="preserve"> </w:t>
      </w:r>
      <w:r>
        <w:t xml:space="preserve">блок активации проекта и загрузки пакетов, блок описания модели с уравнениями (</w:t>
      </w:r>
      <w:r>
        <w:t xml:space="preserve">[рис. @fig-019]</w:t>
      </w:r>
      <w:r>
        <w:t xml:space="preserve">).</w:t>
      </w:r>
    </w:p>
    <w:bookmarkStart w:id="93" w:name="fig-019"/>
    <w:p>
      <w:pPr>
        <w:pStyle w:val="CaptionedFigure"/>
      </w:pPr>
      <w:r>
        <w:drawing>
          <wp:inline>
            <wp:extent cx="3733800" cy="1875513"/>
            <wp:effectExtent b="0" l="0" r="0" t="0"/>
            <wp:docPr descr="Файл lv_ode.qmd в VS Code" title="" id="91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22-52-5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5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lv_ode.qmd в VS Code</w:t>
      </w:r>
    </w:p>
    <w:bookmarkEnd w:id="93"/>
    <w:p>
      <w:pPr>
        <w:pStyle w:val="BodyText"/>
      </w:pPr>
      <w:r>
        <w:t xml:space="preserve">— Файловый менеджер показывает каталог</w:t>
      </w:r>
      <w:r>
        <w:t xml:space="preserve"> </w:t>
      </w:r>
      <w:r>
        <w:rPr>
          <w:rStyle w:val="VerbatimChar"/>
        </w:rPr>
        <w:t xml:space="preserve">markdown/lv_ode</w:t>
      </w:r>
      <w:r>
        <w:t xml:space="preserve"> </w:t>
      </w:r>
      <w:r>
        <w:t xml:space="preserve">с файлом</w:t>
      </w:r>
      <w:r>
        <w:t xml:space="preserve"> </w:t>
      </w:r>
      <w:r>
        <w:rPr>
          <w:rStyle w:val="VerbatimChar"/>
        </w:rPr>
        <w:t xml:space="preserve">lv_ode.qmd</w:t>
      </w:r>
      <w:r>
        <w:t xml:space="preserve"> </w:t>
      </w:r>
      <w:r>
        <w:t xml:space="preserve">(</w:t>
      </w:r>
      <w:r>
        <w:t xml:space="preserve">[рис. @fig-018]</w:t>
      </w:r>
      <w:r>
        <w:t xml:space="preserve">).</w:t>
      </w:r>
    </w:p>
    <w:bookmarkStart w:id="97" w:name="fig-018"/>
    <w:p>
      <w:pPr>
        <w:pStyle w:val="CaptionedFigure"/>
      </w:pPr>
      <w:r>
        <w:drawing>
          <wp:inline>
            <wp:extent cx="3733800" cy="2572821"/>
            <wp:effectExtent b="0" l="0" r="0" t="0"/>
            <wp:docPr descr="Каталог markdown/lv_ode в файловом менеджере" title="" id="95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22-52-0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2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markdown/lv_ode в файловом менеджере</w:t>
      </w:r>
    </w:p>
    <w:bookmarkEnd w:id="97"/>
    <w:p>
      <w:pPr>
        <w:pStyle w:val="BodyText"/>
      </w:pPr>
      <w:r>
        <w:t xml:space="preserve">— Перейдём в каталог</w:t>
      </w:r>
      <w:r>
        <w:t xml:space="preserve"> </w:t>
      </w:r>
      <w:r>
        <w:rPr>
          <w:rStyle w:val="VerbatimChar"/>
        </w:rPr>
        <w:t xml:space="preserve">markdown/lv_ode</w:t>
      </w:r>
      <w:r>
        <w:t xml:space="preserve"> </w:t>
      </w:r>
      <w:r>
        <w:t xml:space="preserve">и запустим</w:t>
      </w:r>
      <w:r>
        <w:t xml:space="preserve"> </w:t>
      </w:r>
      <w:r>
        <w:rPr>
          <w:rStyle w:val="VerbatimChar"/>
        </w:rPr>
        <w:t xml:space="preserve">quarto render lv_ode.qmd</w:t>
      </w:r>
      <w:r>
        <w:t xml:space="preserve">. Quarto последовательно выполняет все 28 блоков Julia-кода,</w:t>
      </w:r>
      <w:r>
        <w:t xml:space="preserve"> </w:t>
      </w:r>
      <w:r>
        <w:t xml:space="preserve">включая спектральный анализ и построение шести графиков (</w:t>
      </w:r>
      <w:r>
        <w:t xml:space="preserve">[рис. @fig-021]</w:t>
      </w:r>
      <w:r>
        <w:t xml:space="preserve">).</w:t>
      </w:r>
    </w:p>
    <w:bookmarkStart w:id="101" w:name="fig-021"/>
    <w:p>
      <w:pPr>
        <w:pStyle w:val="CaptionedFigure"/>
      </w:pPr>
      <w:r>
        <w:drawing>
          <wp:inline>
            <wp:extent cx="3733800" cy="1714139"/>
            <wp:effectExtent b="0" l="0" r="0" t="0"/>
            <wp:docPr descr="Рендеринг документации lv_ode.qmd через Quarto" title="" id="99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0%2004-22-1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4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Рендеринг документации lv_ode.qmd через Quarto</w:t>
      </w:r>
    </w:p>
    <w:bookmarkEnd w:id="101"/>
    <w:bookmarkEnd w:id="102"/>
    <w:bookmarkEnd w:id="103"/>
    <w:bookmarkStart w:id="116" w:name="выполнение-jupyter-ноутбуков"/>
    <w:p>
      <w:pPr>
        <w:pStyle w:val="Heading2"/>
      </w:pPr>
      <w:r>
        <w:t xml:space="preserve">Выполнение Jupyter-ноутбуков</w:t>
      </w:r>
    </w:p>
    <w:p>
      <w:pPr>
        <w:pStyle w:val="FirstParagraph"/>
      </w:pPr>
      <w:r>
        <w:t xml:space="preserve">— Откроем сгенерированный ноутбук</w:t>
      </w:r>
      <w:r>
        <w:t xml:space="preserve"> </w:t>
      </w:r>
      <w:r>
        <w:rPr>
          <w:rStyle w:val="VerbatimChar"/>
        </w:rPr>
        <w:t xml:space="preserve">sir_ode.ipynb</w:t>
      </w:r>
      <w:r>
        <w:t xml:space="preserve"> </w:t>
      </w:r>
      <w:r>
        <w:t xml:space="preserve">в JupyterLab. Ноутбук содержит разделы «Активация проекта и загрузка пакетов» и «Определение параметров модели» с отображением системы дифференциальных уравнений (</w:t>
      </w:r>
      <w:r>
        <w:t xml:space="preserve">[рис. @fig-022]</w:t>
      </w:r>
      <w:r>
        <w:t xml:space="preserve">).</w:t>
      </w:r>
    </w:p>
    <w:bookmarkStart w:id="107" w:name="fig-022"/>
    <w:p>
      <w:pPr>
        <w:pStyle w:val="CaptionedFigure"/>
      </w:pPr>
      <w:r>
        <w:drawing>
          <wp:inline>
            <wp:extent cx="3733800" cy="2606122"/>
            <wp:effectExtent b="0" l="0" r="0" t="0"/>
            <wp:docPr descr="Jupyter-ноутбук sir_ode.ipynb в JupyterLab" title="" id="105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0%2014-38-46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6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Jupyter-ноутбук sir_ode.ipynb в JupyterLab</w:t>
      </w:r>
    </w:p>
    <w:bookmarkEnd w:id="107"/>
    <w:p>
      <w:pPr>
        <w:pStyle w:val="BodyText"/>
      </w:pPr>
      <w:r>
        <w:t xml:space="preserve">— Выполним ноутбук. Результаты бенчмарка решателя: медианное время 17.600 мкс, среднее 22.588 мкс, оценка памяти 17.39 KiB при 333 аллокациях.</w:t>
      </w:r>
      <w:r>
        <w:t xml:space="preserve"> </w:t>
      </w:r>
      <w:r>
        <w:t xml:space="preserve">Аналитический вывод совпадает с результатами скрипта: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1000.0</m:t>
        </m:r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154.8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  <m:r>
              <m:t>e</m:t>
            </m:r>
            <m:r>
              <m:t>a</m:t>
            </m:r>
            <m:r>
              <m:t>k</m:t>
            </m:r>
          </m:sub>
        </m:sSub>
        <m:r>
          <m:rPr>
            <m:sty m:val="p"/>
          </m:rPr>
          <m:t>=</m:t>
        </m:r>
        <m:r>
          <m:t>19.1</m:t>
        </m:r>
      </m:oMath>
      <w:r>
        <w:t xml:space="preserve"> </w:t>
      </w:r>
      <w:r>
        <w:t xml:space="preserve">дней,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775.7</m:t>
        </m:r>
      </m:oMath>
      <w:r>
        <w:t xml:space="preserve"> </w:t>
      </w:r>
      <w:r>
        <w:t xml:space="preserve">(</w:t>
      </w:r>
      <w:r>
        <w:t xml:space="preserve">[рис. @fig-023]</w:t>
      </w:r>
      <w:r>
        <w:t xml:space="preserve">).</w:t>
      </w:r>
    </w:p>
    <w:bookmarkStart w:id="111" w:name="fig-023"/>
    <w:p>
      <w:pPr>
        <w:pStyle w:val="CaptionedFigure"/>
      </w:pPr>
      <w:r>
        <w:drawing>
          <wp:inline>
            <wp:extent cx="3733800" cy="2606122"/>
            <wp:effectExtent b="0" l="0" r="0" t="0"/>
            <wp:docPr descr="Результаты выполнения ноутбука sir_ode" title="" id="109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0%2014-40-0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6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выполнения ноутбука sir_ode</w:t>
      </w:r>
    </w:p>
    <w:bookmarkEnd w:id="111"/>
    <w:p>
      <w:pPr>
        <w:pStyle w:val="BodyText"/>
      </w:pPr>
      <w:r>
        <w:t xml:space="preserve">— Откроем ноутбук</w:t>
      </w:r>
      <w:r>
        <w:t xml:space="preserve"> </w:t>
      </w:r>
      <w:r>
        <w:rPr>
          <w:rStyle w:val="VerbatimChar"/>
        </w:rPr>
        <w:t xml:space="preserve">lv_ode.ipynb</w:t>
      </w:r>
      <w:r>
        <w:t xml:space="preserve">. Ноутбук содержит разделы с построением шести графиков: популяция жертв, хищников, фазовый портрет, скорости изменения,</w:t>
      </w:r>
      <w:r>
        <w:t xml:space="preserve"> </w:t>
      </w:r>
      <w:r>
        <w:t xml:space="preserve">спектр жертв и относительные изменения (</w:t>
      </w:r>
      <w:r>
        <w:t xml:space="preserve">[рис. @fig-024]</w:t>
      </w:r>
      <w:r>
        <w:t xml:space="preserve">).</w:t>
      </w:r>
    </w:p>
    <w:bookmarkStart w:id="115" w:name="fig-024"/>
    <w:p>
      <w:pPr>
        <w:pStyle w:val="CaptionedFigure"/>
      </w:pPr>
      <w:r>
        <w:drawing>
          <wp:inline>
            <wp:extent cx="3733800" cy="2606122"/>
            <wp:effectExtent b="0" l="0" r="0" t="0"/>
            <wp:docPr descr="Jupyter-ноутбук lv_ode.ipynb в JupyterLab" title="" id="113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0%2014-40-27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6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Jupyter-ноутбук lv_ode.ipynb в JupyterLab</w:t>
      </w:r>
    </w:p>
    <w:bookmarkEnd w:id="115"/>
    <w:bookmarkEnd w:id="116"/>
    <w:bookmarkStart w:id="117" w:name="интеграция-в-отчёт"/>
    <w:p>
      <w:pPr>
        <w:pStyle w:val="Heading2"/>
      </w:pPr>
      <w:r>
        <w:t xml:space="preserve">Интеграция в отчёт</w:t>
      </w:r>
    </w:p>
    <w:p>
      <w:pPr>
        <w:pStyle w:val="FirstParagraph"/>
      </w:pPr>
      <w:r>
        <w:t xml:space="preserve">Сгенерированные Quarto-документы подключаются к итоговому отчёту через директивы</w:t>
      </w:r>
      <w:r>
        <w:t xml:space="preserve"> </w:t>
      </w:r>
      <w:r>
        <w:rPr>
          <w:rStyle w:val="VerbatimChar"/>
        </w:rPr>
        <w:t xml:space="preserve">{{&lt; include &gt;}}</w:t>
      </w:r>
      <w:r>
        <w:t xml:space="preserve">.</w:t>
      </w:r>
    </w:p>
    <w:p>
      <w:pPr>
        <w:pStyle w:val="BodyText"/>
      </w:pPr>
      <w:r>
        <w:t xml:space="preserve">{{&lt; include ../project/markdown/sir_ode/sir_ode.qmd &gt;}}</w:t>
      </w:r>
    </w:p>
    <w:p>
      <w:pPr>
        <w:pStyle w:val="BodyText"/>
      </w:pPr>
      <w:r>
        <w:t xml:space="preserve">{{&lt; include ../project/markdown/lv_ode/lv_ode.qmd &gt;}}</w:t>
      </w:r>
    </w:p>
    <w:bookmarkEnd w:id="117"/>
    <w:bookmarkEnd w:id="118"/>
    <w:bookmarkStart w:id="11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По итогам лабораторной работы изучены, реализованы и численно исследованы две фундаментальные математические модели.</w:t>
      </w:r>
      <w:r>
        <w:t xml:space="preserve"> </w:t>
      </w:r>
      <w:r>
        <w:t xml:space="preserve">Модель SIR с параметрами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10.0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показала: 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2.0</m:t>
        </m:r>
      </m:oMath>
      <w:r>
        <w:t xml:space="preserve"> </w:t>
      </w:r>
      <w:r>
        <w:t xml:space="preserve">эпидемия охватывает 77.6% популяции,</w:t>
      </w:r>
      <w:r>
        <w:t xml:space="preserve"> </w:t>
      </w:r>
      <w:r>
        <w:t xml:space="preserve">пиковое число заражённых достигает 154.8 человек на 19.1-й день. Модель Лотки-Вольтерры с параметрами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0.02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при начальных условиях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продемонстрировала периодические колебания с периодом 4.0 единицы времени вокруг стационарной точки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Освоен полный цикл работы: от реализации скриптов Julia до генерации Quarto-документации и выполнения Jupyter-ноутбуков.</w:t>
      </w:r>
    </w:p>
    <w:bookmarkEnd w:id="119"/>
    <w:bookmarkStart w:id="120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Kermack W. O., McKendrick A. G. A Contribution to the Mathematical Theory of Epidemics // Proceedings of the Royal Society A. — 1927. — Vol. 115, no. 772. — P. 700–721.</w:t>
      </w:r>
    </w:p>
    <w:p>
      <w:pPr>
        <w:numPr>
          <w:ilvl w:val="0"/>
          <w:numId w:val="1001"/>
        </w:numPr>
      </w:pPr>
      <w:r>
        <w:t xml:space="preserve">Lotka A. J. Elements of Physical Biology. — Baltimore: Williams &amp; Wilkins, 1925.</w:t>
      </w:r>
    </w:p>
    <w:p>
      <w:pPr>
        <w:numPr>
          <w:ilvl w:val="0"/>
          <w:numId w:val="1001"/>
        </w:numPr>
      </w:pPr>
      <w:r>
        <w:t xml:space="preserve">Volterra V. Fluctuations in the Abundance of a Species considered Mathematically // Nature. — 1926. — Vol. 118. — P. 558–560.</w:t>
      </w:r>
    </w:p>
    <w:p>
      <w:pPr>
        <w:numPr>
          <w:ilvl w:val="0"/>
          <w:numId w:val="1001"/>
        </w:numPr>
      </w:pPr>
      <w:r>
        <w:t xml:space="preserve">Имитационное моделирование. Практикум / А. В. Королькова, Д. С. Кулябов. — Москва : РУДН, 2025.</w:t>
      </w:r>
    </w:p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50" Target="media/rId50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94" Target="media/rId94.png" /><Relationship Type="http://schemas.openxmlformats.org/officeDocument/2006/relationships/image" Id="rId90" Target="media/rId90.png" /><Relationship Type="http://schemas.openxmlformats.org/officeDocument/2006/relationships/image" Id="rId54" Target="media/rId54.png" /><Relationship Type="http://schemas.openxmlformats.org/officeDocument/2006/relationships/image" Id="rId98" Target="media/rId98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/>
  <cp:keywords/>
  <dcterms:created xsi:type="dcterms:W3CDTF">2026-06-16T10:06:15Z</dcterms:created>
  <dcterms:modified xsi:type="dcterms:W3CDTF">2026-06-16T10:06:15Z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Основные модели</vt:lpwstr>
  </property>
</Properties>
</file>