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стенда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— подготовить стенд для выполнения последующих лабораторных работ.</w:t>
      </w:r>
      <w:r>
        <w:t xml:space="preserve"> </w:t>
      </w:r>
      <w:r>
        <w:t xml:space="preserve">Для этого необходимо настроить git, установить необходимые пакеты, а также создать модель экспоненциального роста в рамках проекта DrWatson.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10"/>
    <w:bookmarkStart w:id="10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9" w:name="настройка-рабочего-окружения"/>
    <w:p>
      <w:pPr>
        <w:pStyle w:val="Heading2"/>
      </w:pPr>
      <w:r>
        <w:t xml:space="preserve">Настройка рабочего окружения</w:t>
      </w:r>
    </w:p>
    <w:p>
      <w:pPr>
        <w:pStyle w:val="FirstParagraph"/>
      </w:pPr>
      <w:r>
        <w:t xml:space="preserve">— Перед началом работы обновим систему командами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sudo apt upgrade -y</w:t>
      </w:r>
      <w:r>
        <w:t xml:space="preserve">, чтобы убедиться в актуальности пакетной базы (</w:t>
      </w:r>
      <w:r>
        <w:t xml:space="preserve">[рис. @fig-001]</w:t>
      </w:r>
      <w:r>
        <w:t xml:space="preserve">).</w:t>
      </w:r>
    </w:p>
    <w:bookmarkStart w:id="14" w:name="fig-001"/>
    <w:p>
      <w:pPr>
        <w:pStyle w:val="CaptionedFigure"/>
      </w:pPr>
      <w:r>
        <w:drawing>
          <wp:inline>
            <wp:extent cx="3588443" cy="2312894"/>
            <wp:effectExtent b="0" l="0" r="0" t="0"/>
            <wp:docPr descr="Обновление пакетной базы и системных пакетов" title="" id="12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3504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23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пакетной базы и системных пакетов</w:t>
      </w:r>
    </w:p>
    <w:bookmarkEnd w:id="14"/>
    <w:p>
      <w:pPr>
        <w:pStyle w:val="BodyText"/>
      </w:pPr>
      <w:r>
        <w:t xml:space="preserve">— Установим базовые инструменты разработки: git, git-flow, curl, wget, xclip, build-essential, vim (</w:t>
      </w:r>
      <w:r>
        <w:t xml:space="preserve">[рис. @fig-002]</w:t>
      </w:r>
      <w:r>
        <w:t xml:space="preserve">).</w:t>
      </w:r>
    </w:p>
    <w:bookmarkStart w:id="18" w:name="fig-002"/>
    <w:p>
      <w:pPr>
        <w:pStyle w:val="CaptionedFigure"/>
      </w:pPr>
      <w:r>
        <w:drawing>
          <wp:inline>
            <wp:extent cx="3733800" cy="2132736"/>
            <wp:effectExtent b="0" l="0" r="0" t="0"/>
            <wp:docPr descr="Установка базовых инструментов" title="" id="16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3554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базовых инструментов</w:t>
      </w:r>
    </w:p>
    <w:bookmarkEnd w:id="18"/>
    <w:bookmarkEnd w:id="19"/>
    <w:bookmarkStart w:id="28" w:name="настройка-git"/>
    <w:p>
      <w:pPr>
        <w:pStyle w:val="Heading2"/>
      </w:pPr>
      <w:r>
        <w:t xml:space="preserve">Настройка git</w:t>
      </w:r>
    </w:p>
    <w:p>
      <w:pPr>
        <w:pStyle w:val="FirstParagraph"/>
      </w:pPr>
      <w:r>
        <w:t xml:space="preserve">— Зададим имя и email владельца репозитория, настроим отображение Unicode-символов, имя начальной ветки master, а также параметры autocrlf и safecrlf (</w:t>
      </w:r>
      <w:r>
        <w:t xml:space="preserve">[рис. @fig-003]</w:t>
      </w:r>
      <w:r>
        <w:t xml:space="preserve">).</w:t>
      </w:r>
    </w:p>
    <w:bookmarkStart w:id="23" w:name="fig-003"/>
    <w:p>
      <w:pPr>
        <w:pStyle w:val="CaptionedFigure"/>
      </w:pPr>
      <w:r>
        <w:drawing>
          <wp:inline>
            <wp:extent cx="3733800" cy="2430207"/>
            <wp:effectExtent b="0" l="0" r="0" t="0"/>
            <wp:docPr descr="Задание глобальных параметров git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3595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глобальных параметров git</w:t>
      </w:r>
    </w:p>
    <w:bookmarkEnd w:id="23"/>
    <w:p>
      <w:pPr>
        <w:pStyle w:val="BodyText"/>
      </w:pPr>
      <w:r>
        <w:t xml:space="preserve">— Сгенерируем SSH-ключ алгоритма Ed25519 для авторизации на удалённых репозиториях.</w:t>
      </w:r>
      <w:r>
        <w:t xml:space="preserve"> </w:t>
      </w:r>
      <w:r>
        <w:t xml:space="preserve">При запросе пути файл уже существовал, поэтому подтвердили перезапись; парольная фраза оставлена пустой (</w:t>
      </w:r>
      <w:r>
        <w:t xml:space="preserve">[рис. @fig-004]</w:t>
      </w:r>
      <w:r>
        <w:t xml:space="preserve">).</w:t>
      </w:r>
    </w:p>
    <w:bookmarkStart w:id="27" w:name="fig-004"/>
    <w:p>
      <w:pPr>
        <w:pStyle w:val="CaptionedFigure"/>
      </w:pPr>
      <w:r>
        <w:drawing>
          <wp:inline>
            <wp:extent cx="3733800" cy="1405360"/>
            <wp:effectExtent b="0" l="0" r="0" t="0"/>
            <wp:docPr descr="Генерация SSH-ключа Ed25519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032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SSH-ключа Ed25519</w:t>
      </w:r>
    </w:p>
    <w:bookmarkEnd w:id="27"/>
    <w:bookmarkEnd w:id="28"/>
    <w:bookmarkStart w:id="37" w:name="установка-julia"/>
    <w:p>
      <w:pPr>
        <w:pStyle w:val="Heading2"/>
      </w:pPr>
      <w:r>
        <w:t xml:space="preserve">Установка Julia</w:t>
      </w:r>
    </w:p>
    <w:p>
      <w:pPr>
        <w:pStyle w:val="FirstParagraph"/>
      </w:pPr>
      <w:r>
        <w:t xml:space="preserve">— Установим Julia с помощью официального скрипта Juliaup.</w:t>
      </w:r>
      <w:r>
        <w:t xml:space="preserve"> </w:t>
      </w:r>
      <w:r>
        <w:t xml:space="preserve">Поскольку Juliaup уже присутствовал в системе, установщик сообщил об этом; запуск интерактивной сессии подтвердил работоспособность интерпретатора (</w:t>
      </w:r>
      <w:r>
        <w:t xml:space="preserve">[рис. @fig-005]</w:t>
      </w:r>
      <w:r>
        <w:t xml:space="preserve">).</w:t>
      </w:r>
    </w:p>
    <w:bookmarkStart w:id="32" w:name="fig-005"/>
    <w:p>
      <w:pPr>
        <w:pStyle w:val="CaptionedFigure"/>
      </w:pPr>
      <w:r>
        <w:drawing>
          <wp:inline>
            <wp:extent cx="3733800" cy="927709"/>
            <wp:effectExtent b="0" l="0" r="0" t="0"/>
            <wp:docPr descr="Проверка установки Julia через Juliaup" title="" id="30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063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Julia через Juliaup</w:t>
      </w:r>
    </w:p>
    <w:bookmarkEnd w:id="32"/>
    <w:p>
      <w:pPr>
        <w:pStyle w:val="BodyText"/>
      </w:pPr>
      <w:r>
        <w:t xml:space="preserve">— Убедимся, что все ключевые инструменты доступны:</w:t>
      </w:r>
      <w:r>
        <w:t xml:space="preserve"> </w:t>
      </w:r>
      <w:r>
        <w:rPr>
          <w:rStyle w:val="VerbatimChar"/>
        </w:rPr>
        <w:t xml:space="preserve">julia --version</w:t>
      </w:r>
      <w:r>
        <w:t xml:space="preserve"> </w:t>
      </w:r>
      <w:r>
        <w:t xml:space="preserve">вернул версию 1.12.6,</w:t>
      </w:r>
      <w:r>
        <w:t xml:space="preserve"> </w:t>
      </w:r>
      <w:r>
        <w:rPr>
          <w:rStyle w:val="VerbatimChar"/>
        </w:rPr>
        <w:t xml:space="preserve">git flow version</w:t>
      </w:r>
      <w:r>
        <w:t xml:space="preserve"> </w:t>
      </w:r>
      <w:r>
        <w:t xml:space="preserve">— 1.12.3 (AVH Edition) (</w:t>
      </w:r>
      <w:r>
        <w:t xml:space="preserve">[рис. @fig-006]</w:t>
      </w:r>
      <w:r>
        <w:t xml:space="preserve">).</w:t>
      </w:r>
    </w:p>
    <w:bookmarkStart w:id="36" w:name="fig-006"/>
    <w:p>
      <w:pPr>
        <w:pStyle w:val="CaptionedFigure"/>
      </w:pPr>
      <w:r>
        <w:drawing>
          <wp:inline>
            <wp:extent cx="3733800" cy="742443"/>
            <wp:effectExtent b="0" l="0" r="0" t="0"/>
            <wp:docPr descr="Проверка версий Julia и git flow" title="" id="34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12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версий Julia и git flow</w:t>
      </w:r>
    </w:p>
    <w:bookmarkEnd w:id="36"/>
    <w:bookmarkEnd w:id="37"/>
    <w:bookmarkStart w:id="62" w:name="создание-проекта-drwatson"/>
    <w:p>
      <w:pPr>
        <w:pStyle w:val="Heading2"/>
      </w:pPr>
      <w:r>
        <w:t xml:space="preserve">Создание проекта DrWatson</w:t>
      </w:r>
    </w:p>
    <w:p>
      <w:pPr>
        <w:pStyle w:val="FirstParagraph"/>
      </w:pPr>
      <w:r>
        <w:t xml:space="preserve">— Откроем Julia REPL в рабочем каталоге курса, подключим пакет DrWatson и создадим проект командой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.</w:t>
      </w:r>
      <w:r>
        <w:t xml:space="preserve"> </w:t>
      </w:r>
      <w:r>
        <w:t xml:space="preserve">При первой попытке допущена опечатка в имени функции, после исправления команда выполнилась успешно (</w:t>
      </w:r>
      <w:r>
        <w:t xml:space="preserve">[рис. @fig-007]</w:t>
      </w:r>
      <w:r>
        <w:t xml:space="preserve">).</w:t>
      </w:r>
    </w:p>
    <w:bookmarkStart w:id="41" w:name="fig-007"/>
    <w:p>
      <w:pPr>
        <w:pStyle w:val="CaptionedFigure"/>
      </w:pPr>
      <w:r>
        <w:drawing>
          <wp:inline>
            <wp:extent cx="3733800" cy="2323175"/>
            <wp:effectExtent b="0" l="0" r="0" t="0"/>
            <wp:docPr descr="Инициализация проекта DrWatson в Julia REPL" title="" id="39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33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 в Julia REPL</w:t>
      </w:r>
    </w:p>
    <w:bookmarkEnd w:id="41"/>
    <w:p>
      <w:pPr>
        <w:pStyle w:val="BodyText"/>
      </w:pPr>
      <w:r>
        <w:t xml:space="preserve">— Перейдём в созданный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 Убедимся в наличии стандартных файлов DrWatson (Manifest.toml, Project.toml, README.md).</w:t>
      </w:r>
      <w:r>
        <w:t xml:space="preserve"> </w:t>
      </w:r>
      <w:r>
        <w:t xml:space="preserve">Запустим Julia и активируем окружение командой</w:t>
      </w:r>
      <w:r>
        <w:t xml:space="preserve"> </w:t>
      </w:r>
      <w:r>
        <w:rPr>
          <w:rStyle w:val="VerbatimChar"/>
        </w:rPr>
        <w:t xml:space="preserve">Pkg.activate(".")</w:t>
      </w:r>
      <w:r>
        <w:t xml:space="preserve"> </w:t>
      </w:r>
      <w:r>
        <w:t xml:space="preserve">(</w:t>
      </w:r>
      <w:r>
        <w:t xml:space="preserve">[рис. @fig-008]</w:t>
      </w:r>
      <w:r>
        <w:t xml:space="preserve">).</w:t>
      </w:r>
    </w:p>
    <w:bookmarkStart w:id="45" w:name="fig-008"/>
    <w:p>
      <w:pPr>
        <w:pStyle w:val="CaptionedFigure"/>
      </w:pPr>
      <w:r>
        <w:drawing>
          <wp:inline>
            <wp:extent cx="3733800" cy="1585146"/>
            <wp:effectExtent b="0" l="0" r="0" t="0"/>
            <wp:docPr descr="Переход в каталог проекта и активация окружения" title="" id="43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71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проекта и активация окружения</w:t>
      </w:r>
    </w:p>
    <w:bookmarkEnd w:id="45"/>
    <w:p>
      <w:pPr>
        <w:pStyle w:val="BodyText"/>
      </w:pPr>
      <w:r>
        <w:t xml:space="preserve">— Добавим необходимые пакеты. В процессе установки менеджер пакетов разрешает зависимости и компилирует библиотеки.</w:t>
      </w:r>
      <w:r>
        <w:t xml:space="preserve"> </w:t>
      </w:r>
      <w:r>
        <w:t xml:space="preserve">На данном этапе устанавливаются: DrWatson, DifferentialEquations, Plots, DataFrames, CSV, JLD2, Literate, IJulia (</w:t>
      </w:r>
      <w:r>
        <w:t xml:space="preserve">[рис. @fig-009]</w:t>
      </w:r>
      <w:r>
        <w:t xml:space="preserve">).</w:t>
      </w:r>
    </w:p>
    <w:bookmarkStart w:id="49" w:name="fig-009"/>
    <w:p>
      <w:pPr>
        <w:pStyle w:val="CaptionedFigure"/>
      </w:pPr>
      <w:r>
        <w:drawing>
          <wp:inline>
            <wp:extent cx="3733800" cy="2661239"/>
            <wp:effectExtent b="0" l="0" r="0" t="0"/>
            <wp:docPr descr="Процесс установки основных пакетов" title="" id="47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2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основных пакетов</w:t>
      </w:r>
    </w:p>
    <w:bookmarkEnd w:id="49"/>
    <w:p>
      <w:pPr>
        <w:pStyle w:val="BodyText"/>
      </w:pPr>
      <w:r>
        <w:t xml:space="preserve">— Завершим установку, добавив BenchmarkTools и Quarto. После успешной компиляции закроем REPL командой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).</w:t>
      </w:r>
    </w:p>
    <w:bookmarkStart w:id="53" w:name="fig-010"/>
    <w:p>
      <w:pPr>
        <w:pStyle w:val="CaptionedFigure"/>
      </w:pPr>
      <w:r>
        <w:drawing>
          <wp:inline>
            <wp:extent cx="3733800" cy="2389632"/>
            <wp:effectExtent b="0" l="0" r="0" t="0"/>
            <wp:docPr descr="Установка BenchmarkTools и Quarto" title="" id="51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220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BenchmarkTools и Quarto</w:t>
      </w:r>
    </w:p>
    <w:bookmarkEnd w:id="53"/>
    <w:p>
      <w:pPr>
        <w:pStyle w:val="BodyText"/>
      </w:pPr>
      <w:r>
        <w:t xml:space="preserve">— Проверим работоспособность окружения. Запустим тестовый скрипт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julia --project=. scripts/test_setup.jl</w:t>
      </w:r>
      <w:r>
        <w:t xml:space="preserve">.</w:t>
      </w:r>
      <w:r>
        <w:t xml:space="preserve"> </w:t>
      </w:r>
      <w:r>
        <w:t xml:space="preserve">Скрипт последовательно импортирует все пакеты и выводит структуру проекта с путями к каталогам данных, скриптов и графиков (</w:t>
      </w:r>
      <w:r>
        <w:t xml:space="preserve">[рис. @fig-011]</w:t>
      </w:r>
      <w:r>
        <w:t xml:space="preserve">).</w:t>
      </w:r>
    </w:p>
    <w:bookmarkStart w:id="57" w:name="fig-011"/>
    <w:p>
      <w:pPr>
        <w:pStyle w:val="CaptionedFigure"/>
      </w:pPr>
      <w:r>
        <w:drawing>
          <wp:inline>
            <wp:extent cx="3733800" cy="2363598"/>
            <wp:effectExtent b="0" l="0" r="0" t="0"/>
            <wp:docPr descr="Результат выполнения тестового скрипта" title="" id="55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24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тестового скрипта</w:t>
      </w:r>
    </w:p>
    <w:bookmarkEnd w:id="57"/>
    <w:p>
      <w:pPr>
        <w:pStyle w:val="BodyText"/>
      </w:pPr>
      <w:r>
        <w:t xml:space="preserve">— Рассмотрим исходный код скрипта</w:t>
      </w:r>
      <w:r>
        <w:t xml:space="preserve"> </w:t>
      </w:r>
      <w:r>
        <w:rPr>
          <w:rStyle w:val="VerbatimChar"/>
        </w:rPr>
        <w:t xml:space="preserve">test_setup.jl</w:t>
      </w:r>
      <w:r>
        <w:t xml:space="preserve"> </w:t>
      </w:r>
      <w:r>
        <w:t xml:space="preserve">в редакторе.</w:t>
      </w:r>
      <w:r>
        <w:t xml:space="preserve"> </w:t>
      </w:r>
      <w:r>
        <w:t xml:space="preserve">Для каждого пакета из списка выполняется попытка загрузки через</w:t>
      </w:r>
      <w:r>
        <w:t xml:space="preserve"> </w:t>
      </w:r>
      <w:r>
        <w:rPr>
          <w:rStyle w:val="VerbatimChar"/>
        </w:rPr>
        <w:t xml:space="preserve">eval(Meta.parse("using $pkg"))</w:t>
      </w:r>
      <w:r>
        <w:t xml:space="preserve">; результат (успех или ошибка) выводится в терминал (</w:t>
      </w:r>
      <w:r>
        <w:t xml:space="preserve">[рис. @fig-012]</w:t>
      </w:r>
      <w:r>
        <w:t xml:space="preserve">).</w:t>
      </w:r>
    </w:p>
    <w:bookmarkStart w:id="61" w:name="fig-012"/>
    <w:p>
      <w:pPr>
        <w:pStyle w:val="CaptionedFigure"/>
      </w:pPr>
      <w:r>
        <w:drawing>
          <wp:inline>
            <wp:extent cx="3733800" cy="1787814"/>
            <wp:effectExtent b="0" l="0" r="0" t="0"/>
            <wp:docPr descr="Код скрипта test_setup.jl" title="" id="5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4-2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test_setup.jl</w:t>
      </w:r>
    </w:p>
    <w:bookmarkEnd w:id="61"/>
    <w:bookmarkEnd w:id="62"/>
    <w:bookmarkStart w:id="107" w:name="модель-экспоненциального-роста"/>
    <w:p>
      <w:pPr>
        <w:pStyle w:val="Heading2"/>
      </w:pPr>
      <w:r>
        <w:t xml:space="preserve">Модель экспоненциального роста</w:t>
      </w:r>
    </w:p>
    <w:p>
      <w:pPr>
        <w:pStyle w:val="FirstParagraph"/>
      </w:pPr>
      <w:r>
        <w:t xml:space="preserve">— Создадим скрипт</w:t>
      </w:r>
      <w:r>
        <w:t xml:space="preserve"> </w:t>
      </w:r>
      <w:r>
        <w:rPr>
          <w:rStyle w:val="VerbatimChar"/>
        </w:rPr>
        <w:t xml:space="preserve">scripts/01_exponential_growth.jl</w:t>
      </w:r>
      <w:r>
        <w:t xml:space="preserve">. В редакторе VS Code видна его структура: подключение пакетов, определение функции</w:t>
      </w:r>
      <w:r>
        <w:t xml:space="preserve"> </w:t>
      </w:r>
      <w:r>
        <w:rPr>
          <w:rStyle w:val="VerbatimChar"/>
        </w:rPr>
        <w:t xml:space="preserve">exponential_growth!</w:t>
      </w:r>
      <w:r>
        <w:t xml:space="preserve">,</w:t>
      </w:r>
      <w:r>
        <w:t xml:space="preserve"> </w:t>
      </w:r>
      <w:r>
        <w:t xml:space="preserve">задание начальных условий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 интервал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), численное решение через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с методом Tsit5 и визуализация (</w:t>
      </w:r>
      <w:r>
        <w:t xml:space="preserve">[рис. @fig-013]</w:t>
      </w:r>
      <w:r>
        <w:t xml:space="preserve">).</w:t>
      </w:r>
    </w:p>
    <w:bookmarkStart w:id="66" w:name="fig-013"/>
    <w:p>
      <w:pPr>
        <w:pStyle w:val="CaptionedFigure"/>
      </w:pPr>
      <w:r>
        <w:drawing>
          <wp:inline>
            <wp:extent cx="3733800" cy="577564"/>
            <wp:effectExtent b="0" l="0" r="0" t="0"/>
            <wp:docPr descr="Код скрипта 01_exponential_growth.jl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5-0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01_exponential_growth.jl</w:t>
      </w:r>
    </w:p>
    <w:bookmarkEnd w:id="66"/>
    <w:p>
      <w:pPr>
        <w:pStyle w:val="BodyText"/>
      </w:pPr>
      <w:r>
        <w:t xml:space="preserve">— Запустим скрипт командой</w:t>
      </w:r>
      <w:r>
        <w:t xml:space="preserve"> </w:t>
      </w:r>
      <w:r>
        <w:rPr>
          <w:rStyle w:val="VerbatimChar"/>
        </w:rPr>
        <w:t xml:space="preserve">julia --project=. scripts/01_exponential_growth.jl</w:t>
      </w:r>
      <w:r>
        <w:t xml:space="preserve">.</w:t>
      </w:r>
      <w:r>
        <w:t xml:space="preserve"> </w:t>
      </w:r>
      <w:r>
        <w:t xml:space="preserve">Вывод содержит первые пять строк DataFrame с колонками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</w:t>
      </w:r>
      <w:r>
        <w:t xml:space="preserve">, а также вычисленное аналитическое время удвоения: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2.31</m:t>
        </m:r>
      </m:oMath>
      <w:r>
        <w:t xml:space="preserve">,</w:t>
      </w:r>
      <w:r>
        <w:t xml:space="preserve"> </w:t>
      </w:r>
      <w:r>
        <w:t xml:space="preserve">что совпадает с аналитическим значением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≈</m:t>
        </m:r>
        <m:r>
          <m:t>2.31</m:t>
        </m:r>
      </m:oMath>
      <w:r>
        <w:t xml:space="preserve"> </w:t>
      </w:r>
      <w:r>
        <w:t xml:space="preserve">(</w:t>
      </w:r>
      <w:r>
        <w:t xml:space="preserve">[рис. @fig-014]</w:t>
      </w:r>
      <w:r>
        <w:t xml:space="preserve">).</w:t>
      </w:r>
    </w:p>
    <w:bookmarkStart w:id="70" w:name="fig-014"/>
    <w:p>
      <w:pPr>
        <w:pStyle w:val="CaptionedFigure"/>
      </w:pPr>
      <w:r>
        <w:drawing>
          <wp:inline>
            <wp:extent cx="3733800" cy="294773"/>
            <wp:effectExtent b="0" l="0" r="0" t="0"/>
            <wp:docPr descr="Запуск скрипта и вывод результатов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7-4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и вывод результатов</w:t>
      </w:r>
    </w:p>
    <w:bookmarkEnd w:id="70"/>
    <w:p>
      <w:pPr>
        <w:pStyle w:val="BodyText"/>
      </w:pPr>
      <w:r>
        <w:t xml:space="preserve">— Рассмотрим шаблон литературного скрипта</w:t>
      </w:r>
      <w:r>
        <w:t xml:space="preserve"> </w:t>
      </w:r>
      <w:r>
        <w:rPr>
          <w:rStyle w:val="VerbatimChar"/>
        </w:rPr>
        <w:t xml:space="preserve">intro.jl</w:t>
      </w:r>
      <w:r>
        <w:t xml:space="preserve">.</w:t>
      </w:r>
      <w:r>
        <w:t xml:space="preserve"> </w:t>
      </w:r>
      <w:r>
        <w:t xml:space="preserve">Он демонстрирует базовую структуру: подключение DrWatson, активация проекта через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, включение вспомогательных файлов из каталога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</w:t>
      </w:r>
      <w:r>
        <w:t xml:space="preserve">[рис. @fig-015]</w:t>
      </w:r>
      <w:r>
        <w:t xml:space="preserve">).</w:t>
      </w:r>
    </w:p>
    <w:bookmarkStart w:id="74" w:name="fig-015"/>
    <w:p>
      <w:pPr>
        <w:pStyle w:val="CaptionedFigure"/>
      </w:pPr>
      <w:r>
        <w:drawing>
          <wp:inline>
            <wp:extent cx="3733800" cy="2183736"/>
            <wp:effectExtent b="0" l="0" r="0" t="0"/>
            <wp:docPr descr="Шаблон литературного скрипта intro.jl" title="" id="7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8-4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литературного скрипта intro.jl</w:t>
      </w:r>
    </w:p>
    <w:bookmarkEnd w:id="74"/>
    <w:p>
      <w:pPr>
        <w:pStyle w:val="BodyText"/>
      </w:pPr>
      <w:r>
        <w:t xml:space="preserve">— Создадим скрипт-генератор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.</w:t>
      </w:r>
      <w:r>
        <w:t xml:space="preserve"> </w:t>
      </w:r>
      <w:r>
        <w:t xml:space="preserve">Он принимает путь к литературному скрипту в качестве аргумента и автоматически формирует три созданных файла: чистый Julia-скрипт, документ Quarto и Jupyter-ноутбук (</w:t>
      </w:r>
      <w:r>
        <w:t xml:space="preserve">[рис. @fig-016]</w:t>
      </w:r>
      <w:r>
        <w:t xml:space="preserve">).</w:t>
      </w:r>
    </w:p>
    <w:bookmarkStart w:id="78" w:name="fig-016"/>
    <w:p>
      <w:pPr>
        <w:pStyle w:val="CaptionedFigure"/>
      </w:pPr>
      <w:r>
        <w:drawing>
          <wp:inline>
            <wp:extent cx="3733800" cy="1160877"/>
            <wp:effectExtent b="0" l="0" r="0" t="0"/>
            <wp:docPr descr="Код скрипта tangle.jl" title="" id="7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46-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bookmarkEnd w:id="78"/>
    <w:p>
      <w:pPr>
        <w:pStyle w:val="BodyText"/>
      </w:pPr>
      <w:r>
        <w:t xml:space="preserve">— Запустим генератор:</w:t>
      </w:r>
      <w:r>
        <w:t xml:space="preserve"> </w:t>
      </w:r>
      <w:r>
        <w:rPr>
          <w:rStyle w:val="VerbatimChar"/>
        </w:rPr>
        <w:t xml:space="preserve">julia --project=. scripts/tangle.jl scripts/01_exponential_growth.jl</w:t>
      </w:r>
      <w:r>
        <w:t xml:space="preserve">.</w:t>
      </w:r>
      <w:r>
        <w:t xml:space="preserve"> </w:t>
      </w:r>
      <w:r>
        <w:t xml:space="preserve">Последовательно создаются чистый скрипт, Quarto-страница в каталоге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 Jupyter-ноутбук в каталоге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. Работа завершается сообщением «Готово!</w:t>
      </w:r>
      <w:r>
        <w:t xml:space="preserve"> </w:t>
      </w:r>
      <w:r>
        <w:t xml:space="preserve">Все файлы созданы.» (</w:t>
      </w:r>
      <w:r>
        <w:t xml:space="preserve">[рис. @fig-017]</w:t>
      </w:r>
      <w:r>
        <w:t xml:space="preserve">).</w:t>
      </w:r>
    </w:p>
    <w:bookmarkStart w:id="82" w:name="fig-017"/>
    <w:p>
      <w:pPr>
        <w:pStyle w:val="CaptionedFigure"/>
      </w:pPr>
      <w:r>
        <w:drawing>
          <wp:inline>
            <wp:extent cx="3733800" cy="643758"/>
            <wp:effectExtent b="0" l="0" r="0" t="0"/>
            <wp:docPr descr="Генерация производных форматов командой tangle" title="" id="8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48-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производных форматов командой tangle</w:t>
      </w:r>
    </w:p>
    <w:bookmarkEnd w:id="82"/>
    <w:p>
      <w:pPr>
        <w:pStyle w:val="BodyText"/>
      </w:pPr>
      <w:r>
        <w:t xml:space="preserve">— Откроем сгенерированный ноутбук</w:t>
      </w:r>
      <w:r>
        <w:t xml:space="preserve"> </w:t>
      </w:r>
      <w:r>
        <w:rPr>
          <w:rStyle w:val="VerbatimChar"/>
        </w:rPr>
        <w:t xml:space="preserve">notebooks/01_exponential_growth/01_exponential_growth.ipynb</w:t>
      </w:r>
      <w:r>
        <w:t xml:space="preserve"> </w:t>
      </w:r>
      <w:r>
        <w:t xml:space="preserve">в браузере через JupyterLab.</w:t>
      </w:r>
      <w:r>
        <w:t xml:space="preserve"> </w:t>
      </w:r>
      <w:r>
        <w:t xml:space="preserve">Ноутбук имеет структурированные разделы: инициализация, определение модели, первый запуск с параметрами по умолчанию (</w:t>
      </w:r>
      <w:r>
        <w:t xml:space="preserve">[рис. @fig-018]</w:t>
      </w:r>
      <w:r>
        <w:t xml:space="preserve">).</w:t>
      </w:r>
    </w:p>
    <w:bookmarkStart w:id="86" w:name="fig-018"/>
    <w:p>
      <w:pPr>
        <w:pStyle w:val="CaptionedFigure"/>
      </w:pPr>
      <w:r>
        <w:drawing>
          <wp:inline>
            <wp:extent cx="3733800" cy="2540422"/>
            <wp:effectExtent b="0" l="0" r="0" t="0"/>
            <wp:docPr descr="Jupyter-ноутбук 01_exponential_growth.ipynb в JupyterLab" title="" id="8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2-4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01_exponential_growth.ipynb в JupyterLab</w:t>
      </w:r>
    </w:p>
    <w:bookmarkEnd w:id="86"/>
    <w:p>
      <w:pPr>
        <w:pStyle w:val="BodyText"/>
      </w:pPr>
      <w:r>
        <w:t xml:space="preserve">— В файле конфигурации отчёта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подключим поддержку Julia: зададим</w:t>
      </w:r>
      <w:r>
        <w:t xml:space="preserve"> </w:t>
      </w:r>
      <w:r>
        <w:rPr>
          <w:rStyle w:val="VerbatimChar"/>
        </w:rPr>
        <w:t xml:space="preserve">engine: julia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--project=../project</w:t>
      </w:r>
      <w:r>
        <w:t xml:space="preserve">.</w:t>
      </w:r>
      <w:r>
        <w:t xml:space="preserve"> </w:t>
      </w:r>
      <w:r>
        <w:t xml:space="preserve">Также настроим язык (</w:t>
      </w:r>
      <w:r>
        <w:rPr>
          <w:rStyle w:val="VerbatimChar"/>
        </w:rPr>
        <w:t xml:space="preserve">lang: ru-RU</w:t>
      </w:r>
      <w:r>
        <w:t xml:space="preserve">), нумерацию разделов и оглавление (</w:t>
      </w:r>
      <w:r>
        <w:t xml:space="preserve">[рис. @fig-019]</w:t>
      </w:r>
      <w:r>
        <w:t xml:space="preserve">).</w:t>
      </w:r>
    </w:p>
    <w:bookmarkStart w:id="90" w:name="fig-019"/>
    <w:p>
      <w:pPr>
        <w:pStyle w:val="CaptionedFigure"/>
      </w:pPr>
      <w:r>
        <w:drawing>
          <wp:inline>
            <wp:extent cx="3733800" cy="2971800"/>
            <wp:effectExtent b="0" l="0" r="0" t="0"/>
            <wp:docPr descr="Настройка файла _quarto.yml" title="" id="8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5-1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файла _quarto.yml</w:t>
      </w:r>
    </w:p>
    <w:bookmarkEnd w:id="90"/>
    <w:p>
      <w:pPr>
        <w:pStyle w:val="BodyText"/>
      </w:pPr>
      <w:r>
        <w:t xml:space="preserve">— В преамбуле LaTeX</w:t>
      </w:r>
      <w:r>
        <w:t xml:space="preserve"> </w:t>
      </w:r>
      <w:r>
        <w:rPr>
          <w:rStyle w:val="VerbatimChar"/>
        </w:rPr>
        <w:t xml:space="preserve">preamble.tex</w:t>
      </w:r>
      <w:r>
        <w:t xml:space="preserve"> </w:t>
      </w:r>
      <w:r>
        <w:t xml:space="preserve">добавим поддержку шрифта</w:t>
      </w:r>
      <w:r>
        <w:t xml:space="preserve"> </w:t>
      </w:r>
      <w:r>
        <w:rPr>
          <w:rStyle w:val="VerbatimChar"/>
        </w:rPr>
        <w:t xml:space="preserve">plex-otf</w:t>
      </w:r>
      <w:r>
        <w:t xml:space="preserve"> </w:t>
      </w:r>
      <w:r>
        <w:t xml:space="preserve">для корректного отображения кода Julia в PDF.</w:t>
      </w:r>
      <w:r>
        <w:t xml:space="preserve"> </w:t>
      </w:r>
      <w:r>
        <w:t xml:space="preserve">В качестве запасного варианта указан шрифт</w:t>
      </w:r>
      <w:r>
        <w:t xml:space="preserve"> </w:t>
      </w:r>
      <w:r>
        <w:rPr>
          <w:rStyle w:val="VerbatimChar"/>
        </w:rPr>
        <w:t xml:space="preserve">libertine</w:t>
      </w:r>
      <w:r>
        <w:t xml:space="preserve"> </w:t>
      </w:r>
      <w:r>
        <w:t xml:space="preserve">(</w:t>
      </w:r>
      <w:r>
        <w:t xml:space="preserve">[рис. @fig-020]</w:t>
      </w:r>
      <w:r>
        <w:t xml:space="preserve">).</w:t>
      </w:r>
    </w:p>
    <w:bookmarkStart w:id="94" w:name="fig-020"/>
    <w:p>
      <w:pPr>
        <w:pStyle w:val="CaptionedFigure"/>
      </w:pPr>
      <w:r>
        <w:drawing>
          <wp:inline>
            <wp:extent cx="3733800" cy="2971800"/>
            <wp:effectExtent b="0" l="0" r="0" t="0"/>
            <wp:docPr descr="Редактирование преамбулы preamble.tex" title="" id="9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9-0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преамбулы preamble.tex</w:t>
      </w:r>
    </w:p>
    <w:bookmarkEnd w:id="94"/>
    <w:p>
      <w:pPr>
        <w:pStyle w:val="BodyText"/>
      </w:pPr>
      <w:r>
        <w:t xml:space="preserve">— В файл отчёта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добавим директиву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 </w:t>
      </w:r>
      <w:r>
        <w:t xml:space="preserve">для подключения Quarto-документации первой модели.</w:t>
      </w:r>
      <w:r>
        <w:t xml:space="preserve"> </w:t>
      </w:r>
      <w:r>
        <w:t xml:space="preserve">Аналогичная директива предусмотрена для второй модели (</w:t>
      </w:r>
      <w:r>
        <w:t xml:space="preserve">[рис. @fig-021]</w:t>
      </w:r>
      <w:r>
        <w:t xml:space="preserve">).</w:t>
      </w:r>
    </w:p>
    <w:bookmarkStart w:id="98" w:name="fig-021"/>
    <w:p>
      <w:pPr>
        <w:pStyle w:val="CaptionedFigure"/>
      </w:pPr>
      <w:r>
        <w:drawing>
          <wp:inline>
            <wp:extent cx="3733800" cy="1818860"/>
            <wp:effectExtent b="0" l="0" r="0" t="0"/>
            <wp:docPr descr="Подключение документации в report.qmd" title="" id="9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9-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документации в report.qmd</w:t>
      </w:r>
    </w:p>
    <w:bookmarkEnd w:id="98"/>
    <w:p>
      <w:pPr>
        <w:pStyle w:val="BodyText"/>
      </w:pPr>
      <w:r>
        <w:t xml:space="preserve">— Создадим скрипт</w:t>
      </w:r>
      <w:r>
        <w:t xml:space="preserve"> </w:t>
      </w:r>
      <w:r>
        <w:rPr>
          <w:rStyle w:val="VerbatimChar"/>
        </w:rPr>
        <w:t xml:space="preserve">scripts/02_exponential_growth.jl</w:t>
      </w:r>
      <w:r>
        <w:t xml:space="preserve"> </w:t>
      </w:r>
      <w:r>
        <w:t xml:space="preserve">для параметрического сканирования.</w:t>
      </w:r>
      <w:r>
        <w:t xml:space="preserve"> </w:t>
      </w:r>
      <w:r>
        <w:t xml:space="preserve">При запуске программа перебирает значения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 </w:t>
      </w:r>
      <w:r>
        <w:t xml:space="preserve">и выводит сводную таблицу с финальной численностью популяции и временем удвоения</w:t>
      </w:r>
      <w:r>
        <w:t xml:space="preserve"> </w:t>
      </w:r>
      <w:r>
        <w:t xml:space="preserve">для каждого значения, а затем выполняет бенчмарки (</w:t>
      </w:r>
      <w:r>
        <w:t xml:space="preserve">[рис. @fig-022]</w:t>
      </w:r>
      <w:r>
        <w:t xml:space="preserve">).</w:t>
      </w:r>
    </w:p>
    <w:bookmarkStart w:id="102" w:name="fig-022"/>
    <w:p>
      <w:pPr>
        <w:pStyle w:val="CaptionedFigure"/>
      </w:pPr>
      <w:r>
        <w:drawing>
          <wp:inline>
            <wp:extent cx="3733800" cy="1818860"/>
            <wp:effectExtent b="0" l="0" r="0" t="0"/>
            <wp:docPr descr="Результат параметрического сканирования" title="" id="10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14-1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параметрического сканирования</w:t>
      </w:r>
    </w:p>
    <w:bookmarkEnd w:id="102"/>
    <w:p>
      <w:pPr>
        <w:pStyle w:val="BodyText"/>
      </w:pPr>
      <w:r>
        <w:t xml:space="preserve">— В заключительной части программы реализовано сохранение результатов моделирования в файл формата JLD2. Через макрос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 </w:t>
      </w:r>
      <w:r>
        <w:t xml:space="preserve">формируются файлы</w:t>
      </w:r>
      <w:r>
        <w:t xml:space="preserve"> </w:t>
      </w:r>
      <w:r>
        <w:rPr>
          <w:rStyle w:val="VerbatimChar"/>
        </w:rPr>
        <w:t xml:space="preserve">all_results.jld2</w:t>
      </w:r>
      <w:r>
        <w:t xml:space="preserve"> </w:t>
      </w:r>
      <w:r>
        <w:t xml:space="preserve">с параметрами, DataFrame и объектами графиков; в конце выводятся пути к сохранённым файлам и инструкция по загрузке (</w:t>
      </w:r>
      <w:r>
        <w:t xml:space="preserve">[рис. @fig-023]</w:t>
      </w:r>
      <w:r>
        <w:t xml:space="preserve">).</w:t>
      </w:r>
    </w:p>
    <w:bookmarkStart w:id="106" w:name="fig-023"/>
    <w:p>
      <w:pPr>
        <w:pStyle w:val="CaptionedFigure"/>
      </w:pPr>
      <w:r>
        <w:drawing>
          <wp:inline>
            <wp:extent cx="3733800" cy="1385426"/>
            <wp:effectExtent b="0" l="0" r="0" t="0"/>
            <wp:docPr descr="Блок сохранения результатов в 02_exponential_growth.jl" title="" id="10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14-5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 сохранения результатов в 02_exponential_growth.jl</w:t>
      </w:r>
    </w:p>
    <w:bookmarkEnd w:id="106"/>
    <w:p>
      <w:pPr>
        <w:pStyle w:val="BodyText"/>
      </w:pPr>
      <w:r>
        <w:t xml:space="preserve">Для второго скрипта повторим цикл генерации: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создадим чистый скрипт, Quarto-документ и Jupyter-ноутбук, выполним ноутбук и интегрируем</w:t>
      </w:r>
      <w:r>
        <w:t xml:space="preserve"> </w:t>
      </w:r>
      <w:r>
        <w:t xml:space="preserve">документацию в отчёт через вторую директиву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.</w:t>
      </w:r>
    </w:p>
    <w:p>
      <w:pPr>
        <w:pStyle w:val="BodyText"/>
      </w:pPr>
      <w:r>
        <w:t xml:space="preserve">{{&lt; include ../project/markdown/01_exponential_growth/01_exponential_growth.qmd &gt;}}</w:t>
      </w:r>
    </w:p>
    <w:p>
      <w:pPr>
        <w:pStyle w:val="BodyText"/>
      </w:pPr>
      <w:r>
        <w:t xml:space="preserve">{{&lt; include ../project/markdown/02_exponential_growth/02_exponential_growth.qmd &gt;}}</w:t>
      </w:r>
    </w:p>
    <w:bookmarkEnd w:id="107"/>
    <w:bookmarkEnd w:id="108"/>
    <w:bookmarkStart w:id="10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было подготовлено рабочее окружение для последующих лабораторных работ: настроен git с корректными параметрами безопасности и</w:t>
      </w:r>
      <w:r>
        <w:t xml:space="preserve"> </w:t>
      </w:r>
      <w:r>
        <w:t xml:space="preserve">SSH-ключом, установлен интерпретатор Julia 1.12.6, создан воспроизводимый проект DrWatson с набором необходимых пакетов.</w:t>
      </w:r>
      <w:r>
        <w:t xml:space="preserve"> </w:t>
      </w:r>
      <w:r>
        <w:t xml:space="preserve">Реализована модель экспоненциального роста, численное решение которой совпало с аналитическим (время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2.31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В ходе работы был освоен процесс преобразования литературного кода в обычный Julia-код, Jupyter Notebook и документацию Quarto.</w:t>
      </w:r>
      <w:r>
        <w:t xml:space="preserve"> </w:t>
      </w:r>
      <w:r>
        <w:t xml:space="preserve">Расширенная версия модели продемонстрировала параметрическое сканирование с сохранением всех результатов через механизм DrWatson.</w:t>
      </w:r>
    </w:p>
    <w:bookmarkEnd w:id="109"/>
    <w:bookmarkStart w:id="111" w:name="список-литературы"/>
    <w:p>
      <w:pPr>
        <w:pStyle w:val="Heading1"/>
      </w:pPr>
      <w:r>
        <w:t xml:space="preserve">Список литературы</w:t>
      </w:r>
    </w:p>
    <w:bookmarkStart w:id="110" w:name="refs"/>
    <w:bookmarkEnd w:id="110"/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p>
      <w:pPr>
        <w:numPr>
          <w:ilvl w:val="0"/>
          <w:numId w:val="1001"/>
        </w:numPr>
      </w:pPr>
      <w:r>
        <w:t xml:space="preserve">Имитационное моделирование. Практикум / А. В. Королькова, Д. С. Кулябов. — Москва : РУДН, 2025.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/>
  <cp:keywords/>
  <dcterms:created xsi:type="dcterms:W3CDTF">2026-06-16T10:04:07Z</dcterms:created>
  <dcterms:modified xsi:type="dcterms:W3CDTF">2026-06-16T10:04:07Z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license">
    <vt:lpwstr>CC BY</vt:lpwstr>
  </property>
  <property fmtid="{D5CDD505-2E9C-101B-9397-08002B2CF9AE}" pid="4" name="subtitle">
    <vt:lpwstr>Подготовка стенда</vt:lpwstr>
  </property>
</Properties>
</file>