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  <Override PartName="/word/media/rId80.png" ContentType="image/png"/>
  <Override PartName="/word/media/rId83.png" ContentType="image/png"/>
  <Override PartName="/word/media/rId89.png" ContentType="image/png"/>
  <Override PartName="/word/media/rId86.png" ContentType="image/png"/>
  <Override PartName="/word/media/rId74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7.png" ContentType="image/png"/>
  <Override PartName="/word/media/rId124.png" ContentType="image/png"/>
  <Override PartName="/word/media/rId112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8.png" ContentType="image/png"/>
  <Override PartName="/word/media/rId105.png" ContentType="image/png"/>
  <Override PartName="/word/media/rId93.png" ContentType="image/png"/>
  <Override PartName="/word/media/rId34.png" ContentType="image/png"/>
  <Override PartName="/word/media/rId37.png" ContentType="image/png"/>
  <Override PartName="/word/media/rId63.png" ContentType="image/png"/>
  <Override PartName="/word/media/rId66.png" ContentType="image/png"/>
  <Override PartName="/word/media/rId26.png" ContentType="image/png"/>
  <Override PartName="/word/media/rId23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задача заключалась в освоении методов кодирования и модуляции сигналов с применением языка Octave. В рамках работы предстояло изучить их спектральные характеристики, параметры, а также проверить механизмы самосинхронизации.</w:t>
      </w:r>
    </w:p>
    <w:p>
      <w:r>
        <w:pict>
          <v:rect style="width:0;height:1.5pt" o:hralign="center" o:hrstd="t" o:hr="t"/>
        </w:pict>
      </w:r>
    </w:p>
    <w:bookmarkEnd w:id="20"/>
    <w:bookmarkStart w:id="132" w:name="выполнение-задани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</w:t>
      </w:r>
    </w:p>
    <w:bookmarkStart w:id="30" w:name="визуализация-функций-в-octa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Визуализация функций в Octave</w:t>
      </w:r>
    </w:p>
    <w:bookmarkStart w:id="21" w:name="задач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Необходимо было построить графики двух функций: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 интервале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;</m:t>
              </m:r>
              <m:r>
                <m:t>10</m:t>
              </m:r>
            </m:e>
          </m:d>
        </m:oMath>
      </m:oMathPara>
    </w:p>
    <w:p>
      <w:pPr>
        <w:pStyle w:val="FirstParagraph"/>
      </w:pPr>
      <w:r>
        <w:t xml:space="preserve">и сохранить результаты в формате</w:t>
      </w:r>
      <w:r>
        <w:t xml:space="preserve"> </w:t>
      </w:r>
      <w:r>
        <w:rPr>
          <w:rStyle w:val="VerbatimChar"/>
        </w:rPr>
        <w:t xml:space="preserve">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</w:p>
    <w:bookmarkEnd w:id="21"/>
    <w:bookmarkStart w:id="22" w:name="этапы-решения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Этапы решения</w:t>
      </w:r>
    </w:p>
    <w:p>
      <w:pPr>
        <w:numPr>
          <w:ilvl w:val="0"/>
          <w:numId w:val="1001"/>
        </w:numPr>
        <w:pStyle w:val="Compact"/>
      </w:pPr>
      <w:r>
        <w:t xml:space="preserve">В скрипте был задан диапазон изменения аргумента</w:t>
      </w:r>
    </w:p>
    <w:p>
      <w:pPr>
        <w:pStyle w:val="Compact"/>
      </w:pPr>
      <m:oMathPara>
        <m:oMathParaPr>
          <m:jc m:val="center"/>
        </m:oMathParaPr>
        <m:oMath>
          <m:r>
            <m:t>x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Определены выражения для функций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0"/>
        </w:numPr>
        <w:pStyle w:val="Compact"/>
      </w:pPr>
      <w:r>
        <w:t xml:space="preserve">и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numPr>
          <w:ilvl w:val="0"/>
          <w:numId w:val="1000"/>
        </w:numPr>
        <w:pStyle w:val="Compact"/>
      </w:pP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Построен график функции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0"/>
        </w:numPr>
        <w:pStyle w:val="Compact"/>
      </w:pPr>
      <w:r>
        <w:t xml:space="preserve">и сохранён в нужных форматах.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 одном графике совместно изображены обе функции с добавлением легенды.</w:t>
      </w:r>
    </w:p>
    <w:bookmarkEnd w:id="22"/>
    <w:bookmarkStart w:id="29" w:name="итог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Итоги</w:t>
      </w:r>
    </w:p>
    <w:p>
      <w:pPr>
        <w:pStyle w:val="FirstParagraph"/>
      </w:pPr>
      <w:r>
        <w:t xml:space="preserve">График первой функции представлен на рис. 1, а изображение обеих функций одновременно — на рис. 2.</w:t>
      </w:r>
    </w:p>
    <w:p>
      <w:pPr>
        <w:pStyle w:val="CaptionedFigure"/>
      </w:pPr>
      <w:r>
        <w:drawing>
          <wp:inline>
            <wp:extent cx="5334000" cy="4001795"/>
            <wp:effectExtent b="0" l="0" r="0" t="0"/>
            <wp:docPr descr="График функции y1" title="" id="24" name="Picture"/>
            <a:graphic>
              <a:graphicData uri="http://schemas.openxmlformats.org/drawingml/2006/picture">
                <pic:pic>
                  <pic:nvPicPr>
                    <pic:cNvPr descr="octave-files/plot-s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 y1</w:t>
      </w:r>
    </w:p>
    <w:p>
      <w:pPr>
        <w:pStyle w:val="CaptionedFigure"/>
      </w:pPr>
      <w:r>
        <w:drawing>
          <wp:inline>
            <wp:extent cx="5334000" cy="4001795"/>
            <wp:effectExtent b="0" l="0" r="0" t="0"/>
            <wp:docPr descr="Графики функций y1 и y2" title="" id="27" name="Picture"/>
            <a:graphic>
              <a:graphicData uri="http://schemas.openxmlformats.org/drawingml/2006/picture">
                <pic:pic>
                  <pic:nvPicPr>
                    <pic:cNvPr descr="octave-files/plot-sin-co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функций y1 и y2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приближение-меандра-рядом-фурь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Приближение меандра рядом Фурье</w:t>
      </w:r>
    </w:p>
    <w:bookmarkStart w:id="31" w:name="задача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Нужно было исследовать приближения меандра при увеличении числа нечётных гармоник, рассматривая разложения через ряды синусов и косинусов.</w:t>
      </w:r>
    </w:p>
    <w:bookmarkEnd w:id="31"/>
    <w:bookmarkStart w:id="32" w:name="параметры-моделирова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Параметры моделирования</w:t>
      </w:r>
    </w:p>
    <w:p>
      <w:pPr>
        <w:numPr>
          <w:ilvl w:val="0"/>
          <w:numId w:val="1002"/>
        </w:numPr>
        <w:pStyle w:val="Compact"/>
      </w:pPr>
      <w:r>
        <w:t xml:space="preserve">количество гармоник: 8;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временной диапазон: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</m:e>
          </m:d>
        </m:oMath>
      </m:oMathPara>
    </w:p>
    <w:p>
      <w:pPr>
        <w:numPr>
          <w:ilvl w:val="0"/>
          <w:numId w:val="1000"/>
        </w:numPr>
        <w:pStyle w:val="Compact"/>
      </w:pPr>
      <w:r>
        <w:t xml:space="preserve">с шагом 0.01;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амплитуда сигнала: 1;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период: 1.</w:t>
      </w:r>
    </w:p>
    <w:p>
      <w:pPr>
        <w:pStyle w:val="FirstParagraph"/>
      </w:pPr>
      <w:r>
        <w:t xml:space="preserve">Амплитуда каждой нечётной гармоники обратно пропорциональна её номеру.</w:t>
      </w:r>
    </w:p>
    <w:bookmarkEnd w:id="32"/>
    <w:bookmarkStart w:id="33" w:name="ход-работы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Ход работы</w:t>
      </w:r>
    </w:p>
    <w:p>
      <w:pPr>
        <w:numPr>
          <w:ilvl w:val="0"/>
          <w:numId w:val="1003"/>
        </w:numPr>
        <w:pStyle w:val="Compact"/>
      </w:pPr>
      <w:r>
        <w:t xml:space="preserve">Построены частичные суммы ряда Фурье при числе гармоник от 1 до 8.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Получены два набора графиков: для cos-разложения (с чередующимися знаками) и для sin-разложения (только положительные члены).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Каждый вариант показан в отдельной области окна для наглядного сравнения.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Результаты сохранены в виде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изображений.</w:t>
      </w:r>
    </w:p>
    <w:bookmarkEnd w:id="33"/>
    <w:bookmarkStart w:id="40" w:name="выводы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Выводы</w:t>
      </w:r>
    </w:p>
    <w:p>
      <w:pPr>
        <w:numPr>
          <w:ilvl w:val="0"/>
          <w:numId w:val="1004"/>
        </w:numPr>
        <w:pStyle w:val="Compact"/>
      </w:pPr>
      <w:r>
        <w:t xml:space="preserve">При малом числе гармоник сигнал близок к синусоидальной форме.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С ростом числа гармоник фронты становятся более крутыми, сигнал всё больше напоминает прямоугольный.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Вблизи точек разрыва наблюдается эффект Гиббса, сохраняющийся при любом числе гармоник.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Оба варианта разложения дают одинаковое качество приближения.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Меандр через cos-ряд" title="" id="35" name="Picture"/>
            <a:graphic>
              <a:graphicData uri="http://schemas.openxmlformats.org/drawingml/2006/picture">
                <pic:pic>
                  <pic:nvPicPr>
                    <pic:cNvPr descr="octave-files/meandr-c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через cos-ряд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Меандр через sin-ряд" title="" id="38" name="Picture"/>
            <a:graphic>
              <a:graphicData uri="http://schemas.openxmlformats.org/drawingml/2006/picture">
                <pic:pic>
                  <pic:nvPicPr>
                    <pic:cNvPr descr="octave-files/meandr-s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через sin-ряд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0" w:name="спектры-и-параметры-сиг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Спектры и параметры сигналов</w:t>
      </w:r>
    </w:p>
    <w:bookmarkStart w:id="42" w:name="задача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Рассмотреть два гармонических сигнала с разными частотами, их спектры и спектр их суммы. Дополнительно исследовать влияние уменьшения частоты дискретизации ниже 80 Гц.</w:t>
      </w:r>
    </w:p>
    <w:bookmarkEnd w:id="42"/>
    <w:bookmarkStart w:id="43" w:name="этапы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Этапы</w:t>
      </w:r>
    </w:p>
    <w:p>
      <w:pPr>
        <w:numPr>
          <w:ilvl w:val="0"/>
          <w:numId w:val="1005"/>
        </w:numPr>
        <w:pStyle w:val="Compac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spectre1</w:t>
      </w:r>
      <w:r>
        <w:t xml:space="preserve"> </w:t>
      </w:r>
      <w:r>
        <w:t xml:space="preserve">заданы параметры: длительность 0.5 с, частота дискретизации 512 Гц, частоты 10 и 40 Гц, амплитуды 1 и 0.7.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Сгенерированы два сигнала: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br/>
      </w:r>
    </w:p>
    <w:p>
      <w:pPr>
        <w:numPr>
          <w:ilvl w:val="0"/>
          <w:numId w:val="1005"/>
        </w:numPr>
        <w:pStyle w:val="Compact"/>
      </w:pPr>
      <w:r>
        <w:t xml:space="preserve">Выполнено построение графиков и расчёт спектров с применением БПФ.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Произведена нормировка и удаление отрицательных частот.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Для суммарного сигнала в каталоге</w:t>
      </w:r>
      <w:r>
        <w:t xml:space="preserve"> </w:t>
      </w:r>
      <w:r>
        <w:rPr>
          <w:rStyle w:val="VerbatimChar"/>
        </w:rPr>
        <w:t xml:space="preserve">spectre_sum</w:t>
      </w:r>
      <w:r>
        <w:t xml:space="preserve"> </w:t>
      </w:r>
      <w:r>
        <w:t xml:space="preserve">вычислен спектр.</w:t>
      </w:r>
    </w:p>
    <w:bookmarkEnd w:id="43"/>
    <w:bookmarkStart w:id="59" w:name="результаты-и-выводы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Результаты и выводы</w:t>
      </w:r>
    </w:p>
    <w:p>
      <w:pPr>
        <w:numPr>
          <w:ilvl w:val="0"/>
          <w:numId w:val="1006"/>
        </w:numPr>
        <w:pStyle w:val="Compact"/>
      </w:pPr>
      <w:r>
        <w:t xml:space="preserve">При дискретизации 512 Гц спектры отображаются корректно, пики чётко выделяются.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Суммарный спектр совпадает с суперпозицией отдельных спектров.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При снижении частоты дискретизации ниже 80 Гц возникает эффект алиасинга: сигнал 40 Гц отображается искажённо.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Для корректной дискретизации необходимо соблюдать критерий Найквиста–Котельникова.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Два синусоидальных сигнала" title="" id="45" name="Picture"/>
            <a:graphic>
              <a:graphicData uri="http://schemas.openxmlformats.org/drawingml/2006/picture">
                <pic:pic>
                  <pic:nvPicPr>
                    <pic:cNvPr descr="octave-files/spectre1/signal/spectr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синусоидальных сигнала</w:t>
      </w:r>
    </w:p>
    <w:p>
      <w:pPr>
        <w:pStyle w:val="CaptionedFigure"/>
      </w:pPr>
      <w:r>
        <w:drawing>
          <wp:inline>
            <wp:extent cx="5334000" cy="4001795"/>
            <wp:effectExtent b="0" l="0" r="0" t="0"/>
            <wp:docPr descr="Спектры сигналов" title="" id="48" name="Picture"/>
            <a:graphic>
              <a:graphicData uri="http://schemas.openxmlformats.org/drawingml/2006/picture">
                <pic:pic>
                  <pic:nvPicPr>
                    <pic:cNvPr descr="octave-files/spectre1/spectre/spectr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Спектры сигналов</w:t>
      </w:r>
    </w:p>
    <w:p>
      <w:pPr>
        <w:pStyle w:val="CaptionedFigure"/>
      </w:pPr>
      <w:r>
        <w:drawing>
          <wp:inline>
            <wp:extent cx="5334000" cy="4001795"/>
            <wp:effectExtent b="0" l="0" r="0" t="0"/>
            <wp:docPr descr="Исправленный спектр" title="" id="51" name="Picture"/>
            <a:graphic>
              <a:graphicData uri="http://schemas.openxmlformats.org/drawingml/2006/picture">
                <pic:pic>
                  <pic:nvPicPr>
                    <pic:cNvPr descr="octave-files/spectre1/spectre/spectre_fix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Исправленный спектр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Суммарный сигнал" title="" id="54" name="Picture"/>
            <a:graphic>
              <a:graphicData uri="http://schemas.openxmlformats.org/drawingml/2006/picture">
                <pic:pic>
                  <pic:nvPicPr>
                    <pic:cNvPr descr="octave-files/spectre_sum/signal/spectre_sum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Суммарный сигнал</w:t>
      </w:r>
    </w:p>
    <w:p>
      <w:pPr>
        <w:pStyle w:val="CaptionedFigure"/>
      </w:pPr>
      <w:r>
        <w:drawing>
          <wp:inline>
            <wp:extent cx="5334000" cy="4001795"/>
            <wp:effectExtent b="0" l="0" r="0" t="0"/>
            <wp:docPr descr="Спектр суммы" title="" id="57" name="Picture"/>
            <a:graphic>
              <a:graphicData uri="http://schemas.openxmlformats.org/drawingml/2006/picture">
                <pic:pic>
                  <pic:nvPicPr>
                    <pic:cNvPr descr="octave-files/spectre_sum/spectre/spectre_su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суммы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демонстрация-амплитудной-модуляци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Демонстрация амплитудной модуляции</w:t>
      </w:r>
    </w:p>
    <w:bookmarkStart w:id="61" w:name="задача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Исследовать АМ путём модуляции низкочастотного сигнала синусоидой высокой частоты и рассмотреть его спектр.</w:t>
      </w:r>
    </w:p>
    <w:bookmarkEnd w:id="61"/>
    <w:bookmarkStart w:id="62" w:name="ход-работы-1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Ход работы</w:t>
      </w:r>
    </w:p>
    <w:p>
      <w:pPr>
        <w:numPr>
          <w:ilvl w:val="0"/>
          <w:numId w:val="1007"/>
        </w:numPr>
        <w:pStyle w:val="Compac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am.m</w:t>
      </w:r>
      <w:r>
        <w:t xml:space="preserve"> </w:t>
      </w:r>
      <w:r>
        <w:t xml:space="preserve">определены параметры: длительность 0.5 с, дискретизация 512 Гц, частоты: модулирующая — 5 Гц, несущая — 50 Гц.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Построены: модулирующий сигнал, несущая и АМ-сигнал: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br/>
      </w:r>
    </w:p>
    <w:p>
      <w:pPr>
        <w:numPr>
          <w:ilvl w:val="0"/>
          <w:numId w:val="1007"/>
        </w:numPr>
        <w:pStyle w:val="Compact"/>
      </w:pPr>
      <w:r>
        <w:t xml:space="preserve">Выполнено построение огибающей.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Получен спектр модулированного сигнала через БПФ.</w:t>
      </w:r>
    </w:p>
    <w:bookmarkEnd w:id="62"/>
    <w:bookmarkStart w:id="69" w:name="итоги-1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Итоги</w:t>
      </w:r>
    </w:p>
    <w:p>
      <w:pPr>
        <w:numPr>
          <w:ilvl w:val="0"/>
          <w:numId w:val="1008"/>
        </w:numPr>
        <w:pStyle w:val="Compact"/>
      </w:pPr>
      <w:r>
        <w:t xml:space="preserve">На графике видна огибающая, совпадающая с модулирующим сигналом.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Спектр состоит из несущей и двух боковых полос, расположенных симметрично.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Результаты подтверждают принцип свёртки спектров.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АМ-сигнал и огибающая" title="" id="64" name="Picture"/>
            <a:graphic>
              <a:graphicData uri="http://schemas.openxmlformats.org/drawingml/2006/picture">
                <pic:pic>
                  <pic:nvPicPr>
                    <pic:cNvPr descr="octave-files/modulation/signal/am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АМ-сигнал и огибающая</w:t>
      </w:r>
    </w:p>
    <w:p>
      <w:pPr>
        <w:pStyle w:val="CaptionedFigure"/>
      </w:pPr>
      <w:r>
        <w:drawing>
          <wp:inline>
            <wp:extent cx="5334000" cy="4001795"/>
            <wp:effectExtent b="0" l="0" r="0" t="0"/>
            <wp:docPr descr="Спектр АМ-сигнала" title="" id="67" name="Picture"/>
            <a:graphic>
              <a:graphicData uri="http://schemas.openxmlformats.org/drawingml/2006/picture">
                <pic:pic>
                  <pic:nvPicPr>
                    <pic:cNvPr descr="octave-files/modulation/spectre/am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АМ-сигнала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131" w:name="линейное-кодирование-и-самосинхронизаци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Линейное кодирование и самосинхронизация</w:t>
      </w:r>
    </w:p>
    <w:bookmarkStart w:id="71" w:name="задача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Создать кодированные сигналы по заданным битовым последовательностям для разных схем кодирования, проверить устойчивость к длинным сериям одинаковых символов и сравнить спектры.</w:t>
      </w:r>
    </w:p>
    <w:bookmarkEnd w:id="71"/>
    <w:bookmarkStart w:id="72" w:name="проведённые-шаги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Проведённые шаги</w:t>
      </w:r>
    </w:p>
    <w:p>
      <w:pPr>
        <w:numPr>
          <w:ilvl w:val="0"/>
          <w:numId w:val="1009"/>
        </w:numPr>
        <w:pStyle w:val="Compact"/>
      </w:pPr>
      <w:r>
        <w:t xml:space="preserve">Сформированы три последовательности: основная, тестовая для длинных серий и набор для расчёта спектров.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Для каждого кода построены: форма сигнала, демонстрация самосинхронизации, спектр.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Рассмотренные методы: Unipolar, AMI, Bipolar NRZ, Bipolar RZ, Manchester, Differential Manchester.</w:t>
      </w:r>
    </w:p>
    <w:bookmarkEnd w:id="72"/>
    <w:bookmarkStart w:id="73" w:name="анализ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Анализ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Unipolar</w:t>
      </w:r>
      <w:r>
        <w:t xml:space="preserve">: отсутствие переходов при длинных сериях нулей, выраженная DC-составляющая.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AMI</w:t>
      </w:r>
      <w:r>
        <w:t xml:space="preserve">: единицы чередуют полярность, что устраняет DC. Проблема — длинные серии нулей.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Bipolar NRZ</w:t>
      </w:r>
      <w:r>
        <w:t xml:space="preserve">: синхронизация теряется при сериях одинаковых битов, подавление DC слабое.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Bipolar RZ</w:t>
      </w:r>
      <w:r>
        <w:t xml:space="preserve">: возврат к нулю в каждом такте повышает самосинхронизацию, но увеличивает ширину спектра.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Manchester</w:t>
      </w:r>
      <w:r>
        <w:t xml:space="preserve">: переход в середине такта обеспечивает надёжную синхронизацию, но удваивает эффективную полосу.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Differential Manchester</w:t>
      </w:r>
      <w:r>
        <w:t xml:space="preserve">: сохраняет свойства Manchester и устойчив к инверсии полярности канала.</w:t>
      </w:r>
    </w:p>
    <w:bookmarkEnd w:id="73"/>
    <w:bookmarkStart w:id="92" w:name="результаты-формы-сигналов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Результаты: формы сигналов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Unipolar" title="" id="75" name="Picture"/>
            <a:graphic>
              <a:graphicData uri="http://schemas.openxmlformats.org/drawingml/2006/picture">
                <pic:pic>
                  <pic:nvPicPr>
                    <pic:cNvPr descr="octave-files/coding/signal/unipolar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AMI" title="" id="78" name="Picture"/>
            <a:graphic>
              <a:graphicData uri="http://schemas.openxmlformats.org/drawingml/2006/picture">
                <pic:pic>
                  <pic:nvPicPr>
                    <pic:cNvPr descr="octave-files/coding/signal/ami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Bipolar NRZ" title="" id="81" name="Picture"/>
            <a:graphic>
              <a:graphicData uri="http://schemas.openxmlformats.org/drawingml/2006/picture">
                <pic:pic>
                  <pic:nvPicPr>
                    <pic:cNvPr descr="octave-files/coding/signal/bipolarnrz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Bipolar RZ" title="" id="84" name="Picture"/>
            <a:graphic>
              <a:graphicData uri="http://schemas.openxmlformats.org/drawingml/2006/picture">
                <pic:pic>
                  <pic:nvPicPr>
                    <pic:cNvPr descr="octave-files/coding/signal/bipolarrz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Manchester" title="" id="87" name="Picture"/>
            <a:graphic>
              <a:graphicData uri="http://schemas.openxmlformats.org/drawingml/2006/picture">
                <pic:pic>
                  <pic:nvPicPr>
                    <pic:cNvPr descr="octave-files/coding/signal/manchest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Differential Manchester" title="" id="90" name="Picture"/>
            <a:graphic>
              <a:graphicData uri="http://schemas.openxmlformats.org/drawingml/2006/picture">
                <pic:pic>
                  <pic:nvPicPr>
                    <pic:cNvPr descr="octave-files/coding/signal/diffmanc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111" w:name="результаты-самосинхронизация"/>
    <w:p>
      <w:pPr>
        <w:pStyle w:val="Heading3"/>
      </w:pPr>
      <w:r>
        <w:rPr>
          <w:rStyle w:val="SectionNumber"/>
        </w:rPr>
        <w:t xml:space="preserve">2.5.5</w:t>
      </w:r>
      <w:r>
        <w:tab/>
      </w:r>
      <w:r>
        <w:t xml:space="preserve">Результаты: самосинхронизация</w:t>
      </w:r>
    </w:p>
    <w:p>
      <w:pPr>
        <w:pStyle w:val="FirstParagraph"/>
      </w:pPr>
      <w:r>
        <w:drawing>
          <wp:inline>
            <wp:extent cx="5334000" cy="4001795"/>
            <wp:effectExtent b="0" l="0" r="0" t="0"/>
            <wp:docPr descr="Unipolar" title="" id="94" name="Picture"/>
            <a:graphic>
              <a:graphicData uri="http://schemas.openxmlformats.org/drawingml/2006/picture">
                <pic:pic>
                  <pic:nvPicPr>
                    <pic:cNvPr descr="octave-files/coding/sync/unipolar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AMI" title="" id="97" name="Picture"/>
            <a:graphic>
              <a:graphicData uri="http://schemas.openxmlformats.org/drawingml/2006/picture">
                <pic:pic>
                  <pic:nvPicPr>
                    <pic:cNvPr descr="octave-files/coding/sync/ami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Bipolar NRZ" title="" id="100" name="Picture"/>
            <a:graphic>
              <a:graphicData uri="http://schemas.openxmlformats.org/drawingml/2006/picture">
                <pic:pic>
                  <pic:nvPicPr>
                    <pic:cNvPr descr="octave-files/coding/sync/bipolarnrz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Bipolar RZ" title="" id="103" name="Picture"/>
            <a:graphic>
              <a:graphicData uri="http://schemas.openxmlformats.org/drawingml/2006/picture">
                <pic:pic>
                  <pic:nvPicPr>
                    <pic:cNvPr descr="octave-files/coding/sync/bipolarrz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Manchester" title="" id="106" name="Picture"/>
            <a:graphic>
              <a:graphicData uri="http://schemas.openxmlformats.org/drawingml/2006/picture">
                <pic:pic>
                  <pic:nvPicPr>
                    <pic:cNvPr descr="octave-files/coding/sync/mancheste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Differential Manchester" title="" id="109" name="Picture"/>
            <a:graphic>
              <a:graphicData uri="http://schemas.openxmlformats.org/drawingml/2006/picture">
                <pic:pic>
                  <pic:nvPicPr>
                    <pic:cNvPr descr="octave-files/coding/sync/diffmanc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30" w:name="результаты-спектры-сигналов"/>
    <w:p>
      <w:pPr>
        <w:pStyle w:val="Heading3"/>
      </w:pPr>
      <w:r>
        <w:rPr>
          <w:rStyle w:val="SectionNumber"/>
        </w:rPr>
        <w:t xml:space="preserve">2.5.6</w:t>
      </w:r>
      <w:r>
        <w:tab/>
      </w:r>
      <w:r>
        <w:t xml:space="preserve">Результаты: спектры сигналов</w:t>
      </w:r>
    </w:p>
    <w:p>
      <w:pPr>
        <w:pStyle w:val="FirstParagraph"/>
      </w:pPr>
      <w:r>
        <w:drawing>
          <wp:inline>
            <wp:extent cx="5334000" cy="4001795"/>
            <wp:effectExtent b="0" l="0" r="0" t="0"/>
            <wp:docPr descr="Unipolar" title="" id="113" name="Picture"/>
            <a:graphic>
              <a:graphicData uri="http://schemas.openxmlformats.org/drawingml/2006/picture">
                <pic:pic>
                  <pic:nvPicPr>
                    <pic:cNvPr descr="octave-files/coding/spectre/unipolar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AMI" title="" id="116" name="Picture"/>
            <a:graphic>
              <a:graphicData uri="http://schemas.openxmlformats.org/drawingml/2006/picture">
                <pic:pic>
                  <pic:nvPicPr>
                    <pic:cNvPr descr="octave-files/coding/spectre/ami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Bipolar NRZ" title="" id="119" name="Picture"/>
            <a:graphic>
              <a:graphicData uri="http://schemas.openxmlformats.org/drawingml/2006/picture">
                <pic:pic>
                  <pic:nvPicPr>
                    <pic:cNvPr descr="octave-files/coding/spectre/bipolarnrz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Bipolar RZ" title="" id="122" name="Picture"/>
            <a:graphic>
              <a:graphicData uri="http://schemas.openxmlformats.org/drawingml/2006/picture">
                <pic:pic>
                  <pic:nvPicPr>
                    <pic:cNvPr descr="octave-files/coding/spectre/bipolarrz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Manchester" title="" id="125" name="Picture"/>
            <a:graphic>
              <a:graphicData uri="http://schemas.openxmlformats.org/drawingml/2006/picture">
                <pic:pic>
                  <pic:nvPicPr>
                    <pic:cNvPr descr="octave-files/coding/spectre/manchester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1795"/>
            <wp:effectExtent b="0" l="0" r="0" t="0"/>
            <wp:docPr descr="Differential Manchester" title="" id="128" name="Picture"/>
            <a:graphic>
              <a:graphicData uri="http://schemas.openxmlformats.org/drawingml/2006/picture">
                <pic:pic>
                  <pic:nvPicPr>
                    <pic:cNvPr descr="octave-files/coding/spectre/diffmanc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Выполненная работа охватила ключевые методы формирования сигналов, их спектральный анализ, амплитудную модуляцию и линейное кодирование. Эксперименты в Octave подтвердили теоретические положения о разложении в ряд Фурье, критерии Найквиста, свойства самосинхронизации и спектральное распределение энергии. Полученные результаты закрепили практические навыки в области цифровой обработки сигналов.</w:t>
      </w:r>
    </w:p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86" Target="media/rId86.png" /><Relationship Type="http://schemas.openxmlformats.org/officeDocument/2006/relationships/image" Id="rId74" Target="media/rId74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7" Target="media/rId127.png" /><Relationship Type="http://schemas.openxmlformats.org/officeDocument/2006/relationships/image" Id="rId124" Target="media/rId124.png" /><Relationship Type="http://schemas.openxmlformats.org/officeDocument/2006/relationships/image" Id="rId112" Target="media/rId11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05" Target="media/rId105.png" /><Relationship Type="http://schemas.openxmlformats.org/officeDocument/2006/relationships/image" Id="rId93" Target="media/rId93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Абдуллахи Шугофа</dc:creator>
  <dc:language>ru-RU</dc:language>
  <cp:keywords/>
  <dcterms:created xsi:type="dcterms:W3CDTF">2025-09-10T12:21:11Z</dcterms:created>
  <dcterms:modified xsi:type="dcterms:W3CDTF">2025-09-10T12:21:11Z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Методы кодирования и модуляция сигналов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