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25.png" ContentType="image/png"/>
  <Override PartName="/word/media/rId30.png" ContentType="image/png"/>
  <Override PartName="/word/media/rId34.png" ContentType="image/png"/>
  <Override PartName="/word/media/rId43.png" ContentType="image/png"/>
  <Override PartName="/word/media/rId38.png" ContentType="image/png"/>
  <Override PartName="/word/media/rId4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</w:t>
      </w:r>
      <w:r>
        <w:t xml:space="preserve"> </w:t>
      </w:r>
      <w:r>
        <w:t xml:space="preserve">по</w:t>
      </w:r>
      <w:r>
        <w:t xml:space="preserve"> </w:t>
      </w:r>
      <w:r>
        <w:t xml:space="preserve">лабораторной</w:t>
      </w:r>
      <w:r>
        <w:t xml:space="preserve"> </w:t>
      </w:r>
      <w:r>
        <w:t xml:space="preserve">работе</w:t>
      </w:r>
      <w:r>
        <w:t xml:space="preserve"> </w:t>
      </w:r>
      <w:r>
        <w:t xml:space="preserve">№4</w:t>
      </w:r>
    </w:p>
    <w:p>
      <w:pPr>
        <w:pStyle w:val="Subtitle"/>
      </w:pPr>
      <w:r>
        <w:t xml:space="preserve">Подготовка</w:t>
      </w:r>
      <w:r>
        <w:t xml:space="preserve"> </w:t>
      </w:r>
      <w:r>
        <w:t xml:space="preserve">экспериментального</w:t>
      </w:r>
      <w:r>
        <w:t xml:space="preserve"> </w:t>
      </w:r>
      <w:r>
        <w:t xml:space="preserve">стенда</w:t>
      </w:r>
      <w:r>
        <w:t xml:space="preserve"> </w:t>
      </w:r>
      <w:r>
        <w:t xml:space="preserve">GNS3</w:t>
      </w:r>
    </w:p>
    <w:p>
      <w:pPr>
        <w:pStyle w:val="Author"/>
      </w:pPr>
      <w:r>
        <w:t xml:space="preserve">Авдадаев</w:t>
      </w:r>
      <w:r>
        <w:t xml:space="preserve"> </w:t>
      </w:r>
      <w:r>
        <w:t xml:space="preserve">Джамал</w:t>
      </w:r>
      <w:r>
        <w:t xml:space="preserve"> </w:t>
      </w:r>
      <w:r>
        <w:t xml:space="preserve">Геланиевич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rPr>
          <w:rStyle w:val="SectionNumber"/>
        </w:rPr>
        <w:t xml:space="preserve">1</w:t>
      </w:r>
      <w:r>
        <w:tab/>
      </w:r>
      <w:r>
        <w:t xml:space="preserve">Цель работы</w:t>
      </w:r>
    </w:p>
    <w:p>
      <w:pPr>
        <w:pStyle w:val="FirstParagraph"/>
      </w:pPr>
      <w:r>
        <w:t xml:space="preserve">Установка и настройка GNS3 и сопутствующего программного обеспечения.</w:t>
      </w:r>
    </w:p>
    <w:bookmarkEnd w:id="20"/>
    <w:bookmarkStart w:id="52" w:name="выполнение-задания"/>
    <w:p>
      <w:pPr>
        <w:pStyle w:val="Heading1"/>
      </w:pPr>
      <w:r>
        <w:rPr>
          <w:rStyle w:val="SectionNumber"/>
        </w:rPr>
        <w:t xml:space="preserve">2</w:t>
      </w:r>
      <w:r>
        <w:tab/>
      </w:r>
      <w:r>
        <w:t xml:space="preserve">Выполнение задания</w:t>
      </w:r>
    </w:p>
    <w:bookmarkStart w:id="29" w:name="X8811cc16769efd057308ead2228506fbb86cc03"/>
    <w:p>
      <w:pPr>
        <w:pStyle w:val="Heading2"/>
      </w:pPr>
      <w:r>
        <w:rPr>
          <w:rStyle w:val="SectionNumber"/>
        </w:rPr>
        <w:t xml:space="preserve">2.1</w:t>
      </w:r>
      <w:r>
        <w:tab/>
      </w:r>
      <w:r>
        <w:t xml:space="preserve">Установка и первичная настройка среды моделирования GNS3</w:t>
      </w:r>
    </w:p>
    <w:p>
      <w:pPr>
        <w:pStyle w:val="FirstParagraph"/>
      </w:pPr>
      <w:r>
        <w:t xml:space="preserve">В рамках выполнения лабораторной работы была произведена установка программного комплекса</w:t>
      </w:r>
      <w:r>
        <w:t xml:space="preserve"> </w:t>
      </w:r>
      <w:r>
        <w:rPr>
          <w:bCs/>
          <w:b/>
        </w:rPr>
        <w:t xml:space="preserve">GNS3-all-in-one</w:t>
      </w:r>
      <w:r>
        <w:t xml:space="preserve"> </w:t>
      </w:r>
      <w:r>
        <w:t xml:space="preserve">и виртуальной машины</w:t>
      </w:r>
      <w:r>
        <w:t xml:space="preserve"> </w:t>
      </w:r>
      <w:r>
        <w:rPr>
          <w:bCs/>
          <w:b/>
        </w:rPr>
        <w:t xml:space="preserve">GNS3 VM</w:t>
      </w:r>
      <w:r>
        <w:t xml:space="preserve">, предназначенных для моделирования и эмуляции сетевых топологий. После завершения установки выполнена проверка корректности запуска и взаимодействия компонентов системы.</w:t>
      </w:r>
    </w:p>
    <w:bookmarkStart w:id="24" w:name="проверка-запуска-gns3-vm"/>
    <w:p>
      <w:pPr>
        <w:pStyle w:val="Heading3"/>
      </w:pPr>
      <w:r>
        <w:rPr>
          <w:rStyle w:val="SectionNumber"/>
        </w:rPr>
        <w:t xml:space="preserve">2.1.1</w:t>
      </w:r>
      <w:r>
        <w:tab/>
      </w:r>
      <w:r>
        <w:t xml:space="preserve">Проверка запуска GNS3 VM</w:t>
      </w:r>
    </w:p>
    <w:p>
      <w:pPr>
        <w:pStyle w:val="FirstParagraph"/>
      </w:pPr>
      <w:r>
        <w:t xml:space="preserve">После запуска виртуальной машины GNS3 VM была проверена корректность её инициализации. В окне консоли отображается информация о версии GNS3 server, используемой операционной системе Ubuntu, версии QEMU, а также сведения о поддержке аппаратной виртуализации KVM. Также был автоматически назначен IP-адрес виртуальной машины и порт для подключения контроллера.</w:t>
      </w:r>
    </w:p>
    <w:p>
      <w:pPr>
        <w:pStyle w:val="BodyText"/>
      </w:pPr>
      <w:r>
        <w:t xml:space="preserve">Информация о состоянии GNS3 VM представлена на рисунке ниже.</w:t>
      </w:r>
    </w:p>
    <w:p>
      <w:pPr>
        <w:pStyle w:val="CaptionedFigure"/>
      </w:pPr>
      <w:r>
        <w:drawing>
          <wp:inline>
            <wp:extent cx="5334000" cy="2644398"/>
            <wp:effectExtent b="0" l="0" r="0" t="0"/>
            <wp:docPr descr="Состояние GNS3 VM после запуска" title="" id="22" name="Picture"/>
            <a:graphic>
              <a:graphicData uri="http://schemas.openxmlformats.org/drawingml/2006/picture">
                <pic:pic>
                  <pic:nvPicPr>
                    <pic:cNvPr descr="Screenshot_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644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Состояние GNS3 VM после запуска</w:t>
      </w:r>
    </w:p>
    <w:bookmarkEnd w:id="24"/>
    <w:bookmarkStart w:id="28" w:name="X16bbf17dade865ed271244fa71d7843f08b9d55"/>
    <w:p>
      <w:pPr>
        <w:pStyle w:val="Heading3"/>
      </w:pPr>
      <w:r>
        <w:rPr>
          <w:rStyle w:val="SectionNumber"/>
        </w:rPr>
        <w:t xml:space="preserve">2.1.2</w:t>
      </w:r>
      <w:r>
        <w:tab/>
      </w:r>
      <w:r>
        <w:t xml:space="preserve">Подключение GNS3 Client к удалённому контроллеру</w:t>
      </w:r>
    </w:p>
    <w:p>
      <w:pPr>
        <w:pStyle w:val="FirstParagraph"/>
      </w:pPr>
      <w:r>
        <w:t xml:space="preserve">Далее выполнена настройка подключения клиента GNS3 к удалённому контроллеру, развернутому в GNS3 VM. В мастере настройки выбран протокол</w:t>
      </w:r>
      <w:r>
        <w:t xml:space="preserve"> </w:t>
      </w:r>
      <w:r>
        <w:rPr>
          <w:bCs/>
          <w:b/>
        </w:rPr>
        <w:t xml:space="preserve">HTTP</w:t>
      </w:r>
      <w:r>
        <w:t xml:space="preserve">, в качестве хоста указан IP-адрес виртуальной машины, порт —</w:t>
      </w:r>
      <w:r>
        <w:t xml:space="preserve"> </w:t>
      </w:r>
      <w:r>
        <w:rPr>
          <w:bCs/>
          <w:b/>
        </w:rPr>
        <w:t xml:space="preserve">80/TCP</w:t>
      </w:r>
      <w:r>
        <w:t xml:space="preserve">. Для аутентификации использованы стандартные учетные данные администратора.</w:t>
      </w:r>
    </w:p>
    <w:p>
      <w:pPr>
        <w:pStyle w:val="BodyText"/>
      </w:pPr>
      <w:r>
        <w:t xml:space="preserve">Окно настройки удалённого контроллера представлено на рисунке ниже.</w:t>
      </w:r>
    </w:p>
    <w:p>
      <w:pPr>
        <w:pStyle w:val="CaptionedFigure"/>
      </w:pPr>
      <w:r>
        <w:drawing>
          <wp:inline>
            <wp:extent cx="4402951" cy="3442447"/>
            <wp:effectExtent b="0" l="0" r="0" t="0"/>
            <wp:docPr descr="Настройка подключения к удалённому контроллеру" title="" id="26" name="Picture"/>
            <a:graphic>
              <a:graphicData uri="http://schemas.openxmlformats.org/drawingml/2006/picture">
                <pic:pic>
                  <pic:nvPicPr>
                    <pic:cNvPr descr="Screenshot_2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2951" cy="344244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Настройка подключения к удалённому контроллеру</w:t>
      </w:r>
    </w:p>
    <w:p>
      <w:pPr>
        <w:pStyle w:val="BodyText"/>
      </w:pPr>
      <w:r>
        <w:t xml:space="preserve">После подтверждения параметров подключение было успешно установлено, что свидетельствует о корректной работе связки GNS3 Client и GNS3 VM.</w:t>
      </w:r>
    </w:p>
    <w:bookmarkEnd w:id="28"/>
    <w:bookmarkEnd w:id="29"/>
    <w:bookmarkStart w:id="42" w:name="импорт-образа-маршрутизатора-frr-в-gns3"/>
    <w:p>
      <w:pPr>
        <w:pStyle w:val="Heading2"/>
      </w:pPr>
      <w:r>
        <w:rPr>
          <w:rStyle w:val="SectionNumber"/>
        </w:rPr>
        <w:t xml:space="preserve">2.2</w:t>
      </w:r>
      <w:r>
        <w:tab/>
      </w:r>
      <w:r>
        <w:t xml:space="preserve">Импорт образа маршрутизатора FRR в GNS3</w:t>
      </w:r>
    </w:p>
    <w:p>
      <w:pPr>
        <w:pStyle w:val="FirstParagraph"/>
      </w:pPr>
      <w:r>
        <w:t xml:space="preserve">В соответствии с заданием выполнен импорт образа маршрутизатора</w:t>
      </w:r>
      <w:r>
        <w:t xml:space="preserve"> </w:t>
      </w:r>
      <w:r>
        <w:rPr>
          <w:bCs/>
          <w:b/>
        </w:rPr>
        <w:t xml:space="preserve">FRR (Free Range Routing)</w:t>
      </w:r>
      <w:r>
        <w:t xml:space="preserve"> </w:t>
      </w:r>
      <w:r>
        <w:t xml:space="preserve">в среду GNS3. Для этого в менеджере шаблонов был выбран раздел маршрутизаторов и соответствующий appliance FRR.</w:t>
      </w:r>
    </w:p>
    <w:bookmarkStart w:id="33" w:name="выбор-и-установка-шаблона-frr"/>
    <w:p>
      <w:pPr>
        <w:pStyle w:val="Heading3"/>
      </w:pPr>
      <w:r>
        <w:rPr>
          <w:rStyle w:val="SectionNumber"/>
        </w:rPr>
        <w:t xml:space="preserve">2.2.1</w:t>
      </w:r>
      <w:r>
        <w:tab/>
      </w:r>
      <w:r>
        <w:t xml:space="preserve">Выбор и установка шаблона FRR</w:t>
      </w:r>
    </w:p>
    <w:p>
      <w:pPr>
        <w:pStyle w:val="FirstParagraph"/>
      </w:pPr>
      <w:r>
        <w:t xml:space="preserve">Из списка доступных устройств выбран маршрутизатор</w:t>
      </w:r>
      <w:r>
        <w:t xml:space="preserve"> </w:t>
      </w:r>
      <w:r>
        <w:rPr>
          <w:bCs/>
          <w:b/>
        </w:rPr>
        <w:t xml:space="preserve">FRR</w:t>
      </w:r>
      <w:r>
        <w:t xml:space="preserve">, предоставляемый проектом FRRouting. После обновления списка appliance был инициирован процесс установки.</w:t>
      </w:r>
    </w:p>
    <w:p>
      <w:pPr>
        <w:pStyle w:val="CaptionedFigure"/>
      </w:pPr>
      <w:r>
        <w:drawing>
          <wp:inline>
            <wp:extent cx="5334000" cy="3835287"/>
            <wp:effectExtent b="0" l="0" r="0" t="0"/>
            <wp:docPr descr="Выбор шаблона маршрутизатора FRR" title="" id="31" name="Picture"/>
            <a:graphic>
              <a:graphicData uri="http://schemas.openxmlformats.org/drawingml/2006/picture">
                <pic:pic>
                  <pic:nvPicPr>
                    <pic:cNvPr descr="Screenshot_3.pn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835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Выбор шаблона маршрутизатора FRR</w:t>
      </w:r>
    </w:p>
    <w:bookmarkEnd w:id="33"/>
    <w:bookmarkStart w:id="37" w:name="загрузка-и-подтверждение-образа-frr"/>
    <w:p>
      <w:pPr>
        <w:pStyle w:val="Heading3"/>
      </w:pPr>
      <w:r>
        <w:rPr>
          <w:rStyle w:val="SectionNumber"/>
        </w:rPr>
        <w:t xml:space="preserve">2.2.2</w:t>
      </w:r>
      <w:r>
        <w:tab/>
      </w:r>
      <w:r>
        <w:t xml:space="preserve">Загрузка и подтверждение образа FRR</w:t>
      </w:r>
    </w:p>
    <w:p>
      <w:pPr>
        <w:pStyle w:val="FirstParagraph"/>
      </w:pPr>
      <w:r>
        <w:t xml:space="preserve">В процессе установки система автоматически обнаружила локально доступный образ</w:t>
      </w:r>
      <w:r>
        <w:t xml:space="preserve"> </w:t>
      </w:r>
      <w:r>
        <w:rPr>
          <w:bCs/>
          <w:b/>
        </w:rPr>
        <w:t xml:space="preserve">FRR версии 8.2.2</w:t>
      </w:r>
      <w:r>
        <w:t xml:space="preserve"> </w:t>
      </w:r>
      <w:r>
        <w:t xml:space="preserve">в формате qcow2, который был помечен как готовый к установке. Остальные версии требовали загрузки дополнительных файлов и не использовались.</w:t>
      </w:r>
    </w:p>
    <w:p>
      <w:pPr>
        <w:pStyle w:val="CaptionedFigure"/>
      </w:pPr>
      <w:r>
        <w:drawing>
          <wp:inline>
            <wp:extent cx="5334000" cy="3406830"/>
            <wp:effectExtent b="0" l="0" r="0" t="0"/>
            <wp:docPr descr="Установка образа FRR" title="" id="35" name="Picture"/>
            <a:graphic>
              <a:graphicData uri="http://schemas.openxmlformats.org/drawingml/2006/picture">
                <pic:pic>
                  <pic:nvPicPr>
                    <pic:cNvPr descr="Screenshot_4.pn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06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FRR</w:t>
      </w:r>
    </w:p>
    <w:bookmarkEnd w:id="37"/>
    <w:bookmarkStart w:id="41" w:name="проверка-запуска-маршрутизатора-frr"/>
    <w:p>
      <w:pPr>
        <w:pStyle w:val="Heading3"/>
      </w:pPr>
      <w:r>
        <w:rPr>
          <w:rStyle w:val="SectionNumber"/>
        </w:rPr>
        <w:t xml:space="preserve">2.2.3</w:t>
      </w:r>
      <w:r>
        <w:tab/>
      </w:r>
      <w:r>
        <w:t xml:space="preserve">Проверка запуска маршрутизатора FRR</w:t>
      </w:r>
    </w:p>
    <w:p>
      <w:pPr>
        <w:pStyle w:val="FirstParagraph"/>
      </w:pPr>
      <w:r>
        <w:t xml:space="preserve">После завершения установки был выполнен запуск экземпляра маршрутизатора FRR. В консоли отображается процесс инициализации системы и сообщение о успешном старте FRRouting версии 8.2.2, что подтверждает корректность импорта и работоспособность образа.</w:t>
      </w:r>
    </w:p>
    <w:p>
      <w:pPr>
        <w:pStyle w:val="CaptionedFigure"/>
      </w:pPr>
      <w:r>
        <w:drawing>
          <wp:inline>
            <wp:extent cx="5334000" cy="3417592"/>
            <wp:effectExtent b="0" l="0" r="0" t="0"/>
            <wp:docPr descr="Запуск маршрутизатора FRR" title="" id="39" name="Picture"/>
            <a:graphic>
              <a:graphicData uri="http://schemas.openxmlformats.org/drawingml/2006/picture">
                <pic:pic>
                  <pic:nvPicPr>
                    <pic:cNvPr descr="Screenshot_6.pn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175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маршрутизатора FRR</w:t>
      </w:r>
    </w:p>
    <w:bookmarkEnd w:id="41"/>
    <w:bookmarkEnd w:id="42"/>
    <w:bookmarkStart w:id="51" w:name="импорт-образа-маршрутизатора-vyos-в-gns3"/>
    <w:p>
      <w:pPr>
        <w:pStyle w:val="Heading2"/>
      </w:pPr>
      <w:r>
        <w:rPr>
          <w:rStyle w:val="SectionNumber"/>
        </w:rPr>
        <w:t xml:space="preserve">2.3</w:t>
      </w:r>
      <w:r>
        <w:tab/>
      </w:r>
      <w:r>
        <w:t xml:space="preserve">Импорт образа маршрутизатора VyOS в GNS3</w:t>
      </w:r>
    </w:p>
    <w:p>
      <w:pPr>
        <w:pStyle w:val="FirstParagraph"/>
      </w:pPr>
      <w:r>
        <w:t xml:space="preserve">На следующем этапе был импортирован образ маршрутизатора</w:t>
      </w:r>
      <w:r>
        <w:t xml:space="preserve"> </w:t>
      </w:r>
      <w:r>
        <w:rPr>
          <w:bCs/>
          <w:b/>
        </w:rPr>
        <w:t xml:space="preserve">VyOS</w:t>
      </w:r>
      <w:r>
        <w:t xml:space="preserve">, используемого для построения и тестирования сетевых конфигураций.</w:t>
      </w:r>
    </w:p>
    <w:bookmarkStart w:id="46" w:name="выбор-и-установка-шаблона-vyos"/>
    <w:p>
      <w:pPr>
        <w:pStyle w:val="Heading3"/>
      </w:pPr>
      <w:r>
        <w:rPr>
          <w:rStyle w:val="SectionNumber"/>
        </w:rPr>
        <w:t xml:space="preserve">2.3.1</w:t>
      </w:r>
      <w:r>
        <w:tab/>
      </w:r>
      <w:r>
        <w:t xml:space="preserve">Выбор и установка шаблона VyOS</w:t>
      </w:r>
    </w:p>
    <w:p>
      <w:pPr>
        <w:pStyle w:val="FirstParagraph"/>
      </w:pPr>
      <w:r>
        <w:t xml:space="preserve">В списке доступных appliance выбран маршрутизатор VyOS. Для установки использован образ</w:t>
      </w:r>
      <w:r>
        <w:t xml:space="preserve"> </w:t>
      </w:r>
      <w:r>
        <w:rPr>
          <w:bCs/>
          <w:b/>
        </w:rPr>
        <w:t xml:space="preserve">VyOS версии 1.3.3</w:t>
      </w:r>
      <w:r>
        <w:t xml:space="preserve"> </w:t>
      </w:r>
      <w:r>
        <w:t xml:space="preserve">в формате qcow2, который был найден локально и отмечен как готовый к установке.</w:t>
      </w:r>
    </w:p>
    <w:p>
      <w:pPr>
        <w:pStyle w:val="CaptionedFigure"/>
      </w:pPr>
      <w:r>
        <w:drawing>
          <wp:inline>
            <wp:extent cx="5334000" cy="3457355"/>
            <wp:effectExtent b="0" l="0" r="0" t="0"/>
            <wp:docPr descr="Установка образа VyOS" title="" id="44" name="Picture"/>
            <a:graphic>
              <a:graphicData uri="http://schemas.openxmlformats.org/drawingml/2006/picture">
                <pic:pic>
                  <pic:nvPicPr>
                    <pic:cNvPr descr="Screenshot_5.png" id="45" name="Picture"/>
                    <pic:cNvPicPr>
                      <a:picLocks noChangeArrowheads="1"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735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Установка образа VyOS</w:t>
      </w:r>
    </w:p>
    <w:bookmarkEnd w:id="46"/>
    <w:bookmarkStart w:id="50" w:name="проверка-запуска-маршрутизатора-vyos"/>
    <w:p>
      <w:pPr>
        <w:pStyle w:val="Heading3"/>
      </w:pPr>
      <w:r>
        <w:rPr>
          <w:rStyle w:val="SectionNumber"/>
        </w:rPr>
        <w:t xml:space="preserve">2.3.2</w:t>
      </w:r>
      <w:r>
        <w:tab/>
      </w:r>
      <w:r>
        <w:t xml:space="preserve">Проверка запуска маршрутизатора VyOS</w:t>
      </w:r>
    </w:p>
    <w:p>
      <w:pPr>
        <w:pStyle w:val="FirstParagraph"/>
      </w:pPr>
      <w:r>
        <w:t xml:space="preserve">После завершения установки выполнен запуск маршрутизатора VyOS. В консоли отображается процесс загрузки операционной системы, инициализация служб и приглашение к вводу логина, что свидетельствует об успешном старте устройства.</w:t>
      </w:r>
    </w:p>
    <w:p>
      <w:pPr>
        <w:pStyle w:val="CaptionedFigure"/>
      </w:pPr>
      <w:r>
        <w:drawing>
          <wp:inline>
            <wp:extent cx="5334000" cy="3451411"/>
            <wp:effectExtent b="0" l="0" r="0" t="0"/>
            <wp:docPr descr="Запуск маршрутизатора VyOS" title="" id="48" name="Picture"/>
            <a:graphic>
              <a:graphicData uri="http://schemas.openxmlformats.org/drawingml/2006/picture">
                <pic:pic>
                  <pic:nvPicPr>
                    <pic:cNvPr descr="Screenshot_7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45141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Запуск маршрутизатора VyOS</w:t>
      </w:r>
    </w:p>
    <w:bookmarkEnd w:id="50"/>
    <w:bookmarkEnd w:id="51"/>
    <w:bookmarkEnd w:id="52"/>
    <w:bookmarkStart w:id="53" w:name="заключение"/>
    <w:p>
      <w:pPr>
        <w:pStyle w:val="Heading1"/>
      </w:pPr>
      <w:r>
        <w:rPr>
          <w:rStyle w:val="SectionNumber"/>
        </w:rPr>
        <w:t xml:space="preserve">3</w:t>
      </w:r>
      <w:r>
        <w:tab/>
      </w:r>
      <w:r>
        <w:t xml:space="preserve">Заключение</w:t>
      </w:r>
    </w:p>
    <w:p>
      <w:pPr>
        <w:pStyle w:val="FirstParagraph"/>
      </w:pPr>
      <w:r>
        <w:t xml:space="preserve">В ходе выполнения лабораторной работы были успешно установлены и настроены</w:t>
      </w:r>
      <w:r>
        <w:t xml:space="preserve"> </w:t>
      </w:r>
      <w:r>
        <w:rPr>
          <w:bCs/>
          <w:b/>
        </w:rPr>
        <w:t xml:space="preserve">GNS3-all-in-one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GNS3 VM</w:t>
      </w:r>
      <w:r>
        <w:t xml:space="preserve">, проверена корректность их взаимодействия, а также импортированы и протестированы образы маршрутизаторов</w:t>
      </w:r>
      <w:r>
        <w:t xml:space="preserve"> </w:t>
      </w:r>
      <w:r>
        <w:rPr>
          <w:bCs/>
          <w:b/>
        </w:rPr>
        <w:t xml:space="preserve">FRR</w:t>
      </w:r>
      <w:r>
        <w:t xml:space="preserve"> </w:t>
      </w:r>
      <w:r>
        <w:t xml:space="preserve">и</w:t>
      </w:r>
      <w:r>
        <w:t xml:space="preserve"> </w:t>
      </w:r>
      <w:r>
        <w:rPr>
          <w:bCs/>
          <w:b/>
        </w:rPr>
        <w:t xml:space="preserve">VyOS</w:t>
      </w:r>
      <w:r>
        <w:t xml:space="preserve">. Все устройства корректно запускаются и готовы к дальнейшему использованию при построении сетевых топологий и выполнении последующих лабораторных заданий.</w:t>
      </w:r>
    </w:p>
    <w:bookmarkEnd w:id="5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1" Target="media/rId21.png" /><Relationship Type="http://schemas.openxmlformats.org/officeDocument/2006/relationships/image" Id="rId25" Target="media/rId25.png" /><Relationship Type="http://schemas.openxmlformats.org/officeDocument/2006/relationships/image" Id="rId30" Target="media/rId30.png" /><Relationship Type="http://schemas.openxmlformats.org/officeDocument/2006/relationships/image" Id="rId34" Target="media/rId34.png" /><Relationship Type="http://schemas.openxmlformats.org/officeDocument/2006/relationships/image" Id="rId43" Target="media/rId43.png" /><Relationship Type="http://schemas.openxmlformats.org/officeDocument/2006/relationships/image" Id="rId38" Target="media/rId38.png" /><Relationship Type="http://schemas.openxmlformats.org/officeDocument/2006/relationships/image" Id="rId47" Target="media/rId47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№4</dc:title>
  <dc:creator>Авдадаев Джамал Геланиевич</dc:creator>
  <dc:language>ru-RU</dc:language>
  <cp:keywords/>
  <dcterms:created xsi:type="dcterms:W3CDTF">2025-12-19T09:08:10Z</dcterms:created>
  <dcterms:modified xsi:type="dcterms:W3CDTF">2025-12-19T09:08:10Z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IndexTemplate">
    <vt:lpwstr>(i)</vt:lpwstr>
  </property>
  <property fmtid="{D5CDD505-2E9C-101B-9397-08002B2CF9AE}" pid="25" name="eqnInlineTemplate">
    <vt:lpwstr>eequationNumberTeX{i}</vt:lpwstr>
  </property>
  <property fmtid="{D5CDD505-2E9C-101B-9397-08002B2CF9AE}" pid="26" name="eqnPrefix">
    <vt:lpwstr/>
  </property>
  <property fmtid="{D5CDD505-2E9C-101B-9397-08002B2CF9AE}" pid="27" name="eqnPrefixTemplate">
    <vt:lpwstr>p i</vt:lpwstr>
  </property>
  <property fmtid="{D5CDD505-2E9C-101B-9397-08002B2CF9AE}" pid="28" name="equationNumberTeX">
    <vt:lpwstr>\qquad</vt:lpwstr>
  </property>
  <property fmtid="{D5CDD505-2E9C-101B-9397-08002B2CF9AE}" pid="29" name="figLabels">
    <vt:lpwstr>arabic</vt:lpwstr>
  </property>
  <property fmtid="{D5CDD505-2E9C-101B-9397-08002B2CF9AE}" pid="30" name="figPrefix">
    <vt:lpwstr/>
  </property>
  <property fmtid="{D5CDD505-2E9C-101B-9397-08002B2CF9AE}" pid="31" name="figPrefixTemplate">
    <vt:lpwstr>p i</vt:lpwstr>
  </property>
  <property fmtid="{D5CDD505-2E9C-101B-9397-08002B2CF9AE}" pid="32" name="figureTemplate">
    <vt:lpwstr>figureTitle ititleDelim t</vt:lpwstr>
  </property>
  <property fmtid="{D5CDD505-2E9C-101B-9397-08002B2CF9AE}" pid="33" name="figureTitle">
    <vt:lpwstr>Рис.</vt:lpwstr>
  </property>
  <property fmtid="{D5CDD505-2E9C-101B-9397-08002B2CF9AE}" pid="34" name="fontsize">
    <vt:lpwstr>12pt</vt:lpwstr>
  </property>
  <property fmtid="{D5CDD505-2E9C-101B-9397-08002B2CF9AE}" pid="35" name="header-includes">
    <vt:lpwstr/>
  </property>
  <property fmtid="{D5CDD505-2E9C-101B-9397-08002B2CF9AE}" pid="36" name="indent">
    <vt:lpwstr>True</vt:lpwstr>
  </property>
  <property fmtid="{D5CDD505-2E9C-101B-9397-08002B2CF9AE}" pid="37" name="lastDelim">
    <vt:lpwstr>, </vt:lpwstr>
  </property>
  <property fmtid="{D5CDD505-2E9C-101B-9397-08002B2CF9AE}" pid="38" name="linestretch">
    <vt:lpwstr>1.5</vt:lpwstr>
  </property>
  <property fmtid="{D5CDD505-2E9C-101B-9397-08002B2CF9AE}" pid="39" name="linkReferences">
    <vt:lpwstr>False</vt:lpwstr>
  </property>
  <property fmtid="{D5CDD505-2E9C-101B-9397-08002B2CF9AE}" pid="40" name="listingTemplate">
    <vt:lpwstr>listingTitle ititleDelim t</vt:lpwstr>
  </property>
  <property fmtid="{D5CDD505-2E9C-101B-9397-08002B2CF9AE}" pid="41" name="listingTitle">
    <vt:lpwstr>Листинг</vt:lpwstr>
  </property>
  <property fmtid="{D5CDD505-2E9C-101B-9397-08002B2CF9AE}" pid="42" name="listings">
    <vt:lpwstr>False</vt:lpwstr>
  </property>
  <property fmtid="{D5CDD505-2E9C-101B-9397-08002B2CF9AE}" pid="43" name="lof">
    <vt:lpwstr>True</vt:lpwstr>
  </property>
  <property fmtid="{D5CDD505-2E9C-101B-9397-08002B2CF9AE}" pid="44" name="lofTitle">
    <vt:lpwstr>Список иллюстраций</vt:lpwstr>
  </property>
  <property fmtid="{D5CDD505-2E9C-101B-9397-08002B2CF9AE}" pid="45" name="lolTitle">
    <vt:lpwstr>Листинги</vt:lpwstr>
  </property>
  <property fmtid="{D5CDD505-2E9C-101B-9397-08002B2CF9AE}" pid="46" name="lot">
    <vt:lpwstr>True</vt:lpwstr>
  </property>
  <property fmtid="{D5CDD505-2E9C-101B-9397-08002B2CF9AE}" pid="47" name="lotTitle">
    <vt:lpwstr>Список таблиц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mainfont">
    <vt:lpwstr>IBM Plex Serif</vt:lpwstr>
  </property>
  <property fmtid="{D5CDD505-2E9C-101B-9397-08002B2CF9AE}" pid="52" name="mainfontoptions">
    <vt:lpwstr>Ligatures=Common,Ligatures=TeX,Scale=0.94</vt:lpwstr>
  </property>
  <property fmtid="{D5CDD505-2E9C-101B-9397-08002B2CF9AE}" pid="53" name="mathfont">
    <vt:lpwstr>STIX Two Math</vt:lpwstr>
  </property>
  <property fmtid="{D5CDD505-2E9C-101B-9397-08002B2CF9AE}" pid="54" name="mathfontoptions">
    <vt:lpwstr/>
  </property>
  <property fmtid="{D5CDD505-2E9C-101B-9397-08002B2CF9AE}" pid="55" name="monofont">
    <vt:lpwstr>IBM Plex Mono</vt:lpwstr>
  </property>
  <property fmtid="{D5CDD505-2E9C-101B-9397-08002B2CF9AE}" pid="56" name="monofontoptions">
    <vt:lpwstr>Scale=MatchLowercase,Scale=0.94,FakeStretch=0.9</vt:lpwstr>
  </property>
  <property fmtid="{D5CDD505-2E9C-101B-9397-08002B2CF9AE}" pid="57" name="nameInLink">
    <vt:lpwstr>False</vt:lpwstr>
  </property>
  <property fmtid="{D5CDD505-2E9C-101B-9397-08002B2CF9AE}" pid="58" name="numberSections">
    <vt:lpwstr>False</vt:lpwstr>
  </property>
  <property fmtid="{D5CDD505-2E9C-101B-9397-08002B2CF9AE}" pid="59" name="pairDelim">
    <vt:lpwstr>, </vt:lpwstr>
  </property>
  <property fmtid="{D5CDD505-2E9C-101B-9397-08002B2CF9AE}" pid="60" name="papersize">
    <vt:lpwstr>a4</vt:lpwstr>
  </property>
  <property fmtid="{D5CDD505-2E9C-101B-9397-08002B2CF9AE}" pid="61" name="polyglossia-lang">
    <vt:lpwstr/>
  </property>
  <property fmtid="{D5CDD505-2E9C-101B-9397-08002B2CF9AE}" pid="62" name="polyglossia-otherlangs">
    <vt:lpwstr/>
  </property>
  <property fmtid="{D5CDD505-2E9C-101B-9397-08002B2CF9AE}" pid="63" name="rangeDelim">
    <vt:lpwstr>-</vt:lpwstr>
  </property>
  <property fmtid="{D5CDD505-2E9C-101B-9397-08002B2CF9AE}" pid="64" name="refDelim">
    <vt:lpwstr>, </vt:lpwstr>
  </property>
  <property fmtid="{D5CDD505-2E9C-101B-9397-08002B2CF9AE}" pid="65" name="refIndexTemplate">
    <vt:lpwstr>isuf</vt:lpwstr>
  </property>
  <property fmtid="{D5CDD505-2E9C-101B-9397-08002B2CF9AE}" pid="66" name="romanfont">
    <vt:lpwstr>IBM Plex Serif</vt:lpwstr>
  </property>
  <property fmtid="{D5CDD505-2E9C-101B-9397-08002B2CF9AE}" pid="67" name="romanfontoptions">
    <vt:lpwstr>Ligatures=Common,Ligatures=TeX,Scale=0.94</vt:lpwstr>
  </property>
  <property fmtid="{D5CDD505-2E9C-101B-9397-08002B2CF9AE}" pid="68" name="sansfont">
    <vt:lpwstr>IBM Plex Sans</vt:lpwstr>
  </property>
  <property fmtid="{D5CDD505-2E9C-101B-9397-08002B2CF9AE}" pid="69" name="sansfontoptions">
    <vt:lpwstr>Ligatures=Common,Ligatures=TeX,Scale=MatchLowercase,Scale=0.94</vt:lpwstr>
  </property>
  <property fmtid="{D5CDD505-2E9C-101B-9397-08002B2CF9AE}" pid="70" name="secHeaderDelim">
    <vt:lpwstr> </vt:lpwstr>
  </property>
  <property fmtid="{D5CDD505-2E9C-101B-9397-08002B2CF9AE}" pid="71" name="secHeaderTemplate">
    <vt:lpwstr>isecHeaderDelim[n]t</vt:lpwstr>
  </property>
  <property fmtid="{D5CDD505-2E9C-101B-9397-08002B2CF9AE}" pid="72" name="secLabels">
    <vt:lpwstr>arabic</vt:lpwstr>
  </property>
  <property fmtid="{D5CDD505-2E9C-101B-9397-08002B2CF9AE}" pid="73" name="secPrefix">
    <vt:lpwstr/>
  </property>
  <property fmtid="{D5CDD505-2E9C-101B-9397-08002B2CF9AE}" pid="74" name="secPrefixTemplate">
    <vt:lpwstr>p i</vt:lpwstr>
  </property>
  <property fmtid="{D5CDD505-2E9C-101B-9397-08002B2CF9AE}" pid="75" name="sectionsDepth">
    <vt:lpwstr>0</vt:lpwstr>
  </property>
  <property fmtid="{D5CDD505-2E9C-101B-9397-08002B2CF9AE}" pid="76" name="subfigGrid">
    <vt:lpwstr>False</vt:lpwstr>
  </property>
  <property fmtid="{D5CDD505-2E9C-101B-9397-08002B2CF9AE}" pid="77" name="subfigLabels">
    <vt:lpwstr>alpha a</vt:lpwstr>
  </property>
  <property fmtid="{D5CDD505-2E9C-101B-9397-08002B2CF9AE}" pid="78" name="subfigureChildTemplate">
    <vt:lpwstr>i</vt:lpwstr>
  </property>
  <property fmtid="{D5CDD505-2E9C-101B-9397-08002B2CF9AE}" pid="79" name="subfigureRefIndexTemplate">
    <vt:lpwstr>isuf (s)</vt:lpwstr>
  </property>
  <property fmtid="{D5CDD505-2E9C-101B-9397-08002B2CF9AE}" pid="80" name="subfigureTemplate">
    <vt:lpwstr>figureTitle ititleDelim t. ccs</vt:lpwstr>
  </property>
  <property fmtid="{D5CDD505-2E9C-101B-9397-08002B2CF9AE}" pid="81" name="subtitle">
    <vt:lpwstr>Подготовка экспериментального стенда GNS3</vt:lpwstr>
  </property>
  <property fmtid="{D5CDD505-2E9C-101B-9397-08002B2CF9AE}" pid="82" name="tableEqns">
    <vt:lpwstr>False</vt:lpwstr>
  </property>
  <property fmtid="{D5CDD505-2E9C-101B-9397-08002B2CF9AE}" pid="83" name="tableTemplate">
    <vt:lpwstr>tableTitle ititleDelim t</vt:lpwstr>
  </property>
  <property fmtid="{D5CDD505-2E9C-101B-9397-08002B2CF9AE}" pid="84" name="tableTitle">
    <vt:lpwstr>Таблица</vt:lpwstr>
  </property>
  <property fmtid="{D5CDD505-2E9C-101B-9397-08002B2CF9AE}" pid="85" name="tblLabels">
    <vt:lpwstr>arabic</vt:lpwstr>
  </property>
  <property fmtid="{D5CDD505-2E9C-101B-9397-08002B2CF9AE}" pid="86" name="tblPrefix">
    <vt:lpwstr/>
  </property>
  <property fmtid="{D5CDD505-2E9C-101B-9397-08002B2CF9AE}" pid="87" name="tblPrefixTemplate">
    <vt:lpwstr>p i</vt:lpwstr>
  </property>
  <property fmtid="{D5CDD505-2E9C-101B-9397-08002B2CF9AE}" pid="88" name="titleDelim">
    <vt:lpwstr>:</vt:lpwstr>
  </property>
  <property fmtid="{D5CDD505-2E9C-101B-9397-08002B2CF9AE}" pid="89" name="toc">
    <vt:lpwstr>True</vt:lpwstr>
  </property>
  <property fmtid="{D5CDD505-2E9C-101B-9397-08002B2CF9AE}" pid="90" name="toc-depth">
    <vt:lpwstr>2</vt:lpwstr>
  </property>
  <property fmtid="{D5CDD505-2E9C-101B-9397-08002B2CF9AE}" pid="91" name="toc-title">
    <vt:lpwstr>Содержание</vt:lpwstr>
  </property>
</Properties>
</file>