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53.png" ContentType="image/png"/>
  <Override PartName="/word/media/rId48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End w:id="21"/>
    <w:bookmarkStart w:id="78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5e0f0d4ced23ca659065c9c18205691cbb11b0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Переход в физическую рабочую область и настройка города</w:t>
      </w:r>
    </w:p>
    <w:p>
      <w:pPr>
        <w:pStyle w:val="FirstParagraph"/>
      </w:pPr>
      <w:r>
        <w:t xml:space="preserve">В Cisco Packet Tracer был открыт проект предыдущей лабораторной работы. После этого выполнен переход в физическую рабочую область (Physical Workspace).</w:t>
      </w:r>
    </w:p>
    <w:p>
      <w:pPr>
        <w:pStyle w:val="BodyText"/>
      </w:pPr>
      <w:r>
        <w:t xml:space="preserve">В рабочей области было выбрано представление города, которому было присвоено имя</w:t>
      </w:r>
      <w:r>
        <w:t xml:space="preserve"> </w:t>
      </w:r>
      <w:r>
        <w:rPr>
          <w:bCs/>
          <w:b/>
        </w:rPr>
        <w:t xml:space="preserve">Moscow</w:t>
      </w:r>
      <w:r>
        <w:t xml:space="preserve">.</w:t>
      </w:r>
    </w:p>
    <w:p>
      <w:pPr>
        <w:pStyle w:val="BodyText"/>
      </w:pPr>
      <w:r>
        <w:t xml:space="preserve">В результате была сформирована физическая структура сети на уровне города.</w:t>
      </w:r>
    </w:p>
    <w:p>
      <w:pPr>
        <w:pStyle w:val="CaptionedFigure"/>
      </w:pPr>
      <w:bookmarkStart w:id="25" w:name="fig:001"/>
      <w:r>
        <w:drawing>
          <wp:inline>
            <wp:extent cx="4203166" cy="2996773"/>
            <wp:effectExtent b="0" l="0" r="0" t="0"/>
            <wp:docPr descr="Рис. 1: Физическая область — город Moscow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299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Физическая область — город Moscow</w:t>
      </w:r>
    </w:p>
    <w:bookmarkEnd w:id="26"/>
    <w:bookmarkStart w:id="31" w:name="настройка-зданий-в-физической-облас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зданий в физической области</w:t>
      </w:r>
    </w:p>
    <w:p>
      <w:pPr>
        <w:pStyle w:val="FirstParagraph"/>
      </w:pPr>
      <w:r>
        <w:t xml:space="preserve">После выбора города было открыто представление зданий. Существующему зданию было присвоено имя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pStyle w:val="BodyText"/>
      </w:pPr>
      <w:r>
        <w:t xml:space="preserve">Дополнительно было создано новое здание с именем</w:t>
      </w:r>
      <w:r>
        <w:t xml:space="preserve"> </w:t>
      </w:r>
      <w:r>
        <w:rPr>
          <w:bCs/>
          <w:b/>
        </w:rPr>
        <w:t xml:space="preserve">Pavlovskaya</w:t>
      </w:r>
      <w:r>
        <w:t xml:space="preserve">, представляющее отдельную территорию сети.</w:t>
      </w:r>
    </w:p>
    <w:p>
      <w:pPr>
        <w:pStyle w:val="BodyText"/>
      </w:pPr>
      <w:r>
        <w:t xml:space="preserve">В результате в физической области были настроены две площадки: Donskaya и Pavlovskaya.</w:t>
      </w:r>
    </w:p>
    <w:p>
      <w:pPr>
        <w:pStyle w:val="CaptionedFigure"/>
      </w:pPr>
      <w:bookmarkStart w:id="30" w:name="fig:002"/>
      <w:r>
        <w:drawing>
          <wp:inline>
            <wp:extent cx="5334000" cy="2682781"/>
            <wp:effectExtent b="0" l="0" r="0" t="0"/>
            <wp:docPr descr="Рис. 2: Здания Donskaya и Pavlovskaya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Здания Donskaya и Pavlovskaya</w:t>
      </w:r>
    </w:p>
    <w:bookmarkEnd w:id="31"/>
    <w:bookmarkStart w:id="36" w:name="размещение-серверного-помещ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Размещение серверного помещения</w:t>
      </w:r>
    </w:p>
    <w:p>
      <w:pPr>
        <w:pStyle w:val="FirstParagraph"/>
      </w:pPr>
      <w:r>
        <w:t xml:space="preserve">В здании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было размещено серверное помещение (Wiring Closet / Main Wiring Closet). Для этого соответствующий элемент был перемещён внутрь здания.</w:t>
      </w:r>
    </w:p>
    <w:p>
      <w:pPr>
        <w:pStyle w:val="BodyText"/>
      </w:pPr>
      <w:r>
        <w:t xml:space="preserve">После перехода внутрь серверного помещения стало доступно отображение стоек и размещённого оборудования.</w:t>
      </w:r>
    </w:p>
    <w:p>
      <w:pPr>
        <w:pStyle w:val="CaptionedFigure"/>
      </w:pPr>
      <w:bookmarkStart w:id="35" w:name="fig:003"/>
      <w:r>
        <w:drawing>
          <wp:inline>
            <wp:extent cx="5334000" cy="3494689"/>
            <wp:effectExtent b="0" l="0" r="0" t="0"/>
            <wp:docPr descr="Рис. 3: Серверное помещение в здании Donskaya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Серверное помещение в здании Donskaya</w:t>
      </w:r>
    </w:p>
    <w:bookmarkEnd w:id="36"/>
    <w:bookmarkStart w:id="41" w:name="X4d2429901223fd371f497f7cd29342e022c5c7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Размещение оборудования в здании Pavlovskaya</w:t>
      </w:r>
    </w:p>
    <w:p>
      <w:pPr>
        <w:pStyle w:val="FirstParagraph"/>
      </w:pPr>
      <w:r>
        <w:t xml:space="preserve">В здании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было выполнено размещение оборудования. С использованием инструмента</w:t>
      </w:r>
      <w:r>
        <w:t xml:space="preserve"> </w:t>
      </w:r>
      <w:r>
        <w:rPr>
          <w:bCs/>
          <w:b/>
        </w:rPr>
        <w:t xml:space="preserve">Move</w:t>
      </w:r>
      <w:r>
        <w:t xml:space="preserve"> </w:t>
      </w:r>
      <w:r>
        <w:t xml:space="preserve">были перемещены следующие устройства:</w:t>
      </w:r>
      <w:r>
        <w:t xml:space="preserve"> </w:t>
      </w:r>
      <w:r>
        <w:t xml:space="preserve">- коммутатор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dk-pavlovskaya-1</w:t>
      </w:r>
      <w:r>
        <w:t xml:space="preserve"> </w:t>
      </w:r>
      <w:r>
        <w:t xml:space="preserve">- оконечное устройство</w:t>
      </w:r>
      <w:r>
        <w:t xml:space="preserve"> </w:t>
      </w:r>
      <w:r>
        <w:rPr>
          <w:bCs/>
          <w:b/>
        </w:rPr>
        <w:t xml:space="preserve">other-pavlovskaya-1</w:t>
      </w:r>
    </w:p>
    <w:p>
      <w:pPr>
        <w:pStyle w:val="BodyText"/>
      </w:pPr>
      <w:r>
        <w:t xml:space="preserve">Все устройства были размещены внутри серверного помещения здания Pavlovskaya.</w:t>
      </w:r>
    </w:p>
    <w:p>
      <w:pPr>
        <w:pStyle w:val="BodyText"/>
      </w:pPr>
      <w:r>
        <w:t xml:space="preserve">В результате физическая топология была приведена в соответствие с логической структурой сети.</w:t>
      </w:r>
    </w:p>
    <w:p>
      <w:pPr>
        <w:pStyle w:val="CaptionedFigure"/>
      </w:pPr>
      <w:bookmarkStart w:id="40" w:name="fig:004"/>
      <w:r>
        <w:drawing>
          <wp:inline>
            <wp:extent cx="5334000" cy="3919420"/>
            <wp:effectExtent b="0" l="0" r="0" t="0"/>
            <wp:docPr descr="Рис. 4: Размещение оборудования в Pavlovskaya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Размещение оборудования в Pavlovskaya</w:t>
      </w:r>
    </w:p>
    <w:bookmarkEnd w:id="41"/>
    <w:bookmarkStart w:id="46" w:name="проверка-сетевого-соединен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сетевого соединения</w:t>
      </w:r>
    </w:p>
    <w:p>
      <w:pPr>
        <w:pStyle w:val="FirstParagraph"/>
      </w:pPr>
      <w:r>
        <w:t xml:space="preserve">После завершения настройки физической структуры был выполнен возврат в логическую рабочую область (Logical Workspace).</w:t>
      </w:r>
    </w:p>
    <w:p>
      <w:pPr>
        <w:pStyle w:val="BodyText"/>
      </w:pP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была выполнена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с помощью команды ping.</w:t>
      </w:r>
    </w:p>
    <w:p>
      <w:pPr>
        <w:pStyle w:val="BodyText"/>
      </w:pPr>
      <w:r>
        <w:t xml:space="preserve">ping 10.128.1.6</w:t>
      </w:r>
    </w:p>
    <w:p>
      <w:pPr>
        <w:pStyle w:val="BodyText"/>
      </w:pPr>
      <w:r>
        <w:t xml:space="preserve">В результате выполнения команды был получен успешный ответ от удалённого устройства. Потерь пакетов не наблюдается, что подтверждает корректную настройку сети и работоспособность соединения между узлами.</w:t>
      </w:r>
    </w:p>
    <w:p>
      <w:pPr>
        <w:pStyle w:val="CaptionedFigure"/>
      </w:pPr>
      <w:bookmarkStart w:id="45" w:name="fig:005"/>
      <w:r>
        <w:drawing>
          <wp:inline>
            <wp:extent cx="5334000" cy="1236109"/>
            <wp:effectExtent b="0" l="0" r="0" t="0"/>
            <wp:docPr descr="Рис. 5: Результат проверки соединения (ping)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6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Результат проверки соединения (ping)</w:t>
      </w:r>
    </w:p>
    <w:bookmarkEnd w:id="46"/>
    <w:bookmarkStart w:id="47" w:name="X356793adca93e47dd566de92e68f54e48af2ac3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Включение учёта физических характеристик среды передачи</w:t>
      </w:r>
    </w:p>
    <w:p>
      <w:pPr>
        <w:pStyle w:val="FirstParagraph"/>
      </w:pPr>
      <w:r>
        <w:t xml:space="preserve">В настройках Cisco Packet Tracer через меню</w:t>
      </w:r>
      <w:r>
        <w:t xml:space="preserve"> </w:t>
      </w:r>
      <w:r>
        <w:rPr>
          <w:bCs/>
          <w:b/>
        </w:rPr>
        <w:t xml:space="preserve">Options → Preferences → Interface</w:t>
      </w:r>
      <w:r>
        <w:t xml:space="preserve"> </w:t>
      </w:r>
      <w:r>
        <w:t xml:space="preserve">была активирована опция</w:t>
      </w:r>
      <w:r>
        <w:t xml:space="preserve"> </w:t>
      </w:r>
      <w:r>
        <w:rPr>
          <w:bCs/>
          <w:b/>
        </w:rPr>
        <w:t xml:space="preserve">Enable Cable Length Effects</w:t>
      </w:r>
      <w:r>
        <w:t xml:space="preserve">, позволяющая учитывать физические параметры среды передачи данных.</w:t>
      </w:r>
    </w:p>
    <w:p>
      <w:pPr>
        <w:pStyle w:val="BodyText"/>
      </w:pPr>
      <w:r>
        <w:t xml:space="preserve">Данная настройка позволяет моделировать влияние длины кабеля на качество соединения.</w:t>
      </w:r>
    </w:p>
    <w:bookmarkEnd w:id="47"/>
    <w:bookmarkStart w:id="52" w:name="изменение-расстояния-между-территориям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Изменение расстояния между территориями</w:t>
      </w:r>
    </w:p>
    <w:p>
      <w:pPr>
        <w:pStyle w:val="FirstParagraph"/>
      </w:pPr>
      <w:r>
        <w:t xml:space="preserve">В физической рабочей области Packet Tracer территории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были размещены на значительном расстоянии друг от друга (более 100 метров).</w:t>
      </w:r>
    </w:p>
    <w:p>
      <w:pPr>
        <w:pStyle w:val="BodyText"/>
      </w:pPr>
      <w:r>
        <w:t xml:space="preserve">При анализе соединения было установлено, что длина кабеля составляет более 700 метров, что превышает допустимые значения для витой пары.</w:t>
      </w:r>
    </w:p>
    <w:p>
      <w:pPr>
        <w:pStyle w:val="CaptionedFigure"/>
      </w:pPr>
      <w:bookmarkStart w:id="51" w:name="fig:006"/>
      <w:r>
        <w:drawing>
          <wp:inline>
            <wp:extent cx="5334000" cy="2684431"/>
            <wp:effectExtent b="0" l="0" r="0" t="0"/>
            <wp:docPr descr="Рис. 6: Длина соединения между территориями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Длина соединения между территориями</w:t>
      </w:r>
    </w:p>
    <w:bookmarkEnd w:id="52"/>
    <w:bookmarkStart w:id="57" w:name="Xc521af83fbffd1b35ad4e6591dc4724618a525f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соединения при превышении длины кабеля</w:t>
      </w:r>
    </w:p>
    <w:p>
      <w:pPr>
        <w:pStyle w:val="FirstParagraph"/>
      </w:pPr>
      <w:r>
        <w:t xml:space="preserve">После возврата в логическую рабочую область была выполнена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.</w:t>
      </w:r>
    </w:p>
    <w:p>
      <w:pPr>
        <w:pStyle w:val="BodyText"/>
      </w:pPr>
      <w:r>
        <w:t xml:space="preserve">ping 10.128.1.6</w:t>
      </w:r>
    </w:p>
    <w:p>
      <w:pPr>
        <w:pStyle w:val="BodyText"/>
      </w:pPr>
      <w:r>
        <w:t xml:space="preserve">В результате выполнения команды соединение оказалось неработоспособным. Потери пакетов составили 100%, что связано с превышением допустимой длины кабеля.</w:t>
      </w:r>
    </w:p>
    <w:p>
      <w:pPr>
        <w:pStyle w:val="CaptionedFigure"/>
      </w:pPr>
      <w:bookmarkStart w:id="56" w:name="fig:007"/>
      <w:r>
        <w:drawing>
          <wp:inline>
            <wp:extent cx="4625788" cy="1152605"/>
            <wp:effectExtent b="0" l="0" r="0" t="0"/>
            <wp:docPr descr="Рис. 7: Отсутствие соединения (ping)" title="" id="54" name="Picture"/>
            <a:graphic>
              <a:graphicData uri="http://schemas.openxmlformats.org/drawingml/2006/picture">
                <pic:pic>
                  <pic:nvPicPr>
                    <pic:cNvPr descr="Screenshot_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11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Отсутствие соединения (ping)</w:t>
      </w:r>
    </w:p>
    <w:bookmarkEnd w:id="57"/>
    <w:bookmarkStart w:id="62" w:name="добавление-повторителей-в-сеть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Добавление повторителей в сеть</w:t>
      </w:r>
    </w:p>
    <w:p>
      <w:pPr>
        <w:pStyle w:val="FirstParagraph"/>
      </w:pPr>
      <w:r>
        <w:t xml:space="preserve">Для устранения проблемы было удалено существующее соединение между коммутаторами.</w:t>
      </w:r>
    </w:p>
    <w:p>
      <w:pPr>
        <w:pStyle w:val="BodyText"/>
      </w:pPr>
      <w:r>
        <w:t xml:space="preserve">В логическую рабочую область были добавлены два повторителя: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msk-donskaya-mc-1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msk-pavlovskaya-mc-1</w:t>
      </w:r>
    </w:p>
    <w:p>
      <w:pPr>
        <w:pStyle w:val="BodyText"/>
      </w:pPr>
      <w:r>
        <w:t xml:space="preserve">На устройствах были установлены модули: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PT-REPEATER-NM-1CFE</w:t>
      </w:r>
      <w:r>
        <w:t xml:space="preserve"> </w:t>
      </w:r>
      <w:r>
        <w:t xml:space="preserve">для подключения витой пары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PT-REPEATER-NM-1FFE</w:t>
      </w:r>
      <w:r>
        <w:t xml:space="preserve"> </w:t>
      </w:r>
      <w:r>
        <w:t xml:space="preserve">для подключения оптоволокна</w:t>
      </w:r>
    </w:p>
    <w:p>
      <w:pPr>
        <w:pStyle w:val="CaptionedFigure"/>
      </w:pPr>
      <w:bookmarkStart w:id="61" w:name="fig:008"/>
      <w:r>
        <w:drawing>
          <wp:inline>
            <wp:extent cx="3488551" cy="1844168"/>
            <wp:effectExtent b="0" l="0" r="0" t="0"/>
            <wp:docPr descr="Рис. 8: Настройка повторителей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551" cy="184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Настройка повторителей</w:t>
      </w:r>
    </w:p>
    <w:bookmarkEnd w:id="62"/>
    <w:bookmarkStart w:id="67" w:name="размещение-повторителя-в-pavlovskaya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Размещение повторителя в Pavlovskaya</w:t>
      </w:r>
    </w:p>
    <w:p>
      <w:pPr>
        <w:pStyle w:val="FirstParagraph"/>
      </w:pPr>
      <w:r>
        <w:t xml:space="preserve">Повторитель</w:t>
      </w:r>
      <w:r>
        <w:t xml:space="preserve"> </w:t>
      </w:r>
      <w:r>
        <w:rPr>
          <w:bCs/>
          <w:b/>
        </w:rPr>
        <w:t xml:space="preserve">msk-pavlovskaya-mc-1</w:t>
      </w:r>
      <w:r>
        <w:t xml:space="preserve"> </w:t>
      </w:r>
      <w:r>
        <w:t xml:space="preserve">был перемещён в физической рабочей области на территорию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с использованием инструмента</w:t>
      </w:r>
      <w:r>
        <w:t xml:space="preserve"> </w:t>
      </w:r>
      <w:r>
        <w:rPr>
          <w:bCs/>
          <w:b/>
        </w:rPr>
        <w:t xml:space="preserve">Move</w:t>
      </w:r>
      <w:r>
        <w:t xml:space="preserve">.</w:t>
      </w:r>
    </w:p>
    <w:p>
      <w:pPr>
        <w:pStyle w:val="CaptionedFigure"/>
      </w:pPr>
      <w:bookmarkStart w:id="66" w:name="fig:009"/>
      <w:r>
        <w:drawing>
          <wp:inline>
            <wp:extent cx="5334000" cy="3621185"/>
            <wp:effectExtent b="0" l="0" r="0" t="0"/>
            <wp:docPr descr="Рис. 9: Перемещение повторителя" title="" id="64" name="Picture"/>
            <a:graphic>
              <a:graphicData uri="http://schemas.openxmlformats.org/drawingml/2006/picture">
                <pic:pic>
                  <pic:nvPicPr>
                    <pic:cNvPr descr="Screenshot_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9: Перемещение повторителя</w:t>
      </w:r>
    </w:p>
    <w:bookmarkEnd w:id="67"/>
    <w:bookmarkStart w:id="72" w:name="X64746779af41662f13288b857705dfef3596b8f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Подключение устройств с использованием повторителей</w:t>
      </w:r>
    </w:p>
    <w:p>
      <w:pPr>
        <w:pStyle w:val="FirstParagraph"/>
      </w:pPr>
      <w:r>
        <w:t xml:space="preserve">Была выполнена новая схема подключения: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msk-donskaya-mc-1</w:t>
      </w:r>
      <w:r>
        <w:t xml:space="preserve"> </w:t>
      </w:r>
      <w:r>
        <w:t xml:space="preserve">по витой паре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msk-donskaya-mc-1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bCs/>
          <w:b/>
        </w:rPr>
        <w:t xml:space="preserve">msk-pavlovskaya-mc-1</w:t>
      </w:r>
      <w:r>
        <w:t xml:space="preserve"> </w:t>
      </w:r>
      <w:r>
        <w:t xml:space="preserve">по оптоволокну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msk-pavlovskaya-mc-1</w:t>
      </w:r>
      <w:r>
        <w:t xml:space="preserve"> </w:t>
      </w:r>
      <w:r>
        <w:t xml:space="preserve">по витой паре</w:t>
      </w:r>
    </w:p>
    <w:p>
      <w:pPr>
        <w:pStyle w:val="BodyText"/>
      </w:pPr>
      <w:r>
        <w:t xml:space="preserve">В результате была реализована схема передачи данных с учётом физических ограничений среды.</w:t>
      </w:r>
    </w:p>
    <w:p>
      <w:pPr>
        <w:pStyle w:val="CaptionedFigure"/>
      </w:pPr>
      <w:bookmarkStart w:id="71" w:name="fig:010"/>
      <w:r>
        <w:drawing>
          <wp:inline>
            <wp:extent cx="5334000" cy="3405139"/>
            <wp:effectExtent b="0" l="0" r="0" t="0"/>
            <wp:docPr descr="Рис. 10: Обновлённая топология сети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Обновлённая топология сети</w:t>
      </w:r>
    </w:p>
    <w:bookmarkEnd w:id="72"/>
    <w:bookmarkStart w:id="77" w:name="проверка-работоспособности-соединения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работоспособности соединения</w:t>
      </w:r>
    </w:p>
    <w:p>
      <w:pPr>
        <w:pStyle w:val="FirstParagraph"/>
      </w:pPr>
      <w:r>
        <w:t xml:space="preserve">После настройки сети была повторно выполнена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.</w:t>
      </w:r>
    </w:p>
    <w:p>
      <w:pPr>
        <w:pStyle w:val="BodyText"/>
      </w:pPr>
      <w:r>
        <w:t xml:space="preserve">ping 10.128.1.6</w:t>
      </w:r>
    </w:p>
    <w:p>
      <w:pPr>
        <w:pStyle w:val="BodyText"/>
      </w:pPr>
      <w:r>
        <w:t xml:space="preserve">В результате выполнения команды соединение было успешно установлено. Потери пакетов отсутствуют (или минимальны), что подтверждает корректную работу сети после внедрения повторителей.</w:t>
      </w:r>
    </w:p>
    <w:p>
      <w:pPr>
        <w:pStyle w:val="CaptionedFigure"/>
      </w:pPr>
      <w:bookmarkStart w:id="76" w:name="fig:011"/>
      <w:r>
        <w:drawing>
          <wp:inline>
            <wp:extent cx="4641156" cy="1221761"/>
            <wp:effectExtent b="0" l="0" r="0" t="0"/>
            <wp:docPr descr="Рис. 11: Успешный результат ping" title="" id="74" name="Picture"/>
            <a:graphic>
              <a:graphicData uri="http://schemas.openxmlformats.org/drawingml/2006/picture">
                <pic:pic>
                  <pic:nvPicPr>
                    <pic:cNvPr descr="Screenshot_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6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11: Успешный результат ping</w:t>
      </w:r>
    </w:p>
    <w:bookmarkEnd w:id="77"/>
    <w:bookmarkEnd w:id="78"/>
    <w:bookmarkStart w:id="81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79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физические аспекты построения сети и влияние характеристик среды передачи данных на её работоспособность. Было установлено, что при превышении допустимой длины кабеля соединение между устройствами нарушается. Для устранения данной проблемы были применены повторители и оптоволоконная линия связи, что позволило восстановить корректную передачу данных между узлами сети.</w:t>
      </w:r>
    </w:p>
    <w:bookmarkEnd w:id="79"/>
    <w:bookmarkStart w:id="80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  <w:r>
        <w:br/>
      </w:r>
      <w:r>
        <w:t xml:space="preserve">К основным средам передачи данных относятся:</w:t>
      </w:r>
      <w:r>
        <w:t xml:space="preserve"> </w:t>
      </w:r>
      <w:r>
        <w:t xml:space="preserve">- витая пара (медный кабель)</w:t>
      </w:r>
      <w:r>
        <w:br/>
      </w:r>
      <w:r>
        <w:t xml:space="preserve">- коаксиальный кабель</w:t>
      </w:r>
      <w:r>
        <w:br/>
      </w:r>
      <w:r>
        <w:t xml:space="preserve">- оптоволоконный кабель</w:t>
      </w:r>
      <w:r>
        <w:br/>
      </w:r>
      <w:r>
        <w:t xml:space="preserve">- беспроводные среды (Wi-Fi, радиоканалы)</w:t>
      </w:r>
    </w:p>
    <w:p>
      <w:pPr>
        <w:pStyle w:val="BodyText"/>
      </w:pPr>
      <w:r>
        <w:t xml:space="preserve">При планировании сети необходимо учитывать следующие характеристики:</w:t>
      </w:r>
      <w:r>
        <w:t xml:space="preserve"> </w:t>
      </w:r>
      <w:r>
        <w:t xml:space="preserve">- максимальная длина сегмента</w:t>
      </w:r>
      <w:r>
        <w:br/>
      </w:r>
      <w:r>
        <w:t xml:space="preserve">- пропускная способность</w:t>
      </w:r>
      <w:r>
        <w:br/>
      </w:r>
      <w:r>
        <w:t xml:space="preserve">- уровень затухания сигнала</w:t>
      </w:r>
      <w:r>
        <w:br/>
      </w:r>
      <w:r>
        <w:t xml:space="preserve">- помехоустойчивость</w:t>
      </w:r>
      <w:r>
        <w:br/>
      </w:r>
      <w:r>
        <w:t xml:space="preserve">- стоимость и сложность монтажа</w:t>
      </w:r>
      <w:r>
        <w:br/>
      </w:r>
      <w:r>
        <w:t xml:space="preserve">- условия эксплуатации (внутри помещения или на улице)</w:t>
      </w:r>
    </w:p>
    <w:p>
      <w:pPr>
        <w:pStyle w:val="BodyText"/>
      </w:pPr>
      <w:r>
        <w:rPr>
          <w:bCs/>
          <w:b/>
        </w:rPr>
        <w:t xml:space="preserve">2. Перечислите категории витой пары. Чем они отличаются? Какая категория в каких условиях может применяться?</w:t>
      </w:r>
      <w:r>
        <w:br/>
      </w:r>
      <w:r>
        <w:t xml:space="preserve">Основные категории витой пары:</w:t>
      </w:r>
      <w:r>
        <w:t xml:space="preserve"> </w:t>
      </w:r>
      <w:r>
        <w:t xml:space="preserve">- Cat5 — до 100 Мбит/с</w:t>
      </w:r>
      <w:r>
        <w:br/>
      </w:r>
      <w:r>
        <w:t xml:space="preserve">- Cat5e — до 1 Гбит/с</w:t>
      </w:r>
      <w:r>
        <w:br/>
      </w:r>
      <w:r>
        <w:t xml:space="preserve">- Cat6 — до 10 Гбит/с (на коротких расстояниях)</w:t>
      </w:r>
      <w:r>
        <w:br/>
      </w:r>
      <w:r>
        <w:t xml:space="preserve">- Cat6a — до 10 Гбит/с (до 100 м)</w:t>
      </w:r>
      <w:r>
        <w:br/>
      </w:r>
      <w:r>
        <w:t xml:space="preserve">- Cat7 — повышенная экранизация, высокая защита от помех</w:t>
      </w:r>
    </w:p>
    <w:p>
      <w:pPr>
        <w:pStyle w:val="BodyText"/>
      </w:pPr>
      <w:r>
        <w:t xml:space="preserve">Категории отличаются:</w:t>
      </w:r>
      <w:r>
        <w:t xml:space="preserve"> </w:t>
      </w:r>
      <w:r>
        <w:t xml:space="preserve">- пропускной способностью</w:t>
      </w:r>
      <w:r>
        <w:br/>
      </w:r>
      <w:r>
        <w:t xml:space="preserve">- частотным диапазоном</w:t>
      </w:r>
      <w:r>
        <w:br/>
      </w:r>
      <w:r>
        <w:t xml:space="preserve">- уровнем экранирования</w:t>
      </w:r>
    </w:p>
    <w:p>
      <w:pPr>
        <w:pStyle w:val="BodyText"/>
      </w:pPr>
      <w:r>
        <w:t xml:space="preserve">Применение:</w:t>
      </w:r>
      <w:r>
        <w:t xml:space="preserve"> </w:t>
      </w:r>
      <w:r>
        <w:t xml:space="preserve">- Cat5e — офисные и домашние сети</w:t>
      </w:r>
      <w:r>
        <w:br/>
      </w:r>
      <w:r>
        <w:t xml:space="preserve">- Cat6 / Cat6a — корпоративные сети с высокой нагрузкой</w:t>
      </w:r>
      <w:r>
        <w:br/>
      </w:r>
      <w:r>
        <w:t xml:space="preserve">- Cat7 — среды с высоким уровнем электромагнитных помех</w:t>
      </w:r>
    </w:p>
    <w:p>
      <w:pPr>
        <w:pStyle w:val="BodyText"/>
      </w:pPr>
      <w:r>
        <w:rPr>
          <w:bCs/>
          <w:b/>
        </w:rPr>
        <w:t xml:space="preserve">3. В чем отличие одномодового и многомодового оптоволокна? Какой тип кабеля в каких условиях может применяться?</w:t>
      </w:r>
      <w:r>
        <w:br/>
      </w:r>
      <w:r>
        <w:t xml:space="preserve">Одномодовое оптоволокно:</w:t>
      </w:r>
      <w:r>
        <w:t xml:space="preserve"> </w:t>
      </w:r>
      <w:r>
        <w:t xml:space="preserve">- передаёт сигнал по одному лучу</w:t>
      </w:r>
      <w:r>
        <w:br/>
      </w:r>
      <w:r>
        <w:t xml:space="preserve">- используется лазерный источник</w:t>
      </w:r>
      <w:r>
        <w:br/>
      </w:r>
      <w:r>
        <w:t xml:space="preserve">- обеспечивает передачу на большие расстояния (десятки километров)</w:t>
      </w:r>
      <w:r>
        <w:br/>
      </w:r>
      <w:r>
        <w:t xml:space="preserve">- имеет высокую стоимость</w:t>
      </w:r>
    </w:p>
    <w:p>
      <w:pPr>
        <w:pStyle w:val="BodyText"/>
      </w:pPr>
      <w:r>
        <w:t xml:space="preserve">Многомодовое оптоволокно:</w:t>
      </w:r>
      <w:r>
        <w:t xml:space="preserve"> </w:t>
      </w:r>
      <w:r>
        <w:t xml:space="preserve">- передаёт сигнал по нескольким лучам</w:t>
      </w:r>
      <w:r>
        <w:br/>
      </w:r>
      <w:r>
        <w:t xml:space="preserve">- используется светодиод</w:t>
      </w:r>
      <w:r>
        <w:br/>
      </w:r>
      <w:r>
        <w:t xml:space="preserve">- применяется на коротких расстояниях (до нескольких сотен метров)</w:t>
      </w:r>
      <w:r>
        <w:br/>
      </w:r>
      <w:r>
        <w:t xml:space="preserve">- дешевле в реализации</w:t>
      </w:r>
    </w:p>
    <w:p>
      <w:pPr>
        <w:pStyle w:val="BodyText"/>
      </w:pPr>
      <w:r>
        <w:t xml:space="preserve">Применение:</w:t>
      </w:r>
      <w:r>
        <w:t xml:space="preserve"> </w:t>
      </w:r>
      <w:r>
        <w:t xml:space="preserve">- одномодовое — магистральные линии связи</w:t>
      </w:r>
      <w:r>
        <w:br/>
      </w:r>
      <w:r>
        <w:t xml:space="preserve">- многомодовое — внутри зданий и кампусов</w:t>
      </w:r>
    </w:p>
    <w:p>
      <w:pPr>
        <w:pStyle w:val="BodyText"/>
      </w:pPr>
      <w:r>
        <w:rPr>
          <w:bCs/>
          <w:b/>
        </w:rPr>
        <w:t xml:space="preserve">4. Какие разъёмы встречаются на патчах оптоволокна? Чем они отличаются?</w:t>
      </w:r>
      <w:r>
        <w:br/>
      </w:r>
      <w:r>
        <w:t xml:space="preserve">Наиболее распространённые типы разъёмов:</w:t>
      </w:r>
      <w:r>
        <w:t xml:space="preserve"> </w:t>
      </w:r>
      <w:r>
        <w:t xml:space="preserve">- SC — прямоугольный, удобен для плотного размещения</w:t>
      </w:r>
      <w:r>
        <w:br/>
      </w:r>
      <w:r>
        <w:t xml:space="preserve">- LC — компактный, используется в современном оборудовании</w:t>
      </w:r>
      <w:r>
        <w:br/>
      </w:r>
      <w:r>
        <w:t xml:space="preserve">- ST — с байонетным креплением</w:t>
      </w:r>
      <w:r>
        <w:br/>
      </w:r>
      <w:r>
        <w:t xml:space="preserve">- FC — резьбовой, обеспечивает надёжное соединение</w:t>
      </w:r>
    </w:p>
    <w:p>
      <w:pPr>
        <w:pStyle w:val="BodyText"/>
      </w:pPr>
      <w:r>
        <w:t xml:space="preserve">Различия:</w:t>
      </w:r>
      <w:r>
        <w:t xml:space="preserve"> </w:t>
      </w:r>
      <w:r>
        <w:t xml:space="preserve">- типом крепления (защёлка, резьба, байонет)</w:t>
      </w:r>
      <w:r>
        <w:br/>
      </w:r>
      <w:r>
        <w:t xml:space="preserve">- размером и плотностью размещения</w:t>
      </w:r>
      <w:r>
        <w:br/>
      </w:r>
      <w:r>
        <w:t xml:space="preserve">- областью применения (серверные, телекоммуникационные узлы, лаборатории)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Авдадаев Джамал Геланиевич</dc:creator>
  <dc:language>ru-RU</dc:language>
  <cp:keywords/>
  <dcterms:created xsi:type="dcterms:W3CDTF">2026-03-23T09:33:16Z</dcterms:created>
  <dcterms:modified xsi:type="dcterms:W3CDTF">2026-03-23T09:33:16Z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