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Интернету.</w:t>
      </w:r>
    </w:p>
    <w:bookmarkEnd w:id="20"/>
    <w:bookmarkStart w:id="60" w:name="ход-выполнени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Cisco Packet Tracer был открыт предыдущий проект сети и внесены изменения в логическую структуру согласно заданию.</w:t>
      </w:r>
      <w:r>
        <w:br/>
      </w:r>
      <w:r>
        <w:t xml:space="preserve">На схему L1 были добавлены сеть провайдера и сеть модельного Интернета. Для вновь введённых сегментов были указаны имена устройств и интерфейсы подключения, что позволило отразить полную цепочку прохождения трафика от локальной сети «Донская» до внешних ресурсов.</w:t>
      </w:r>
    </w:p>
    <w:p>
      <w:pPr>
        <w:pStyle w:val="BodyText"/>
      </w:pPr>
      <w:r>
        <w:t xml:space="preserve">На схеме верхнего уровня были выделены следующие дополнительные элементы: коммутатор сети модельного Интернета</w:t>
      </w:r>
      <w:r>
        <w:t xml:space="preserve"> </w:t>
      </w:r>
      <w:r>
        <w:rPr>
          <w:bCs/>
          <w:b/>
        </w:rPr>
        <w:t xml:space="preserve">internet-dgavdadaev-sw-1</w:t>
      </w:r>
      <w:r>
        <w:t xml:space="preserve">, маршрутизатор провайдера</w:t>
      </w:r>
      <w:r>
        <w:t xml:space="preserve"> </w:t>
      </w:r>
      <w:r>
        <w:rPr>
          <w:bCs/>
          <w:b/>
        </w:rPr>
        <w:t xml:space="preserve">provider-dgavdadaev-gw-1</w:t>
      </w:r>
      <w:r>
        <w:t xml:space="preserve">, коммутатор провайдера</w:t>
      </w:r>
      <w:r>
        <w:t xml:space="preserve"> </w:t>
      </w:r>
      <w:r>
        <w:rPr>
          <w:bCs/>
          <w:b/>
        </w:rPr>
        <w:t xml:space="preserve">provider-dgavdadaev-sw-1</w:t>
      </w:r>
      <w:r>
        <w:t xml:space="preserve">, а также маршрутизатор кампусной сети</w:t>
      </w:r>
      <w:r>
        <w:t xml:space="preserve"> </w:t>
      </w:r>
      <w:r>
        <w:rPr>
          <w:bCs/>
          <w:b/>
        </w:rPr>
        <w:t xml:space="preserve">msk-donskaya-dgavadadev-gw-1</w:t>
      </w:r>
      <w:r>
        <w:t xml:space="preserve">. На схеме были подписаны используемые порты FastEthernet и GigabitEthernet, через которые организованы соединения между узлами.</w:t>
      </w:r>
    </w:p>
    <w:p>
      <w:pPr>
        <w:pStyle w:val="CaptionedFigure"/>
      </w:pPr>
      <w:bookmarkStart w:id="24" w:name="fig:001"/>
      <w:r>
        <w:drawing>
          <wp:inline>
            <wp:extent cx="5334000" cy="5318403"/>
            <wp:effectExtent b="0" l="0" r="0" t="0"/>
            <wp:docPr descr="Рис. 1: Скорректированная схема L1 с сетью провайдера и модельным Интернетом" title="" id="22" name="Picture"/>
            <a:graphic>
              <a:graphicData uri="http://schemas.openxmlformats.org/drawingml/2006/picture">
                <pic:pic>
                  <pic:nvPicPr>
                    <pic:cNvPr descr="L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Скорректированная схема L1 с сетью провайдера и модельным Интернетом</w:t>
      </w:r>
    </w:p>
    <w:p>
      <w:pPr>
        <w:pStyle w:val="BodyText"/>
      </w:pPr>
      <w:r>
        <w:t xml:space="preserve">После этого были обновлены схемы второго и третьего уровней.</w:t>
      </w:r>
      <w:r>
        <w:br/>
      </w:r>
      <w:r>
        <w:t xml:space="preserve">На схеме L2 были указаны VLAN, проходящие по соединениям между коммутаторами и маршрутизатором, а также VLAN провайдера и модельного Интернета. Для линии между маршрутизатором провайдера и коммутатором провайдера выделен VLAN</w:t>
      </w:r>
      <w:r>
        <w:t xml:space="preserve"> </w:t>
      </w:r>
      <w:r>
        <w:rPr>
          <w:bCs/>
          <w:b/>
        </w:rPr>
        <w:t xml:space="preserve">4</w:t>
      </w:r>
      <w:r>
        <w:t xml:space="preserve">, который используется для связи с кампусной сетью и модельным Интернетом. Для внутренней сети «Донская» на магистральных линиях сохранена передача нескольких VLAN, включая VLAN</w:t>
      </w:r>
      <w:r>
        <w:t xml:space="preserve"> </w:t>
      </w:r>
      <w:r>
        <w:rPr>
          <w:bCs/>
          <w:b/>
        </w:rPr>
        <w:t xml:space="preserve">2</w:t>
      </w:r>
      <w:r>
        <w:t xml:space="preserve">,</w:t>
      </w:r>
      <w:r>
        <w:t xml:space="preserve"> </w:t>
      </w:r>
      <w:r>
        <w:rPr>
          <w:bCs/>
          <w:b/>
        </w:rPr>
        <w:t xml:space="preserve">3</w:t>
      </w:r>
      <w:r>
        <w:t xml:space="preserve">,</w:t>
      </w:r>
      <w:r>
        <w:t xml:space="preserve"> </w:t>
      </w:r>
      <w:r>
        <w:rPr>
          <w:bCs/>
          <w:b/>
        </w:rPr>
        <w:t xml:space="preserve">101</w:t>
      </w:r>
      <w:r>
        <w:t xml:space="preserve">,</w:t>
      </w:r>
      <w:r>
        <w:t xml:space="preserve"> </w:t>
      </w:r>
      <w:r>
        <w:rPr>
          <w:bCs/>
          <w:b/>
        </w:rPr>
        <w:t xml:space="preserve">102</w:t>
      </w:r>
      <w:r>
        <w:t xml:space="preserve">,</w:t>
      </w:r>
      <w:r>
        <w:t xml:space="preserve"> </w:t>
      </w:r>
      <w:r>
        <w:rPr>
          <w:bCs/>
          <w:b/>
        </w:rPr>
        <w:t xml:space="preserve">103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104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5334000"/>
            <wp:effectExtent b="0" l="0" r="0" t="0"/>
            <wp:docPr descr="Рис. 2: Схема L2 с указанием VLAN и магистральных соединений" title="" id="26" name="Picture"/>
            <a:graphic>
              <a:graphicData uri="http://schemas.openxmlformats.org/drawingml/2006/picture">
                <pic:pic>
                  <pic:nvPicPr>
                    <pic:cNvPr descr="L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Схема L2 с указанием VLAN и магистральных соединений</w:t>
      </w:r>
    </w:p>
    <w:p>
      <w:pPr>
        <w:pStyle w:val="BodyText"/>
      </w:pPr>
      <w:r>
        <w:t xml:space="preserve">На схеме L3 были отражены адресные пространства всех подсетей.</w:t>
      </w:r>
      <w:r>
        <w:br/>
      </w:r>
      <w:r>
        <w:t xml:space="preserve">Для модельного Интернета использована сеть</w:t>
      </w:r>
      <w:r>
        <w:t xml:space="preserve"> </w:t>
      </w:r>
      <w:r>
        <w:rPr>
          <w:bCs/>
          <w:b/>
        </w:rPr>
        <w:t xml:space="preserve">192.0.2.0/24</w:t>
      </w:r>
      <w:r>
        <w:t xml:space="preserve">, для сети провайдера —</w:t>
      </w:r>
      <w:r>
        <w:t xml:space="preserve"> </w:t>
      </w:r>
      <w:r>
        <w:rPr>
          <w:bCs/>
          <w:b/>
        </w:rPr>
        <w:t xml:space="preserve">198.51.100.0/24</w:t>
      </w:r>
      <w:r>
        <w:t xml:space="preserve">, а внутренняя маршрутизация кампусной сети представлена набором подсетей</w:t>
      </w:r>
      <w:r>
        <w:t xml:space="preserve"> </w:t>
      </w:r>
      <w:r>
        <w:rPr>
          <w:bCs/>
          <w:b/>
        </w:rPr>
        <w:t xml:space="preserve">10.128.x.0/24</w:t>
      </w:r>
      <w:r>
        <w:t xml:space="preserve">. В частности, выделены подсети серверной фермы, сети управления, дисплейных классов, кафедр, администрации и других пользователей.</w:t>
      </w:r>
    </w:p>
    <w:p>
      <w:pPr>
        <w:pStyle w:val="CaptionedFigure"/>
      </w:pPr>
      <w:bookmarkStart w:id="32" w:name="fig:003"/>
      <w:r>
        <w:drawing>
          <wp:inline>
            <wp:extent cx="5334000" cy="5058267"/>
            <wp:effectExtent b="0" l="0" r="0" t="0"/>
            <wp:docPr descr="Рис. 3: Схема L3 с адресными пространствами сети" title="" id="30" name="Picture"/>
            <a:graphic>
              <a:graphicData uri="http://schemas.openxmlformats.org/drawingml/2006/picture">
                <pic:pic>
                  <pic:nvPicPr>
                    <pic:cNvPr descr="L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8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Схема L3 с адресными пространствами сети</w:t>
      </w:r>
    </w:p>
    <w:p>
      <w:pPr>
        <w:pStyle w:val="BodyText"/>
      </w:pPr>
      <w:r>
        <w:t xml:space="preserve">Далее в рабочей области Packet Tracer было размещено дополнительное оборудование для сети провайдера и сети модельного Интернета.</w:t>
      </w:r>
      <w:r>
        <w:br/>
      </w:r>
      <w:r>
        <w:t xml:space="preserve">На схему были добавлены четыре медиаконвертера</w:t>
      </w:r>
      <w:r>
        <w:t xml:space="preserve"> </w:t>
      </w:r>
      <w:r>
        <w:rPr>
          <w:bCs/>
          <w:b/>
        </w:rPr>
        <w:t xml:space="preserve">Repeater-PT</w:t>
      </w:r>
      <w:r>
        <w:t xml:space="preserve">, два коммутатора</w:t>
      </w:r>
      <w:r>
        <w:t xml:space="preserve"> </w:t>
      </w:r>
      <w:r>
        <w:rPr>
          <w:bCs/>
          <w:b/>
        </w:rPr>
        <w:t xml:space="preserve">Cisco 2960-24TT</w:t>
      </w:r>
      <w:r>
        <w:t xml:space="preserve">, один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 </w:t>
      </w:r>
      <w:r>
        <w:t xml:space="preserve">и четыре сервера, имитирующие внешние интернет-ресурсы. После размещения каждому устройству было присвоено имя в соответствии с модельными предположениями и разработанной схемой.</w:t>
      </w:r>
    </w:p>
    <w:p>
      <w:pPr>
        <w:pStyle w:val="BodyText"/>
      </w:pPr>
      <w:r>
        <w:t xml:space="preserve">В сети модельного Интернета были размещены серверы: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www.rudn.ru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esystem.pfur.ru</w:t>
      </w:r>
    </w:p>
    <w:p>
      <w:pPr>
        <w:pStyle w:val="BodyText"/>
      </w:pPr>
      <w:r>
        <w:t xml:space="preserve">В сети провайдера были размещены: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provider-dgavdadaev-gw-1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provider-dgavdadaev-sw-1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provider-dgavdadaev-mc-1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provider-dgavdadaev-mc-2</w:t>
      </w:r>
    </w:p>
    <w:p>
      <w:pPr>
        <w:pStyle w:val="BodyText"/>
      </w:pPr>
      <w:r>
        <w:t xml:space="preserve">Также были добавлены: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internet-dgavdadaev-sw-1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internet-dgavdadaev-mc-1</w:t>
      </w:r>
    </w:p>
    <w:p>
      <w:pPr>
        <w:pStyle w:val="BodyText"/>
      </w:pPr>
      <w:r>
        <w:t xml:space="preserve">После размещения и переименования всех устройств логическая топология приобрела законченный вид, включающий как локальную сеть организации, так и внешнюю инфраструктуру провайдера и модельного Интернета.</w:t>
      </w:r>
    </w:p>
    <w:p>
      <w:pPr>
        <w:pStyle w:val="CaptionedFigure"/>
      </w:pPr>
      <w:bookmarkStart w:id="36" w:name="fig:004"/>
      <w:r>
        <w:drawing>
          <wp:inline>
            <wp:extent cx="5334000" cy="4728518"/>
            <wp:effectExtent b="0" l="0" r="0" t="0"/>
            <wp:docPr descr="Рис. 4: Итоговая логическая топология сети после добавления оборудования" title="" id="34" name="Picture"/>
            <a:graphic>
              <a:graphicData uri="http://schemas.openxmlformats.org/drawingml/2006/picture">
                <pic:pic>
                  <pic:nvPicPr>
                    <pic:cNvPr descr="Screenshot_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8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Итоговая логическая топология сети после добавления оборудования</w:t>
      </w:r>
    </w:p>
    <w:p>
      <w:pPr>
        <w:pStyle w:val="BodyText"/>
      </w:pPr>
      <w:r>
        <w:t xml:space="preserve">На следующем этапе был выполнен переход в физическую рабочую область.</w:t>
      </w:r>
      <w:r>
        <w:br/>
      </w:r>
      <w:r>
        <w:t xml:space="preserve">В физическом представлении сети были добавлены два отдельных здания: одно для оборудования провайдера, второе — для размещения серверов модельного Интернета. Эти объекты были названы в соответствии с их назначением, что позволило логически отделить внешнюю инфраструктуру от оборудования локальной сети «Донская».</w:t>
      </w:r>
    </w:p>
    <w:p>
      <w:pPr>
        <w:pStyle w:val="CaptionedFigure"/>
      </w:pPr>
      <w:bookmarkStart w:id="40" w:name="fig:005"/>
      <w:r>
        <w:drawing>
          <wp:inline>
            <wp:extent cx="5334000" cy="3335356"/>
            <wp:effectExtent b="0" l="0" r="0" t="0"/>
            <wp:docPr descr="Рис. 5: Физическая рабочая область с добавленными зданиями провайдера и модельного Интернета" title="" id="38" name="Picture"/>
            <a:graphic>
              <a:graphicData uri="http://schemas.openxmlformats.org/drawingml/2006/picture">
                <pic:pic>
                  <pic:nvPicPr>
                    <pic:cNvPr descr="Screenshot_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Физическая рабочая область с добавленными зданиями провайдера и модельного Интернета</w:t>
      </w:r>
    </w:p>
    <w:p>
      <w:pPr>
        <w:pStyle w:val="BodyText"/>
      </w:pPr>
      <w:r>
        <w:t xml:space="preserve">Затем оборудование, относящееся к провайдеру, было перенесено в здание провайдера.</w:t>
      </w:r>
      <w:r>
        <w:br/>
      </w:r>
      <w:r>
        <w:t xml:space="preserve">Внутри стойки были размещены коммутатор</w:t>
      </w:r>
      <w:r>
        <w:t xml:space="preserve"> </w:t>
      </w:r>
      <w:r>
        <w:rPr>
          <w:bCs/>
          <w:b/>
        </w:rPr>
        <w:t xml:space="preserve">provider-dgavdadaev-sw-1</w:t>
      </w:r>
      <w:r>
        <w:t xml:space="preserve">, маршрутизатор</w:t>
      </w:r>
      <w:r>
        <w:t xml:space="preserve"> </w:t>
      </w:r>
      <w:r>
        <w:rPr>
          <w:bCs/>
          <w:b/>
        </w:rPr>
        <w:t xml:space="preserve">provider-dgavdadaev-gw-1</w:t>
      </w:r>
      <w:r>
        <w:t xml:space="preserve">, а также медиаконвертеры</w:t>
      </w:r>
      <w:r>
        <w:t xml:space="preserve"> </w:t>
      </w:r>
      <w:r>
        <w:rPr>
          <w:bCs/>
          <w:b/>
        </w:rPr>
        <w:t xml:space="preserve">provider-dgavdadaev-mc-1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provider-dgavdadaev-mc-2</w:t>
      </w:r>
      <w:r>
        <w:t xml:space="preserve">. После этого между устройствами были выполнены соединения в соответствии со скорректированной схемой L1.</w:t>
      </w:r>
    </w:p>
    <w:p>
      <w:pPr>
        <w:pStyle w:val="CaptionedFigure"/>
      </w:pPr>
      <w:bookmarkStart w:id="44" w:name="fig:006"/>
      <w:r>
        <w:drawing>
          <wp:inline>
            <wp:extent cx="5209774" cy="4694944"/>
            <wp:effectExtent b="0" l="0" r="0" t="0"/>
            <wp:docPr descr="Рис. 6: Размещение и подключение оборудования провайдера в физической области" title="" id="42" name="Picture"/>
            <a:graphic>
              <a:graphicData uri="http://schemas.openxmlformats.org/drawingml/2006/picture">
                <pic:pic>
                  <pic:nvPicPr>
                    <pic:cNvPr descr="Screenshot_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774" cy="4694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Размещение и подключение оборудования провайдера в физической области</w:t>
      </w:r>
    </w:p>
    <w:p>
      <w:pPr>
        <w:pStyle w:val="BodyText"/>
      </w:pPr>
      <w:r>
        <w:t xml:space="preserve">Аналогичным образом серверы модельного Интернета и связанное с ними оборудование были перенесены в отдельное здание.</w:t>
      </w:r>
      <w:r>
        <w:br/>
      </w:r>
      <w:r>
        <w:t xml:space="preserve">В этом сегменте были размещены коммутатор</w:t>
      </w:r>
      <w:r>
        <w:t xml:space="preserve"> </w:t>
      </w:r>
      <w:r>
        <w:rPr>
          <w:bCs/>
          <w:b/>
        </w:rPr>
        <w:t xml:space="preserve">internet-dgavdadaev-sw-1</w:t>
      </w:r>
      <w:r>
        <w:t xml:space="preserve">, медиаконвертер</w:t>
      </w:r>
      <w:r>
        <w:t xml:space="preserve"> </w:t>
      </w:r>
      <w:r>
        <w:rPr>
          <w:bCs/>
          <w:b/>
        </w:rPr>
        <w:t xml:space="preserve">internet-dgavdadaev-mc-1</w:t>
      </w:r>
      <w:r>
        <w:t xml:space="preserve"> </w:t>
      </w:r>
      <w:r>
        <w:t xml:space="preserve">и серверы внешних ресурсов. После этого были выполнены необходимые соединения между серверами, коммутатором и линией связи с оборудованием провайдера.</w:t>
      </w:r>
    </w:p>
    <w:p>
      <w:pPr>
        <w:pStyle w:val="CaptionedFigure"/>
      </w:pPr>
      <w:bookmarkStart w:id="48" w:name="fig:007"/>
      <w:r>
        <w:drawing>
          <wp:inline>
            <wp:extent cx="5094514" cy="4464423"/>
            <wp:effectExtent b="0" l="0" r="0" t="0"/>
            <wp:docPr descr="Рис. 7: Размещение серверов модельного Интернета и их подключение" title="" id="46" name="Picture"/>
            <a:graphic>
              <a:graphicData uri="http://schemas.openxmlformats.org/drawingml/2006/picture">
                <pic:pic>
                  <pic:nvPicPr>
                    <pic:cNvPr descr="Screenshot_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14" cy="446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Размещение серверов модельного Интернета и их подключение</w:t>
      </w:r>
    </w:p>
    <w:p>
      <w:pPr>
        <w:pStyle w:val="BodyText"/>
      </w:pPr>
      <w:r>
        <w:t xml:space="preserve">После завершения структурной части были настроены IP-адреса серверов модельного Интернета.</w:t>
      </w:r>
      <w:r>
        <w:br/>
      </w:r>
      <w:r>
        <w:t xml:space="preserve">В соответствии с таблицей адресации каждому серверу был назначен статический IP-адрес из сети</w:t>
      </w:r>
      <w:r>
        <w:t xml:space="preserve"> </w:t>
      </w:r>
      <w:r>
        <w:rPr>
          <w:bCs/>
          <w:b/>
        </w:rPr>
        <w:t xml:space="preserve">192.0.2.0/24</w:t>
      </w:r>
      <w:r>
        <w:t xml:space="preserve">, маска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bCs/>
          <w:b/>
        </w:rPr>
        <w:t xml:space="preserve">192.0.2.1</w:t>
      </w:r>
      <w:r>
        <w:t xml:space="preserve">. На примере сервера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 </w:t>
      </w:r>
      <w:r>
        <w:t xml:space="preserve">ему был назначен адрес</w:t>
      </w:r>
      <w:r>
        <w:t xml:space="preserve"> </w:t>
      </w:r>
      <w:r>
        <w:rPr>
          <w:bCs/>
          <w:b/>
        </w:rPr>
        <w:t xml:space="preserve">192.0.2.13</w:t>
      </w:r>
      <w:r>
        <w:t xml:space="preserve">.</w:t>
      </w:r>
    </w:p>
    <w:p>
      <w:pPr>
        <w:pStyle w:val="CaptionedFigure"/>
      </w:pPr>
      <w:bookmarkStart w:id="52" w:name="fig:008"/>
      <w:r>
        <w:drawing>
          <wp:inline>
            <wp:extent cx="5248194" cy="2358998"/>
            <wp:effectExtent b="0" l="0" r="0" t="0"/>
            <wp:docPr descr="Рис. 8: Настройка IP-адресации на сервере esystem.pfur.ru" title="" id="50" name="Picture"/>
            <a:graphic>
              <a:graphicData uri="http://schemas.openxmlformats.org/drawingml/2006/picture">
                <pic:pic>
                  <pic:nvPicPr>
                    <pic:cNvPr descr="Screenshot_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94" cy="2358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Настройка IP-адресации на сервере esystem.pfur.ru</w:t>
      </w:r>
    </w:p>
    <w:p>
      <w:pPr>
        <w:pStyle w:val="BodyText"/>
      </w:pPr>
      <w:r>
        <w:t xml:space="preserve">После этого была выполнена настройка DNS-сервера сети «Донская».</w:t>
      </w:r>
      <w:r>
        <w:br/>
      </w:r>
      <w:r>
        <w:t xml:space="preserve">На DNS-сервере были добавлены ресурсные записи типа</w:t>
      </w:r>
      <w:r>
        <w:t xml:space="preserve"> </w:t>
      </w:r>
      <w:r>
        <w:rPr>
          <w:bCs/>
          <w:b/>
        </w:rPr>
        <w:t xml:space="preserve">A Record</w:t>
      </w:r>
      <w:r>
        <w:t xml:space="preserve">, связывающие доменные имена с IP-адресами серверов как внутренней сети, так и модельного Интернета. В таблицу DNS были внесены записи для следующих ресурсов: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dns.donskaya.rudn.edu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10.128.0.5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esystem.pfur.ru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192.0.2.13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file.donskaya.rudn.edu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10.128.0.3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mail.donskaya.rudn.edu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10.128.0.4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stud.rudn.university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192.0.2.12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www.donskaya.rudn.edu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10.128.0.2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www.rudn.ru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192.0.2.14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www.yandex.ru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192.0.2.11</w:t>
      </w:r>
    </w:p>
    <w:p>
      <w:pPr>
        <w:pStyle w:val="FirstParagraph"/>
      </w:pPr>
      <w:r>
        <w:t xml:space="preserve">Это обеспечило корректное разрешение доменных имён как для внутренних, так и для внешних сетевых ресурсов.</w:t>
      </w:r>
    </w:p>
    <w:p>
      <w:pPr>
        <w:pStyle w:val="CaptionedFigure"/>
      </w:pPr>
      <w:bookmarkStart w:id="56" w:name="fig:009"/>
      <w:r>
        <w:drawing>
          <wp:inline>
            <wp:extent cx="5334000" cy="4775941"/>
            <wp:effectExtent b="0" l="0" r="0" t="0"/>
            <wp:docPr descr="Рис. 9: Настройка DNS-записей на DNS-сервере сети «Донская»" title="" id="54" name="Picture"/>
            <a:graphic>
              <a:graphicData uri="http://schemas.openxmlformats.org/drawingml/2006/picture">
                <pic:pic>
                  <pic:nvPicPr>
                    <pic:cNvPr descr="Screenshot_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5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Настройка DNS-записей на DNS-сервере сети «Донская»</w:t>
      </w:r>
    </w:p>
    <w:bookmarkStart w:id="57" w:name="таблица-1.-подключение-портов-l1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Таблица 1. Подключение портов (L1)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Устройство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WWW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internet-dgavdadaev-sw-1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FE0/1–0/20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схеме указан диапазон портов FE0/1–0/20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internet-dgavdadaev-sw-1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Аплинк к провайдерскому шлюзу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provider-dgavdadaev-sw-1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Линк шлюз ↔ коммутатор провайдера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provider-dgavdadaev-sw-1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Линк к внутреннему шлюзу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Линк шлюз ↔ центральный коммутатор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msk-pavlovskaya-dgavdadaev-sw-1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Межкоммутаторный линк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msk-donskaya-dgavdadaev-sw-1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Межкоммутаторный линк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msk-donskaya-dgavdadaev-sw-1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Межкоммутаторный линк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msk-donskaya-dgavdadaev-sw-2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Межкоммутаторный линк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msk-pavlovskaya-dgavdadaev-sw-1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FE0/1–0/15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сегмент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msk-pavlovskaya-dgavdadaev-sw-1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сегмент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msk-donskaya-dgavdadaev-sw-2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FE0/1–0/24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Серверный сегмент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msk-donskaya-dgavdadaev-sw-4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FE0/1–0/5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сегмент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msk-donskaya-dgavdadaev-sw-4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FE0/6–0/10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сегмент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msk-donskaya-dgavdadaev-sw-4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FE0/11–0/15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Предположение по схеме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msk-donskaya-dgavdadaev-sw-4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FE0/16–0/24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сегмент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msk-donskaya-dgavdadaev-sw-3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Дополнительное подключение серверного сегмента</w:t>
            </w:r>
          </w:p>
        </w:tc>
      </w:tr>
    </w:tbl>
    <w:bookmarkEnd w:id="57"/>
    <w:bookmarkStart w:id="58" w:name="Xd4989c450495ad45c161e40f07eeb101cc393bc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Таблица 2. VLAN’ы и прохождение по портам (L2)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Транки внутри локальной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Серверный сегмент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Провайдер / транзит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198.51.100.0/24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внутреннего шлюза с провайдером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Клиентские порты ДК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Клиентские порты 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Клиентские порты 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Клиентские порты Д</w:t>
            </w:r>
          </w:p>
        </w:tc>
      </w:tr>
    </w:tbl>
    <w:bookmarkEnd w:id="58"/>
    <w:bookmarkStart w:id="59" w:name="таблица-3.-ip-план-подсети-l3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Таблица 3. IP-план / подсети (L3)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/ узел схемы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192.0.2.0/24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Внешняя сеть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Провайдер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198.51.100.0/24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provider-dgavdadaev-gw-1 ↔ msk-donskaya-dgavdadaev-gw-1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Транзитная сеть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Серверный сегмент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Сеть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сегмент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сегмент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сегмент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msk-donskaya-dgavdadaev-gw-1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сегмент</w:t>
            </w:r>
          </w:p>
        </w:tc>
      </w:tr>
    </w:tbl>
    <w:bookmarkEnd w:id="59"/>
    <w:bookmarkEnd w:id="60"/>
    <w:bookmarkEnd w:id="61"/>
    <w:bookmarkStart w:id="64" w:name="итог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Итоги</w:t>
      </w:r>
    </w:p>
    <w:bookmarkStart w:id="62" w:name="вывод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была модернизирована топология сети в Cisco Packet Tracer за счёт добавления сети провайдера и модельной сети Интернета. Были скорректированы схемы L1, L2 и L3, отражающие физическую, канальную и сетевую структуру сети, а также выполнено распределение VLAN и IP-адресов.</w:t>
      </w:r>
    </w:p>
    <w:p>
      <w:pPr>
        <w:pStyle w:val="BodyText"/>
      </w:pPr>
      <w:r>
        <w:t xml:space="preserve">В рабочей области было размещено дополнительное сетевое оборудование, включая маршрутизатор, коммутаторы, медиаконвертеры и серверы. Выполнено логическое и физическое разделение инфраструктуры за счёт размещения оборудования провайдера и серверов Интернета в отдельных зданиях. Настроена IP-адресация серверов и реализовано разрешение доменных имён с помощью DNS-сервера.</w:t>
      </w:r>
    </w:p>
    <w:bookmarkEnd w:id="62"/>
    <w:bookmarkStart w:id="63" w:name="контрольные-вопрос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Что такое Network Address Translation (NAT)?</w:t>
      </w:r>
      <w:r>
        <w:br/>
      </w:r>
      <w:r>
        <w:t xml:space="preserve">Network Address Translation (NAT) — это технология преобразования сетевых адресов, при которой один или несколько внутренних (частных) IP-адресов заменяются на внешний (публичный) IP-адрес при выходе в другую сеть, обычно в Интернет. Это позволяет экономить публичные IP-адреса и скрывать внутреннюю структуру сети.</w:t>
      </w:r>
    </w:p>
    <w:p>
      <w:pPr>
        <w:pStyle w:val="BodyText"/>
      </w:pPr>
      <w:r>
        <w:rPr>
          <w:bCs/>
          <w:b/>
        </w:rPr>
        <w:t xml:space="preserve">2. Как определить, находится ли узел сети за NAT?</w:t>
      </w:r>
      <w:r>
        <w:br/>
      </w:r>
      <w:r>
        <w:t xml:space="preserve">Определить, находится ли узел за NAT, можно следующими способами:</w:t>
      </w:r>
    </w:p>
    <w:p>
      <w:pPr>
        <w:numPr>
          <w:ilvl w:val="0"/>
          <w:numId w:val="1002"/>
        </w:numPr>
        <w:pStyle w:val="Compact"/>
      </w:pPr>
      <w:r>
        <w:t xml:space="preserve">сравнить локальный IP-адрес устройства с внешним IP-адресом (например, через веб-сервисы определения IP);</w:t>
      </w:r>
    </w:p>
    <w:p>
      <w:pPr>
        <w:numPr>
          <w:ilvl w:val="0"/>
          <w:numId w:val="1002"/>
        </w:numPr>
        <w:pStyle w:val="Compact"/>
      </w:pPr>
      <w:r>
        <w:t xml:space="preserve">если внутренний адрес принадлежит частным диапазонам (10.0.0.0/8, 172.16.0.0/12, 192.168.0.0/16), то устройство, как правило, находится за NAT;</w:t>
      </w:r>
    </w:p>
    <w:p>
      <w:pPr>
        <w:numPr>
          <w:ilvl w:val="0"/>
          <w:numId w:val="1002"/>
        </w:numPr>
        <w:pStyle w:val="Compact"/>
      </w:pPr>
      <w:r>
        <w:t xml:space="preserve">при анализе сетевого трафика можно увидеть подмену адреса на пограничном маршрутизаторе;</w:t>
      </w:r>
    </w:p>
    <w:p>
      <w:pPr>
        <w:numPr>
          <w:ilvl w:val="0"/>
          <w:numId w:val="1002"/>
        </w:numPr>
        <w:pStyle w:val="Compact"/>
      </w:pPr>
      <w:r>
        <w:t xml:space="preserve">с помощью трассировки маршрута (traceroute) можно обнаружить наличие промежуточного устройства, выполняющего NAT.</w:t>
      </w:r>
    </w:p>
    <w:p>
      <w:pPr>
        <w:pStyle w:val="FirstParagraph"/>
      </w:pPr>
      <w:r>
        <w:rPr>
          <w:bCs/>
          <w:b/>
        </w:rPr>
        <w:t xml:space="preserve">3. Какое оборудование отвечает за преобразование адреса методом NAT?</w:t>
      </w:r>
      <w:r>
        <w:br/>
      </w:r>
      <w:r>
        <w:t xml:space="preserve">Преобразование адресов NAT выполняется сетевым устройством, расположенным на границе сети, чаще всего это:</w:t>
      </w:r>
    </w:p>
    <w:p>
      <w:pPr>
        <w:numPr>
          <w:ilvl w:val="0"/>
          <w:numId w:val="1003"/>
        </w:numPr>
        <w:pStyle w:val="Compact"/>
      </w:pPr>
      <w:r>
        <w:t xml:space="preserve">маршрутизатор (router);</w:t>
      </w:r>
    </w:p>
    <w:p>
      <w:pPr>
        <w:numPr>
          <w:ilvl w:val="0"/>
          <w:numId w:val="1003"/>
        </w:numPr>
        <w:pStyle w:val="Compact"/>
      </w:pPr>
      <w:r>
        <w:t xml:space="preserve">межсетевой экран (firewall);</w:t>
      </w:r>
    </w:p>
    <w:p>
      <w:pPr>
        <w:numPr>
          <w:ilvl w:val="0"/>
          <w:numId w:val="1003"/>
        </w:numPr>
        <w:pStyle w:val="Compact"/>
      </w:pPr>
      <w:r>
        <w:t xml:space="preserve">специализированный шлюз (gateway).</w:t>
      </w:r>
    </w:p>
    <w:p>
      <w:pPr>
        <w:pStyle w:val="FirstParagraph"/>
      </w:pPr>
      <w:r>
        <w:t xml:space="preserve">Именно это устройство изменяет IP-адреса в заголовках пакетов при их передаче между сетями.</w:t>
      </w:r>
    </w:p>
    <w:p>
      <w:pPr>
        <w:pStyle w:val="BodyText"/>
      </w:pPr>
      <w:r>
        <w:rPr>
          <w:bCs/>
          <w:b/>
        </w:rPr>
        <w:t xml:space="preserve">4. В чём отличие статического, динамического и перегруженного NAT?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Статический NAT (Static NAT)</w:t>
      </w:r>
      <w:r>
        <w:t xml:space="preserve"> </w:t>
      </w:r>
      <w:r>
        <w:t xml:space="preserve">— обеспечивает постоянное соответствие одного внутреннего IP-адреса одному внешнему. Используется, например, для публикации серверов.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Динамический NAT (Dynamic NAT)</w:t>
      </w:r>
      <w:r>
        <w:t xml:space="preserve"> </w:t>
      </w:r>
      <w:r>
        <w:t xml:space="preserve">— использует пул внешних IP-адресов, которые динамически назначаются внутренним узлам при необходимости.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Перегруженный NAT (PAT, Port Address Translation)</w:t>
      </w:r>
      <w:r>
        <w:t xml:space="preserve"> </w:t>
      </w:r>
      <w:r>
        <w:t xml:space="preserve">— позволяет множеству внутренних устройств использовать один внешний IP-адрес за счёт различия портов. Это наиболее распространённый тип NAT.</w:t>
      </w:r>
    </w:p>
    <w:p>
      <w:pPr>
        <w:pStyle w:val="FirstParagraph"/>
      </w:pPr>
      <w:r>
        <w:rPr>
          <w:bCs/>
          <w:b/>
        </w:rPr>
        <w:t xml:space="preserve">5. Охарактеризуйте типы NAT.</w:t>
      </w:r>
    </w:p>
    <w:p>
      <w:pPr>
        <w:pStyle w:val="BodyText"/>
      </w:pPr>
      <w:r>
        <w:t xml:space="preserve">Основные типы NAT можно охарактеризовать следующим образом: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Static NAT</w:t>
      </w:r>
      <w:r>
        <w:t xml:space="preserve"> </w:t>
      </w:r>
      <w:r>
        <w:t xml:space="preserve">— фиксированное отображение адресов, используется для постоянной доступности узлов из внешней сети;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Dynamic NAT</w:t>
      </w:r>
      <w:r>
        <w:t xml:space="preserve"> </w:t>
      </w:r>
      <w:r>
        <w:t xml:space="preserve">— временное сопоставление адресов из заданного пула, применяется при наличии ограниченного числа внешних адресов;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PAT (NAT Overload)</w:t>
      </w:r>
      <w:r>
        <w:t xml:space="preserve"> </w:t>
      </w:r>
      <w:r>
        <w:t xml:space="preserve">— преобразование адресов с использованием портов, обеспечивает одновременный доступ множества устройств к Интернету через один IP;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Inside NAT / Outside NAT</w:t>
      </w:r>
      <w:r>
        <w:t xml:space="preserve"> </w:t>
      </w:r>
      <w:r>
        <w:t xml:space="preserve">— классификация NAT в зависимости от направления преобразования (внутренние и внешние адреса);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Source NAT (SNAT)</w:t>
      </w:r>
      <w:r>
        <w:t xml:space="preserve"> </w:t>
      </w:r>
      <w:r>
        <w:t xml:space="preserve">— изменяет адрес отправителя;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Destination NAT (DNAT)</w:t>
      </w:r>
      <w:r>
        <w:t xml:space="preserve"> </w:t>
      </w:r>
      <w:r>
        <w:t xml:space="preserve">— изменяет адрес получателя, используется, например, при пробросе портов.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Авдадаев Джамал Геланиевич</dc:creator>
  <dc:language>ru-RU</dc:language>
  <cp:keywords/>
  <dcterms:created xsi:type="dcterms:W3CDTF">2026-04-21T08:33:40Z</dcterms:created>
  <dcterms:modified xsi:type="dcterms:W3CDTF">2026-04-21T08:33:40Z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