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8B1A1A"/>
          <w:sz w:val="52"/>
          <w:szCs w:val="52"/>
        </w:rPr>
        <w:t xml:space="preserve">Hotel Red</w:t>
      </w:r>
    </w:p>
    <w:p>
      <w:pPr>
        <w:spacing w:after="80" w:before="0"/>
        <w:jc w:val="left"/>
      </w:pPr>
      <w:r>
        <w:rPr>
          <w:rFonts w:ascii="Arial" w:cs="Arial" w:eastAsia="Arial" w:hAnsi="Arial"/>
          <w:b w:val="false"/>
          <w:bCs w:val="false"/>
          <w:color w:val="555555"/>
          <w:sz w:val="26"/>
          <w:szCs w:val="26"/>
        </w:rPr>
        <w:t xml:space="preserve">Cesim Service Simulation — 7-Round Post-Mortem</w:t>
      </w:r>
    </w:p>
    <w:p>
      <w:pPr>
        <w:spacing w:after="40" w:before="0"/>
        <w:jc w:val="left"/>
      </w:pPr>
      <w:r>
        <w:rPr>
          <w:rFonts w:ascii="Arial" w:cs="Arial" w:eastAsia="Arial" w:hAnsi="Arial"/>
          <w:b w:val="false"/>
          <w:bCs w:val="false"/>
          <w:color w:val="777777"/>
          <w:sz w:val="20"/>
          <w:szCs w:val="20"/>
        </w:rPr>
        <w:t xml:space="preserve">Mini MBA Program  ·  Team Self-Analysis  ·  Second-Opinion Read</w:t>
      </w:r>
    </w:p>
    <w:p>
      <w:pPr>
        <w:pBdr>
          <w:bottom w:val="single" w:color="8B1A1A" w:sz="12" w:space="4"/>
        </w:pBdr>
        <w:spacing w:after="360" w:before="0"/>
      </w:pPr>
      <w:r>
        <w:rPr>
          <w:rFonts w:ascii="Arial" w:cs="Arial" w:eastAsia="Arial" w:hAnsi="Arial"/>
          <w:b w:val="false"/>
          <w:bCs w:val="false"/>
          <w:color w:val="444444"/>
          <w:sz w:val="22"/>
          <w:szCs w:val="22"/>
        </w:rPr>
        <w:t xml:space="preserve"/>
      </w:r>
    </w:p>
    <w:p>
      <w:pPr>
        <w:pStyle w:val="Heading1"/>
        <w:pBdr>
          <w:bottom w:val="single" w:color="8B1A1A" w:sz="6" w:space="4"/>
        </w:pBdr>
        <w:spacing w:after="160" w:before="360"/>
      </w:pPr>
      <w:r>
        <w:rPr>
          <w:rFonts w:ascii="Arial" w:cs="Arial" w:eastAsia="Arial" w:hAnsi="Arial"/>
          <w:b/>
          <w:bCs/>
          <w:color w:val="8B1A1A"/>
          <w:sz w:val="28"/>
          <w:szCs w:val="28"/>
        </w:rPr>
        <w:t xml:space="preserve">Final Standings</w:t>
      </w:r>
    </w:p>
    <w:p>
      <w:pPr>
        <w:spacing w:after="200" w:before="0"/>
        <w:jc w:val="left"/>
      </w:pPr>
      <w:r>
        <w:rPr>
          <w:rFonts w:ascii="Arial" w:cs="Arial" w:eastAsia="Arial" w:hAnsi="Arial"/>
          <w:b w:val="false"/>
          <w:bCs w:val="false"/>
          <w:color w:val="444444"/>
          <w:sz w:val="20"/>
          <w:szCs w:val="20"/>
        </w:rPr>
        <w:t xml:space="preserve">Hotel Red earned the </w:t>
      </w:r>
      <w:r>
        <w:rPr>
          <w:rFonts w:ascii="Arial" w:cs="Arial" w:eastAsia="Arial" w:hAnsi="Arial"/>
          <w:b/>
          <w:bCs/>
          <w:color w:val="444444"/>
          <w:sz w:val="20"/>
          <w:szCs w:val="20"/>
        </w:rPr>
        <w:t xml:space="preserve">highest total net profit of any team</w:t>
      </w:r>
      <w:r>
        <w:rPr>
          <w:rFonts w:ascii="Arial" w:cs="Arial" w:eastAsia="Arial" w:hAnsi="Arial"/>
          <w:b w:val="false"/>
          <w:bCs w:val="false"/>
          <w:color w:val="444444"/>
          <w:sz w:val="20"/>
          <w:szCs w:val="20"/>
        </w:rPr>
        <w:t xml:space="preserve"> ($845,616 vs. Hotel of America's $816,895) across all seven rounds, but finished </w:t>
      </w:r>
      <w:r>
        <w:rPr>
          <w:rFonts w:ascii="Arial" w:cs="Arial" w:eastAsia="Arial" w:hAnsi="Arial"/>
          <w:b/>
          <w:bCs/>
          <w:color w:val="444444"/>
          <w:sz w:val="20"/>
          <w:szCs w:val="20"/>
        </w:rPr>
        <w:t xml:space="preserve">third in cumulative Total Shareholder Return</w:t>
      </w:r>
      <w:r>
        <w:rPr>
          <w:rFonts w:ascii="Arial" w:cs="Arial" w:eastAsia="Arial" w:hAnsi="Arial"/>
          <w:b w:val="false"/>
          <w:bCs w:val="false"/>
          <w:color w:val="444444"/>
          <w:sz w:val="20"/>
          <w:szCs w:val="20"/>
        </w:rPr>
        <w:t xml:space="preserve"> (10.82% vs. Hotel of America's 13.52%). That gap between profit leadership and return ranking is the central story of this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621"/>
        <w:gridCol w:w="2059"/>
        <w:gridCol w:w="2059"/>
        <w:gridCol w:w="1872"/>
      </w:tblGrid>
      <w:tr>
        <w:trPr>
          <w:tblHeader/>
        </w:trPr>
        <w:tc>
          <w:tcPr>
            <w:tcW w:type="dxa" w:w="749"/>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Rank</w:t>
            </w:r>
          </w:p>
        </w:tc>
        <w:tc>
          <w:tcPr>
            <w:tcW w:type="dxa" w:w="2621"/>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Team</w:t>
            </w:r>
          </w:p>
        </w:tc>
        <w:tc>
          <w:tcPr>
            <w:tcW w:type="dxa" w:w="2059"/>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Cumulative Total Shareholder Return</w:t>
            </w:r>
          </w:p>
        </w:tc>
        <w:tc>
          <w:tcPr>
            <w:tcW w:type="dxa" w:w="2059"/>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Final Share Price</w:t>
            </w:r>
          </w:p>
        </w:tc>
        <w:tc>
          <w:tcPr>
            <w:tcW w:type="dxa" w:w="1872"/>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 Net Profit (7 rounds)</w:t>
            </w:r>
          </w:p>
        </w:tc>
      </w:tr>
      <w:tr>
        <w:tc>
          <w:tcPr>
            <w:tcW w:type="dxa" w:w="749"/>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1st</w:t>
            </w:r>
          </w:p>
        </w:tc>
        <w:tc>
          <w:tcPr>
            <w:tcW w:type="dxa" w:w="2621"/>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Hotel of America</w:t>
            </w:r>
          </w:p>
        </w:tc>
        <w:tc>
          <w:tcPr>
            <w:tcW w:type="dxa" w:w="2059"/>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13.52%</w:t>
            </w:r>
          </w:p>
        </w:tc>
        <w:tc>
          <w:tcPr>
            <w:tcW w:type="dxa" w:w="2059"/>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$72.89</w:t>
            </w:r>
          </w:p>
        </w:tc>
        <w:tc>
          <w:tcPr>
            <w:tcW w:type="dxa" w:w="1872"/>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$816,895</w:t>
            </w:r>
          </w:p>
        </w:tc>
      </w:tr>
      <w:tr>
        <w:tc>
          <w:tcPr>
            <w:tcW w:type="dxa" w:w="749"/>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2nd</w:t>
            </w:r>
          </w:p>
        </w:tc>
        <w:tc>
          <w:tcPr>
            <w:tcW w:type="dxa" w:w="2621"/>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The Northline</w:t>
            </w:r>
          </w:p>
        </w:tc>
        <w:tc>
          <w:tcPr>
            <w:tcW w:type="dxa" w:w="2059"/>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11.19%</w:t>
            </w:r>
          </w:p>
        </w:tc>
        <w:tc>
          <w:tcPr>
            <w:tcW w:type="dxa" w:w="2059"/>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$62.96</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$684,022</w:t>
            </w:r>
          </w:p>
        </w:tc>
      </w:tr>
      <w:tr>
        <w:tc>
          <w:tcPr>
            <w:tcW w:type="dxa" w:w="749"/>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left"/>
            </w:pPr>
            <w:r>
              <w:rPr>
                <w:rFonts w:ascii="Arial" w:cs="Arial" w:eastAsia="Arial" w:hAnsi="Arial"/>
                <w:b/>
                <w:bCs/>
                <w:color w:val="444444"/>
                <w:sz w:val="18"/>
                <w:szCs w:val="18"/>
              </w:rPr>
              <w:t xml:space="preserve">3rd ★</w:t>
            </w:r>
          </w:p>
        </w:tc>
        <w:tc>
          <w:tcPr>
            <w:tcW w:type="dxa" w:w="2621"/>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left"/>
            </w:pPr>
            <w:r>
              <w:rPr>
                <w:rFonts w:ascii="Arial" w:cs="Arial" w:eastAsia="Arial" w:hAnsi="Arial"/>
                <w:b/>
                <w:bCs/>
                <w:color w:val="444444"/>
                <w:sz w:val="18"/>
                <w:szCs w:val="18"/>
              </w:rPr>
              <w:t xml:space="preserve">Hotel Red (us)</w:t>
            </w:r>
          </w:p>
        </w:tc>
        <w:tc>
          <w:tcPr>
            <w:tcW w:type="dxa" w:w="2059"/>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10.82%</w:t>
            </w:r>
          </w:p>
        </w:tc>
        <w:tc>
          <w:tcPr>
            <w:tcW w:type="dxa" w:w="2059"/>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$61.60</w:t>
            </w:r>
          </w:p>
        </w:tc>
        <w:tc>
          <w:tcPr>
            <w:tcW w:type="dxa" w:w="1872"/>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$845,616</w:t>
            </w:r>
          </w:p>
        </w:tc>
      </w:tr>
      <w:tr>
        <w:tc>
          <w:tcPr>
            <w:tcW w:type="dxa" w:w="749"/>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4th</w:t>
            </w:r>
          </w:p>
        </w:tc>
        <w:tc>
          <w:tcPr>
            <w:tcW w:type="dxa" w:w="2621"/>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Blue</w:t>
            </w:r>
          </w:p>
        </w:tc>
        <w:tc>
          <w:tcPr>
            <w:tcW w:type="dxa" w:w="2059"/>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7.08%</w:t>
            </w:r>
          </w:p>
        </w:tc>
        <w:tc>
          <w:tcPr>
            <w:tcW w:type="dxa" w:w="2059"/>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$47.20</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$598,595</w:t>
            </w:r>
          </w:p>
        </w:tc>
      </w:tr>
    </w:tbl>
    <w:p>
      <w:pPr>
        <w:spacing w:after="0" w:before="60"/>
      </w:pPr>
      <w:r>
        <w:rPr>
          <w:rFonts w:ascii="Arial" w:cs="Arial" w:eastAsia="Arial" w:hAnsi="Arial"/>
          <w:b w:val="false"/>
          <w:bCs w:val="false"/>
          <w:color w:val="444444"/>
          <w:sz w:val="22"/>
          <w:szCs w:val="22"/>
        </w:rPr>
        <w:t xml:space="preserve"/>
      </w:r>
    </w:p>
    <w:p>
      <w:pPr>
        <w:spacing w:after="200" w:before="60"/>
        <w:jc w:val="left"/>
      </w:pPr>
      <w:r>
        <w:rPr>
          <w:rFonts w:ascii="Arial" w:cs="Arial" w:eastAsia="Arial" w:hAnsi="Arial"/>
          <w:b/>
          <w:bCs/>
          <w:color w:val="666666"/>
          <w:sz w:val="18"/>
          <w:szCs w:val="18"/>
        </w:rPr>
        <w:t xml:space="preserve">Note: </w:t>
      </w:r>
      <w:r>
        <w:rPr>
          <w:rFonts w:ascii="Arial" w:cs="Arial" w:eastAsia="Arial" w:hAnsi="Arial"/>
          <w:b w:val="false"/>
          <w:bCs w:val="false"/>
          <w:color w:val="666666"/>
          <w:sz w:val="18"/>
          <w:szCs w:val="18"/>
        </w:rPr>
        <w:t xml:space="preserve">Total Shareholder Return (TSR) measures share price appreciation. Hotel Red earned the most profit in total but spread earnings more evenly across rounds. Hotel of America concentrated their big profits in Rounds 5–7, which hit closer to the final valuation window and drove a higher ending share price.</w:t>
      </w:r>
    </w:p>
    <w:p>
      <w:pPr>
        <w:pStyle w:val="Heading1"/>
        <w:pBdr>
          <w:bottom w:val="single" w:color="8B1A1A" w:sz="6" w:space="4"/>
        </w:pBdr>
        <w:spacing w:after="160" w:before="360"/>
      </w:pPr>
      <w:r>
        <w:rPr>
          <w:rFonts w:ascii="Arial" w:cs="Arial" w:eastAsia="Arial" w:hAnsi="Arial"/>
          <w:b/>
          <w:bCs/>
          <w:color w:val="8B1A1A"/>
          <w:sz w:val="28"/>
          <w:szCs w:val="28"/>
        </w:rPr>
        <w:t xml:space="preserve">Comparative Metrics Across All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159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Northline</w:t>
            </w:r>
          </w:p>
        </w:tc>
        <w:tc>
          <w:tcPr>
            <w:tcW w:type="dxa" w:w="159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Hotel Red</w:t>
            </w:r>
          </w:p>
        </w:tc>
        <w:tc>
          <w:tcPr>
            <w:tcW w:type="dxa" w:w="159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Blue</w:t>
            </w:r>
          </w:p>
        </w:tc>
        <w:tc>
          <w:tcPr>
            <w:tcW w:type="dxa" w:w="159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Hotel of America</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Total Net Profit (7 rounds)</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$684,022</w:t>
            </w:r>
          </w:p>
        </w:tc>
        <w:tc>
          <w:tcPr>
            <w:tcW w:type="dxa" w:w="1590"/>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$845,616 ★</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$598,595</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$816,895</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Final Cash Position</w:t>
            </w:r>
          </w:p>
        </w:tc>
        <w:tc>
          <w:tcPr>
            <w:tcW w:type="dxa" w:w="159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$877,276</w:t>
            </w:r>
          </w:p>
        </w:tc>
        <w:tc>
          <w:tcPr>
            <w:tcW w:type="dxa" w:w="1590"/>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$1,736,104</w:t>
            </w:r>
          </w:p>
        </w:tc>
        <w:tc>
          <w:tcPr>
            <w:tcW w:type="dxa" w:w="159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$674,401</w:t>
            </w:r>
          </w:p>
        </w:tc>
        <w:tc>
          <w:tcPr>
            <w:tcW w:type="dxa" w:w="159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$1,686,843</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Starting Cash (Round 1)</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$528,020</w:t>
            </w:r>
          </w:p>
        </w:tc>
        <w:tc>
          <w:tcPr>
            <w:tcW w:type="dxa" w:w="1590"/>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$528,020</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$528,020</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$528,020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Long-Term Interest Paid (total)</w:t>
            </w:r>
          </w:p>
        </w:tc>
        <w:tc>
          <w:tcPr>
            <w:tcW w:type="dxa" w:w="159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$700,829</w:t>
            </w:r>
          </w:p>
        </w:tc>
        <w:tc>
          <w:tcPr>
            <w:tcW w:type="dxa" w:w="1590"/>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$674,071</w:t>
            </w:r>
          </w:p>
        </w:tc>
        <w:tc>
          <w:tcPr>
            <w:tcW w:type="dxa" w:w="159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$673,416</w:t>
            </w:r>
          </w:p>
        </w:tc>
        <w:tc>
          <w:tcPr>
            <w:tcW w:type="dxa" w:w="159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$681,034</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Avg Gross Profit Margin</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79.0%</w:t>
            </w:r>
          </w:p>
        </w:tc>
        <w:tc>
          <w:tcPr>
            <w:tcW w:type="dxa" w:w="1590"/>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79.6% ★</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74.2%</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78.1%</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Final Occupancy (Round 7)</w:t>
            </w:r>
          </w:p>
        </w:tc>
        <w:tc>
          <w:tcPr>
            <w:tcW w:type="dxa" w:w="159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48.5%</w:t>
            </w:r>
          </w:p>
        </w:tc>
        <w:tc>
          <w:tcPr>
            <w:tcW w:type="dxa" w:w="1590"/>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44.5%</w:t>
            </w:r>
          </w:p>
        </w:tc>
        <w:tc>
          <w:tcPr>
            <w:tcW w:type="dxa" w:w="159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39.8%</w:t>
            </w:r>
          </w:p>
        </w:tc>
        <w:tc>
          <w:tcPr>
            <w:tcW w:type="dxa" w:w="159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61.8%</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8"/>
                <w:szCs w:val="18"/>
              </w:rPr>
              <w:t xml:space="preserve">Final Gearing</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62.6%</w:t>
            </w:r>
          </w:p>
        </w:tc>
        <w:tc>
          <w:tcPr>
            <w:tcW w:type="dxa" w:w="1590"/>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41.1% ★</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68.3%</w:t>
            </w:r>
          </w:p>
        </w:tc>
        <w:tc>
          <w:tcPr>
            <w:tcW w:type="dxa" w:w="159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43.6%</w:t>
            </w:r>
          </w:p>
        </w:tc>
      </w:tr>
    </w:tbl>
    <w:p>
      <w:pPr>
        <w:spacing w:after="0" w:before="60"/>
      </w:pPr>
      <w:r>
        <w:rPr>
          <w:rFonts w:ascii="Arial" w:cs="Arial" w:eastAsia="Arial" w:hAnsi="Arial"/>
          <w:b w:val="false"/>
          <w:bCs w:val="false"/>
          <w:color w:val="444444"/>
          <w:sz w:val="22"/>
          <w:szCs w:val="22"/>
        </w:rPr>
        <w:t xml:space="preserve"/>
      </w:r>
    </w:p>
    <w:p>
      <w:pPr>
        <w:spacing w:after="240" w:before="40"/>
        <w:jc w:val="left"/>
      </w:pPr>
      <w:r>
        <w:rPr>
          <w:rFonts w:ascii="Arial" w:cs="Arial" w:eastAsia="Arial" w:hAnsi="Arial"/>
          <w:b w:val="false"/>
          <w:bCs w:val="false"/>
          <w:color w:val="666666"/>
          <w:sz w:val="18"/>
          <w:szCs w:val="18"/>
        </w:rPr>
        <w:t xml:space="preserve">★ Best in class for that metric</w:t>
      </w:r>
    </w:p>
    <w:p>
      <w:pPr>
        <w:pStyle w:val="Heading1"/>
        <w:pBdr>
          <w:bottom w:val="single" w:color="8B1A1A" w:sz="6" w:space="4"/>
        </w:pBdr>
        <w:spacing w:after="160" w:before="360"/>
      </w:pPr>
      <w:r>
        <w:rPr>
          <w:rFonts w:ascii="Arial" w:cs="Arial" w:eastAsia="Arial" w:hAnsi="Arial"/>
          <w:b/>
          <w:bCs/>
          <w:color w:val="8B1A1A"/>
          <w:sz w:val="28"/>
          <w:szCs w:val="28"/>
        </w:rPr>
        <w:t xml:space="preserve">1. Was Our Strategy Clear and Consistent?</w:t>
      </w:r>
    </w:p>
    <w:p>
      <w:pPr>
        <w:spacing w:after="120" w:before="0"/>
        <w:jc w:val="left"/>
      </w:pPr>
      <w:r>
        <w:rPr>
          <w:rFonts w:ascii="Arial" w:cs="Arial" w:eastAsia="Arial" w:hAnsi="Arial"/>
          <w:b/>
          <w:bCs/>
          <w:color w:val="666666"/>
          <w:sz w:val="18"/>
          <w:szCs w:val="18"/>
        </w:rPr>
        <w:t xml:space="preserve">Certainty: </w:t>
      </w:r>
      <w:r>
        <w:rPr>
          <w:rFonts w:ascii="Arial" w:cs="Arial" w:eastAsia="Arial" w:hAnsi="Arial"/>
          <w:b/>
          <w:bCs/>
          <w:color w:val="1B6B35"/>
          <w:sz w:val="18"/>
          <w:szCs w:val="18"/>
        </w:rPr>
        <w:t xml:space="preserve">High</w:t>
      </w:r>
      <w:r>
        <w:rPr>
          <w:rFonts w:ascii="Arial" w:cs="Arial" w:eastAsia="Arial" w:hAnsi="Arial"/>
          <w:b/>
          <w:bCs/>
          <w:color w:val="666666"/>
          <w:sz w:val="18"/>
          <w:szCs w:val="18"/>
        </w:rPr>
        <w:t xml:space="preserve">   |   Impact: </w:t>
      </w:r>
      <w:r>
        <w:rPr>
          <w:rFonts w:ascii="Arial" w:cs="Arial" w:eastAsia="Arial" w:hAnsi="Arial"/>
          <w:b/>
          <w:bCs/>
          <w:color w:val="8B1A1A"/>
          <w:sz w:val="18"/>
          <w:szCs w:val="18"/>
        </w:rPr>
        <w:t xml:space="preserve">High</w:t>
      </w:r>
    </w:p>
    <w:p>
      <w:pPr>
        <w:pStyle w:val="Heading2"/>
        <w:spacing w:after="120" w:before="280"/>
      </w:pPr>
      <w:r>
        <w:rPr>
          <w:rFonts w:ascii="Arial" w:cs="Arial" w:eastAsia="Arial" w:hAnsi="Arial"/>
          <w:b/>
          <w:bCs/>
          <w:color w:val="C0392B"/>
          <w:sz w:val="24"/>
          <w:szCs w:val="24"/>
        </w:rPr>
        <w:t xml:space="preserve">The Pattern</w:t>
      </w:r>
    </w:p>
    <w:p>
      <w:pPr>
        <w:spacing w:after="160" w:before="0"/>
        <w:jc w:val="left"/>
      </w:pPr>
      <w:r>
        <w:rPr>
          <w:rFonts w:ascii="Arial" w:cs="Arial" w:eastAsia="Arial" w:hAnsi="Arial"/>
          <w:b w:val="false"/>
          <w:bCs w:val="false"/>
          <w:color w:val="444444"/>
          <w:sz w:val="20"/>
          <w:szCs w:val="20"/>
        </w:rPr>
        <w:t xml:space="preserve">Broadly yes — with one critical early misfire. Hotel Red pursued a moderate-to-low room rate paired with higher-wage, well-trained permanent staff and steady mid-range spending on maintenance and cost savings. The rate started at $125 in Round 1 (the cheapest of any team), stepped up to $130–135 in Rounds 2–3, then locked in at $150 for Rounds 4–7. Marketing stayed in a narrow $7,000–$11,200 band through Round 5, doubled in Round 6 ($22,400), then cut to $1,000 in Round 7. Maintenance held at $18,750 in Rounds 1–2, jumped to $37,500 for Rounds 3–6, then dropped to $5,000 in Round 7.</w:t>
      </w:r>
    </w:p>
    <w:p>
      <w:pPr>
        <w:pStyle w:val="Heading2"/>
        <w:spacing w:after="120" w:before="280"/>
      </w:pPr>
      <w:r>
        <w:rPr>
          <w:rFonts w:ascii="Arial" w:cs="Arial" w:eastAsia="Arial" w:hAnsi="Arial"/>
          <w:b/>
          <w:bCs/>
          <w:color w:val="C0392B"/>
          <w:sz w:val="24"/>
          <w:szCs w:val="24"/>
        </w:rPr>
        <w:t xml:space="preserve">Hotel Red Round-by-Round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1300"/>
        <w:gridCol w:w="1300"/>
        <w:gridCol w:w="1300"/>
        <w:gridCol w:w="1300"/>
        <w:gridCol w:w="1060"/>
        <w:gridCol w:w="1000"/>
      </w:tblGrid>
      <w:tr>
        <w:trPr>
          <w:tblHeader/>
        </w:trPr>
        <w:tc>
          <w:tcPr>
            <w:tcW w:type="dxa" w:w="105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Round</w:t>
            </w:r>
          </w:p>
        </w:tc>
        <w:tc>
          <w:tcPr>
            <w:tcW w:type="dxa" w:w="105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Spot Rate</w:t>
            </w:r>
          </w:p>
        </w:tc>
        <w:tc>
          <w:tcPr>
            <w:tcW w:type="dxa" w:w="13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Occupancy</w:t>
            </w:r>
          </w:p>
        </w:tc>
        <w:tc>
          <w:tcPr>
            <w:tcW w:type="dxa" w:w="13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Advance Nights Booked</w:t>
            </w:r>
          </w:p>
        </w:tc>
        <w:tc>
          <w:tcPr>
            <w:tcW w:type="dxa" w:w="13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Marketing</w:t>
            </w:r>
          </w:p>
        </w:tc>
        <w:tc>
          <w:tcPr>
            <w:tcW w:type="dxa" w:w="13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Maintenance</w:t>
            </w:r>
          </w:p>
        </w:tc>
        <w:tc>
          <w:tcPr>
            <w:tcW w:type="dxa" w:w="106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Permanent Staff</w:t>
            </w:r>
          </w:p>
        </w:tc>
        <w:tc>
          <w:tcPr>
            <w:tcW w:type="dxa" w:w="10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Personnel Stress</w:t>
            </w:r>
          </w:p>
        </w:tc>
      </w:tr>
      <w:tr>
        <w:tc>
          <w:tcPr>
            <w:tcW w:type="dxa" w:w="105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1</w:t>
            </w:r>
          </w:p>
        </w:tc>
        <w:tc>
          <w:tcPr>
            <w:tcW w:type="dxa" w:w="105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$125</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53.5%</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$7,000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$18,750</w:t>
            </w:r>
          </w:p>
        </w:tc>
        <w:tc>
          <w:tcPr>
            <w:tcW w:type="dxa" w:w="10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w:t>
            </w:r>
          </w:p>
        </w:tc>
        <w:tc>
          <w:tcPr>
            <w:tcW w:type="dxa" w:w="10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16%</w:t>
            </w:r>
          </w:p>
        </w:tc>
      </w:tr>
      <w:tr>
        <w:tc>
          <w:tcPr>
            <w:tcW w:type="dxa" w:w="105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2</w:t>
            </w:r>
          </w:p>
        </w:tc>
        <w:tc>
          <w:tcPr>
            <w:tcW w:type="dxa" w:w="105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$135</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43.6%</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1,800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$11,200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$18,750</w:t>
            </w:r>
          </w:p>
        </w:tc>
        <w:tc>
          <w:tcPr>
            <w:tcW w:type="dxa" w:w="10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w:t>
            </w:r>
          </w:p>
        </w:tc>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w:t>
            </w:r>
          </w:p>
        </w:tc>
      </w:tr>
      <w:tr>
        <w:tc>
          <w:tcPr>
            <w:tcW w:type="dxa" w:w="105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3</w:t>
            </w:r>
          </w:p>
        </w:tc>
        <w:tc>
          <w:tcPr>
            <w:tcW w:type="dxa" w:w="105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$130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39.0%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1,900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$11,200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$37,500</w:t>
            </w:r>
          </w:p>
        </w:tc>
        <w:tc>
          <w:tcPr>
            <w:tcW w:type="dxa" w:w="10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w:t>
            </w:r>
          </w:p>
        </w:tc>
        <w:tc>
          <w:tcPr>
            <w:tcW w:type="dxa" w:w="10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2%</w:t>
            </w:r>
          </w:p>
        </w:tc>
      </w:tr>
      <w:tr>
        <w:tc>
          <w:tcPr>
            <w:tcW w:type="dxa" w:w="105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4</w:t>
            </w:r>
          </w:p>
        </w:tc>
        <w:tc>
          <w:tcPr>
            <w:tcW w:type="dxa" w:w="105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$150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58.8%</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1,450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$11,200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$37,500</w:t>
            </w:r>
          </w:p>
        </w:tc>
        <w:tc>
          <w:tcPr>
            <w:tcW w:type="dxa" w:w="10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w:t>
            </w:r>
          </w:p>
        </w:tc>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15%</w:t>
            </w:r>
          </w:p>
        </w:tc>
      </w:tr>
      <w:tr>
        <w:tc>
          <w:tcPr>
            <w:tcW w:type="dxa" w:w="105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5</w:t>
            </w:r>
          </w:p>
        </w:tc>
        <w:tc>
          <w:tcPr>
            <w:tcW w:type="dxa" w:w="105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$150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48.6%</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1,980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$11,200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$37,500</w:t>
            </w:r>
          </w:p>
        </w:tc>
        <w:tc>
          <w:tcPr>
            <w:tcW w:type="dxa" w:w="10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w:t>
            </w:r>
          </w:p>
        </w:tc>
        <w:tc>
          <w:tcPr>
            <w:tcW w:type="dxa" w:w="10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9%</w:t>
            </w:r>
          </w:p>
        </w:tc>
      </w:tr>
      <w:tr>
        <w:tc>
          <w:tcPr>
            <w:tcW w:type="dxa" w:w="105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6</w:t>
            </w:r>
          </w:p>
        </w:tc>
        <w:tc>
          <w:tcPr>
            <w:tcW w:type="dxa" w:w="105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$150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71.7%</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1,150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$22,400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$37,500</w:t>
            </w:r>
          </w:p>
        </w:tc>
        <w:tc>
          <w:tcPr>
            <w:tcW w:type="dxa" w:w="10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w:t>
            </w:r>
          </w:p>
        </w:tc>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18%</w:t>
            </w:r>
          </w:p>
        </w:tc>
      </w:tr>
      <w:tr>
        <w:tc>
          <w:tcPr>
            <w:tcW w:type="dxa" w:w="105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7</w:t>
            </w:r>
          </w:p>
        </w:tc>
        <w:tc>
          <w:tcPr>
            <w:tcW w:type="dxa" w:w="105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$150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44.5%</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2,560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$1,000</w:t>
            </w:r>
          </w:p>
        </w:tc>
        <w:tc>
          <w:tcPr>
            <w:tcW w:type="dxa" w:w="13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$5,000</w:t>
            </w:r>
          </w:p>
        </w:tc>
        <w:tc>
          <w:tcPr>
            <w:tcW w:type="dxa" w:w="10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w:t>
            </w:r>
          </w:p>
        </w:tc>
        <w:tc>
          <w:tcPr>
            <w:tcW w:type="dxa" w:w="10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w:t>
            </w:r>
          </w:p>
        </w:tc>
      </w:tr>
    </w:tbl>
    <w:p>
      <w:pPr>
        <w:spacing w:after="0" w:before="60"/>
      </w:pPr>
      <w:r>
        <w:rPr>
          <w:rFonts w:ascii="Arial" w:cs="Arial" w:eastAsia="Arial" w:hAnsi="Arial"/>
          <w:b w:val="false"/>
          <w:bCs w:val="false"/>
          <w:color w:val="444444"/>
          <w:sz w:val="22"/>
          <w:szCs w:val="22"/>
        </w:rPr>
        <w:t xml:space="preserve"/>
      </w:r>
    </w:p>
    <w:p>
      <w:pPr>
        <w:pStyle w:val="Heading2"/>
        <w:spacing w:after="120" w:before="280"/>
      </w:pPr>
      <w:r>
        <w:rPr>
          <w:rFonts w:ascii="Arial" w:cs="Arial" w:eastAsia="Arial" w:hAnsi="Arial"/>
          <w:b/>
          <w:bCs/>
          <w:color w:val="C0392B"/>
          <w:sz w:val="24"/>
          <w:szCs w:val="24"/>
        </w:rPr>
        <w:t xml:space="preserve">The One Serious Inconsistency</w:t>
      </w:r>
    </w:p>
    <w:p>
      <w:pPr>
        <w:spacing w:after="160" w:before="0"/>
        <w:jc w:val="left"/>
      </w:pPr>
      <w:r>
        <w:rPr>
          <w:rFonts w:ascii="Arial" w:cs="Arial" w:eastAsia="Arial" w:hAnsi="Arial"/>
          <w:b w:val="false"/>
          <w:bCs w:val="false"/>
          <w:color w:val="444444"/>
          <w:sz w:val="20"/>
          <w:szCs w:val="20"/>
        </w:rPr>
        <w:t xml:space="preserve">The Round 1 rate of $125 was set against a market average of ~$135–150. That decision generated solid occupancy (53.5%) but suppressed revenue per available room ($10,583 vs. Blue's $10,942) and compressed the round's revenue output. The arithmetic: roughly $25–30 less per night × 1,905 nights sold </w:t>
      </w:r>
      <w:r>
        <w:rPr>
          <w:rFonts w:ascii="Arial" w:cs="Arial" w:eastAsia="Arial" w:hAnsi="Arial"/>
          <w:b/>
          <w:bCs/>
          <w:color w:val="444444"/>
          <w:sz w:val="20"/>
          <w:szCs w:val="20"/>
        </w:rPr>
        <w:t xml:space="preserve">= approximately $47,000–$57,000 in revenue left uncaptured</w:t>
      </w:r>
      <w:r>
        <w:rPr>
          <w:rFonts w:ascii="Arial" w:cs="Arial" w:eastAsia="Arial" w:hAnsi="Arial"/>
          <w:b w:val="false"/>
          <w:bCs w:val="false"/>
          <w:color w:val="444444"/>
          <w:sz w:val="20"/>
          <w:szCs w:val="20"/>
        </w:rPr>
        <w:t xml:space="preserve">. Round 1 Total Shareholder Return came in at 56.9% (first place), so the market rewarded the volume — but not durably.</w:t>
      </w:r>
    </w:p>
    <w:p>
      <w:pPr>
        <w:spacing w:after="160" w:before="0"/>
        <w:jc w:val="left"/>
      </w:pPr>
      <w:r>
        <w:rPr>
          <w:rFonts w:ascii="Arial" w:cs="Arial" w:eastAsia="Arial" w:hAnsi="Arial"/>
          <w:b w:val="false"/>
          <w:bCs w:val="false"/>
          <w:color w:val="444444"/>
          <w:sz w:val="20"/>
          <w:szCs w:val="20"/>
        </w:rPr>
        <w:t xml:space="preserve">The Round 3 dip (rate $130, occupancy 39%, net profit just $14,298) reflects market demand softening across the entire industry — demand fell from 17,149 to 13,556 available nights industrywide — combined with a high maintenance commitment. That was a market-driven trough, not a strategic misfire. All teams suffered, with Blue losing $90,063 that round.</w:t>
      </w:r>
    </w:p>
    <w:p>
      <w:pPr>
        <w:pStyle w:val="Heading1"/>
        <w:pBdr>
          <w:bottom w:val="single" w:color="8B1A1A" w:sz="6" w:space="4"/>
        </w:pBdr>
        <w:spacing w:after="160" w:before="360"/>
      </w:pPr>
      <w:r>
        <w:rPr>
          <w:rFonts w:ascii="Arial" w:cs="Arial" w:eastAsia="Arial" w:hAnsi="Arial"/>
          <w:b/>
          <w:bCs/>
          <w:color w:val="8B1A1A"/>
          <w:sz w:val="28"/>
          <w:szCs w:val="28"/>
        </w:rPr>
        <w:t xml:space="preserve">2. Where Did We Outperform and Underperform?</w:t>
      </w:r>
    </w:p>
    <w:p>
      <w:pPr>
        <w:pStyle w:val="Heading2"/>
        <w:spacing w:after="120" w:before="280"/>
      </w:pPr>
      <w:r>
        <w:rPr>
          <w:rFonts w:ascii="Arial" w:cs="Arial" w:eastAsia="Arial" w:hAnsi="Arial"/>
          <w:b/>
          <w:bCs/>
          <w:color w:val="C0392B"/>
          <w:sz w:val="24"/>
          <w:szCs w:val="24"/>
        </w:rPr>
        <w:t xml:space="preserve">Where Hotel Red Outperformed</w:t>
      </w:r>
    </w:p>
    <w:p>
      <w:pPr>
        <w:spacing w:after="120" w:before="0"/>
        <w:jc w:val="left"/>
      </w:pPr>
      <w:r>
        <w:rPr>
          <w:rFonts w:ascii="Arial" w:cs="Arial" w:eastAsia="Arial" w:hAnsi="Arial"/>
          <w:b/>
          <w:bCs/>
          <w:color w:val="666666"/>
          <w:sz w:val="18"/>
          <w:szCs w:val="18"/>
        </w:rPr>
        <w:t xml:space="preserve">Certainty: </w:t>
      </w:r>
      <w:r>
        <w:rPr>
          <w:rFonts w:ascii="Arial" w:cs="Arial" w:eastAsia="Arial" w:hAnsi="Arial"/>
          <w:b/>
          <w:bCs/>
          <w:color w:val="1B6B35"/>
          <w:sz w:val="18"/>
          <w:szCs w:val="18"/>
        </w:rPr>
        <w:t xml:space="preserve">High</w:t>
      </w:r>
      <w:r>
        <w:rPr>
          <w:rFonts w:ascii="Arial" w:cs="Arial" w:eastAsia="Arial" w:hAnsi="Arial"/>
          <w:b/>
          <w:bCs/>
          <w:color w:val="666666"/>
          <w:sz w:val="18"/>
          <w:szCs w:val="18"/>
        </w:rPr>
        <w:t xml:space="preserve">   |   Impact: </w:t>
      </w:r>
      <w:r>
        <w:rPr>
          <w:rFonts w:ascii="Arial" w:cs="Arial" w:eastAsia="Arial" w:hAnsi="Arial"/>
          <w:b/>
          <w:bCs/>
          <w:color w:val="8B1A1A"/>
          <w:sz w:val="18"/>
          <w:szCs w:val="18"/>
        </w:rPr>
        <w:t xml:space="preserve">High</w:t>
      </w:r>
    </w:p>
    <w:p>
      <w:pPr>
        <w:pStyle w:val="ListParagraph"/>
        <w:numPr>
          <w:ilvl w:val="0"/>
          <w:numId w:val="2"/>
        </w:numPr>
        <w:spacing w:after="80" w:before="40"/>
      </w:pPr>
      <w:r>
        <w:rPr>
          <w:rFonts w:ascii="Arial" w:cs="Arial" w:eastAsia="Arial" w:hAnsi="Arial"/>
          <w:b/>
          <w:bCs/>
          <w:color w:val="444444"/>
          <w:sz w:val="20"/>
          <w:szCs w:val="20"/>
        </w:rPr>
        <w:t xml:space="preserve">Gross profit margin </w:t>
      </w:r>
      <w:r>
        <w:rPr>
          <w:rFonts w:ascii="Arial" w:cs="Arial" w:eastAsia="Arial" w:hAnsi="Arial"/>
          <w:b w:val="false"/>
          <w:bCs w:val="false"/>
          <w:color w:val="444444"/>
          <w:sz w:val="20"/>
          <w:szCs w:val="20"/>
        </w:rPr>
        <w:t xml:space="preserve">was best or tied-best in 5 of 7 rounds: 79.5%, 71.8%, 77.1%, 82.7%, 81.1%, 82.5%, 80.3%. This came from competitive but not bloated permanent wages, minimal temp staff usage, and zero short-term loan costs.</w:t>
      </w:r>
    </w:p>
    <w:p>
      <w:pPr>
        <w:pStyle w:val="ListParagraph"/>
        <w:numPr>
          <w:ilvl w:val="0"/>
          <w:numId w:val="2"/>
        </w:numPr>
        <w:spacing w:after="80" w:before="40"/>
      </w:pPr>
      <w:r>
        <w:rPr>
          <w:rFonts w:ascii="Arial" w:cs="Arial" w:eastAsia="Arial" w:hAnsi="Arial"/>
          <w:b/>
          <w:bCs/>
          <w:color w:val="444444"/>
          <w:sz w:val="20"/>
          <w:szCs w:val="20"/>
        </w:rPr>
        <w:t xml:space="preserve">Cash accumulation </w:t>
      </w:r>
      <w:r>
        <w:rPr>
          <w:rFonts w:ascii="Arial" w:cs="Arial" w:eastAsia="Arial" w:hAnsi="Arial"/>
          <w:b w:val="false"/>
          <w:bCs w:val="false"/>
          <w:color w:val="444444"/>
          <w:sz w:val="20"/>
          <w:szCs w:val="20"/>
        </w:rPr>
        <w:t xml:space="preserve">ranked first throughout the game — $702K at Round 1's close, growing to $1,736K by Round 7's close. A net cash build of $1,208,084 over the game vs. Northline's $349K and Blue's $146K.</w:t>
      </w:r>
    </w:p>
    <w:p>
      <w:pPr>
        <w:pStyle w:val="ListParagraph"/>
        <w:numPr>
          <w:ilvl w:val="0"/>
          <w:numId w:val="2"/>
        </w:numPr>
        <w:spacing w:after="80" w:before="40"/>
      </w:pPr>
      <w:r>
        <w:rPr>
          <w:rFonts w:ascii="Arial" w:cs="Arial" w:eastAsia="Arial" w:hAnsi="Arial"/>
          <w:b/>
          <w:bCs/>
          <w:color w:val="444444"/>
          <w:sz w:val="20"/>
          <w:szCs w:val="20"/>
        </w:rPr>
        <w:t xml:space="preserve">Total net profit </w:t>
      </w:r>
      <w:r>
        <w:rPr>
          <w:rFonts w:ascii="Arial" w:cs="Arial" w:eastAsia="Arial" w:hAnsi="Arial"/>
          <w:b w:val="false"/>
          <w:bCs w:val="false"/>
          <w:color w:val="444444"/>
          <w:sz w:val="20"/>
          <w:szCs w:val="20"/>
        </w:rPr>
        <w:t xml:space="preserve">of $845,616 across all seven rounds was the highest in the field. Hotel Red was profitable in every round.</w:t>
      </w:r>
    </w:p>
    <w:p>
      <w:pPr>
        <w:pStyle w:val="ListParagraph"/>
        <w:numPr>
          <w:ilvl w:val="0"/>
          <w:numId w:val="2"/>
        </w:numPr>
        <w:spacing w:after="80" w:before="40"/>
      </w:pPr>
      <w:r>
        <w:rPr>
          <w:rFonts w:ascii="Arial" w:cs="Arial" w:eastAsia="Arial" w:hAnsi="Arial"/>
          <w:b/>
          <w:bCs/>
          <w:color w:val="444444"/>
          <w:sz w:val="20"/>
          <w:szCs w:val="20"/>
        </w:rPr>
        <w:t xml:space="preserve">Debt management: </w:t>
      </w:r>
      <w:r>
        <w:rPr>
          <w:rFonts w:ascii="Arial" w:cs="Arial" w:eastAsia="Arial" w:hAnsi="Arial"/>
          <w:b w:val="false"/>
          <w:bCs w:val="false"/>
          <w:color w:val="444444"/>
          <w:sz w:val="20"/>
          <w:szCs w:val="20"/>
        </w:rPr>
        <w:t xml:space="preserve">Final gearing (debt-to-equity ratio) of 41.1% was the lowest in the field, ahead of even Hotel of America (43.6%). Hotel Red never touched short-term loans.</w:t>
      </w:r>
    </w:p>
    <w:p>
      <w:pPr>
        <w:spacing w:after="0" w:before="80"/>
      </w:pPr>
      <w:r>
        <w:rPr>
          <w:rFonts w:ascii="Arial" w:cs="Arial" w:eastAsia="Arial" w:hAnsi="Arial"/>
          <w:b w:val="false"/>
          <w:bCs w:val="false"/>
          <w:color w:val="444444"/>
          <w:sz w:val="22"/>
          <w:szCs w:val="22"/>
        </w:rPr>
        <w:t xml:space="preserve"/>
      </w:r>
    </w:p>
    <w:p>
      <w:pPr>
        <w:pStyle w:val="Heading2"/>
        <w:spacing w:after="120" w:before="280"/>
      </w:pPr>
      <w:r>
        <w:rPr>
          <w:rFonts w:ascii="Arial" w:cs="Arial" w:eastAsia="Arial" w:hAnsi="Arial"/>
          <w:b/>
          <w:bCs/>
          <w:color w:val="C0392B"/>
          <w:sz w:val="24"/>
          <w:szCs w:val="24"/>
        </w:rPr>
        <w:t xml:space="preserve">Where Hotel Red Underperformed</w:t>
      </w:r>
    </w:p>
    <w:p>
      <w:pPr>
        <w:spacing w:after="120" w:before="0"/>
        <w:jc w:val="left"/>
      </w:pPr>
      <w:r>
        <w:rPr>
          <w:rFonts w:ascii="Arial" w:cs="Arial" w:eastAsia="Arial" w:hAnsi="Arial"/>
          <w:b/>
          <w:bCs/>
          <w:color w:val="666666"/>
          <w:sz w:val="18"/>
          <w:szCs w:val="18"/>
        </w:rPr>
        <w:t xml:space="preserve">Certainty: </w:t>
      </w:r>
      <w:r>
        <w:rPr>
          <w:rFonts w:ascii="Arial" w:cs="Arial" w:eastAsia="Arial" w:hAnsi="Arial"/>
          <w:b/>
          <w:bCs/>
          <w:color w:val="1B6B35"/>
          <w:sz w:val="18"/>
          <w:szCs w:val="18"/>
        </w:rPr>
        <w:t xml:space="preserve">High</w:t>
      </w:r>
      <w:r>
        <w:rPr>
          <w:rFonts w:ascii="Arial" w:cs="Arial" w:eastAsia="Arial" w:hAnsi="Arial"/>
          <w:b/>
          <w:bCs/>
          <w:color w:val="666666"/>
          <w:sz w:val="18"/>
          <w:szCs w:val="18"/>
        </w:rPr>
        <w:t xml:space="preserve">   |   Impact: </w:t>
      </w:r>
      <w:r>
        <w:rPr>
          <w:rFonts w:ascii="Arial" w:cs="Arial" w:eastAsia="Arial" w:hAnsi="Arial"/>
          <w:b/>
          <w:bCs/>
          <w:color w:val="8B1A1A"/>
          <w:sz w:val="18"/>
          <w:szCs w:val="18"/>
        </w:rPr>
        <w:t xml:space="preserve">High</w:t>
      </w:r>
    </w:p>
    <w:p>
      <w:pPr>
        <w:pStyle w:val="ListParagraph"/>
        <w:numPr>
          <w:ilvl w:val="0"/>
          <w:numId w:val="2"/>
        </w:numPr>
        <w:spacing w:after="80" w:before="40"/>
      </w:pPr>
      <w:r>
        <w:rPr>
          <w:rFonts w:ascii="Arial" w:cs="Arial" w:eastAsia="Arial" w:hAnsi="Arial"/>
          <w:b/>
          <w:bCs/>
          <w:color w:val="444444"/>
          <w:sz w:val="20"/>
          <w:szCs w:val="20"/>
        </w:rPr>
        <w:t xml:space="preserve">Total Shareholder Return final rank: 3rd. </w:t>
      </w:r>
      <w:r>
        <w:rPr>
          <w:rFonts w:ascii="Arial" w:cs="Arial" w:eastAsia="Arial" w:hAnsi="Arial"/>
          <w:b w:val="false"/>
          <w:bCs w:val="false"/>
          <w:color w:val="444444"/>
          <w:sz w:val="20"/>
          <w:szCs w:val="20"/>
        </w:rPr>
        <w:t xml:space="preserve">Despite the highest cumulative profit, Hotel Red finished behind Hotel of America (13.52%) and Northline (11.19%). The gap to Hotel of America is 2.7 percentage points.</w:t>
      </w:r>
    </w:p>
    <w:p>
      <w:pPr>
        <w:pStyle w:val="ListParagraph"/>
        <w:numPr>
          <w:ilvl w:val="0"/>
          <w:numId w:val="2"/>
        </w:numPr>
        <w:spacing w:after="80" w:before="40"/>
      </w:pPr>
      <w:r>
        <w:rPr>
          <w:rFonts w:ascii="Arial" w:cs="Arial" w:eastAsia="Arial" w:hAnsi="Arial"/>
          <w:b/>
          <w:bCs/>
          <w:color w:val="444444"/>
          <w:sz w:val="20"/>
          <w:szCs w:val="20"/>
        </w:rPr>
        <w:t xml:space="preserve">Round 7 earnings per share ($1.39) </w:t>
      </w:r>
      <w:r>
        <w:rPr>
          <w:rFonts w:ascii="Arial" w:cs="Arial" w:eastAsia="Arial" w:hAnsi="Arial"/>
          <w:b w:val="false"/>
          <w:bCs w:val="false"/>
          <w:color w:val="444444"/>
          <w:sz w:val="20"/>
          <w:szCs w:val="20"/>
        </w:rPr>
        <w:t xml:space="preserve">trailed Hotel of America ($1.82) and Northline ($1.62). The final round is what the price-to-earnings multiple gets applied to in the terminal valuation, and Hotel Red's last-round net profit of $139,086 trailed both Hotel of America ($182,281) and Northline ($161,614).</w:t>
      </w:r>
    </w:p>
    <w:p>
      <w:pPr>
        <w:pStyle w:val="ListParagraph"/>
        <w:numPr>
          <w:ilvl w:val="0"/>
          <w:numId w:val="2"/>
        </w:numPr>
        <w:spacing w:after="80" w:before="40"/>
      </w:pPr>
      <w:r>
        <w:rPr>
          <w:rFonts w:ascii="Arial" w:cs="Arial" w:eastAsia="Arial" w:hAnsi="Arial"/>
          <w:b/>
          <w:bCs/>
          <w:color w:val="444444"/>
          <w:sz w:val="20"/>
          <w:szCs w:val="20"/>
        </w:rPr>
        <w:t xml:space="preserve">Advance sales volume: </w:t>
      </w:r>
      <w:r>
        <w:rPr>
          <w:rFonts w:ascii="Arial" w:cs="Arial" w:eastAsia="Arial" w:hAnsi="Arial"/>
          <w:b w:val="false"/>
          <w:bCs w:val="false"/>
          <w:color w:val="444444"/>
          <w:sz w:val="20"/>
          <w:szCs w:val="20"/>
        </w:rPr>
        <w:t xml:space="preserve">Hotel Red pre-booked 1,150–1,980 advance nights per round at prices of $115–130. Hotel of America pre-booked 1,500–3,512 at $99–125. Hotel Red's prices per night were higher, but Hotel of America's volume was 60–200% greater. That volume difference, at roughly $100–115/night, generates a pre-committed revenue floor roughly $64,000–$95,000 higher before each round even begins.</w:t>
      </w:r>
    </w:p>
    <w:p>
      <w:pPr>
        <w:spacing w:after="0" w:before="80"/>
      </w:pPr>
      <w:r>
        <w:rPr>
          <w:rFonts w:ascii="Arial" w:cs="Arial" w:eastAsia="Arial" w:hAnsi="Arial"/>
          <w:b w:val="false"/>
          <w:bCs w:val="false"/>
          <w:color w:val="444444"/>
          <w:sz w:val="22"/>
          <w:szCs w:val="22"/>
        </w:rPr>
        <w:t xml:space="preserve"/>
      </w:r>
    </w:p>
    <w:p>
      <w:pPr>
        <w:pStyle w:val="Heading1"/>
        <w:pBdr>
          <w:bottom w:val="single" w:color="8B1A1A" w:sz="6" w:space="4"/>
        </w:pBdr>
        <w:spacing w:after="160" w:before="360"/>
      </w:pPr>
      <w:r>
        <w:rPr>
          <w:rFonts w:ascii="Arial" w:cs="Arial" w:eastAsia="Arial" w:hAnsi="Arial"/>
          <w:b/>
          <w:bCs/>
          <w:color w:val="8B1A1A"/>
          <w:sz w:val="28"/>
          <w:szCs w:val="28"/>
        </w:rPr>
        <w:t xml:space="preserve">3. Which Variables Had the Biggest Impact?</w:t>
      </w:r>
    </w:p>
    <w:p>
      <w:pPr>
        <w:spacing w:after="120" w:before="0"/>
        <w:jc w:val="left"/>
      </w:pPr>
      <w:r>
        <w:rPr>
          <w:rFonts w:ascii="Arial" w:cs="Arial" w:eastAsia="Arial" w:hAnsi="Arial"/>
          <w:b/>
          <w:bCs/>
          <w:color w:val="666666"/>
          <w:sz w:val="18"/>
          <w:szCs w:val="18"/>
        </w:rPr>
        <w:t xml:space="preserve">Certainty: </w:t>
      </w:r>
      <w:r>
        <w:rPr>
          <w:rFonts w:ascii="Arial" w:cs="Arial" w:eastAsia="Arial" w:hAnsi="Arial"/>
          <w:b/>
          <w:bCs/>
          <w:color w:val="7A5200"/>
          <w:sz w:val="18"/>
          <w:szCs w:val="18"/>
        </w:rPr>
        <w:t xml:space="preserve">Medium</w:t>
      </w:r>
      <w:r>
        <w:rPr>
          <w:rFonts w:ascii="Arial" w:cs="Arial" w:eastAsia="Arial" w:hAnsi="Arial"/>
          <w:b/>
          <w:bCs/>
          <w:color w:val="666666"/>
          <w:sz w:val="18"/>
          <w:szCs w:val="18"/>
        </w:rPr>
        <w:t xml:space="preserve">   |   Impact: </w:t>
      </w:r>
      <w:r>
        <w:rPr>
          <w:rFonts w:ascii="Arial" w:cs="Arial" w:eastAsia="Arial" w:hAnsi="Arial"/>
          <w:b/>
          <w:bCs/>
          <w:color w:val="8B1A1A"/>
          <w:sz w:val="18"/>
          <w:szCs w:val="18"/>
        </w:rPr>
        <w:t xml:space="preserve">High</w:t>
      </w:r>
    </w:p>
    <w:p>
      <w:pPr>
        <w:spacing w:after="160" w:before="0"/>
        <w:jc w:val="left"/>
      </w:pPr>
      <w:r>
        <w:rPr>
          <w:rFonts w:ascii="Arial" w:cs="Arial" w:eastAsia="Arial" w:hAnsi="Arial"/>
          <w:b w:val="false"/>
          <w:bCs w:val="false"/>
          <w:color w:val="666666"/>
          <w:sz w:val="18"/>
          <w:szCs w:val="18"/>
        </w:rPr>
        <w:t xml:space="preserve">Certainty is Medium because this is causal inference from correlation — the simulation's internal weights are not visible.</w:t>
      </w:r>
    </w:p>
    <w:p>
      <w:pPr>
        <w:pStyle w:val="Heading2"/>
        <w:spacing w:after="120" w:before="280"/>
      </w:pPr>
      <w:r>
        <w:rPr>
          <w:rFonts w:ascii="Arial" w:cs="Arial" w:eastAsia="Arial" w:hAnsi="Arial"/>
          <w:b/>
          <w:bCs/>
          <w:color w:val="C0392B"/>
          <w:sz w:val="24"/>
          <w:szCs w:val="24"/>
        </w:rPr>
        <w:t xml:space="preserve">Room Rate</w:t>
      </w:r>
    </w:p>
    <w:p>
      <w:pPr>
        <w:spacing w:after="160" w:before="0"/>
        <w:jc w:val="left"/>
      </w:pPr>
      <w:r>
        <w:rPr>
          <w:rFonts w:ascii="Arial" w:cs="Arial" w:eastAsia="Arial" w:hAnsi="Arial"/>
          <w:b w:val="false"/>
          <w:bCs w:val="false"/>
          <w:color w:val="444444"/>
          <w:sz w:val="20"/>
          <w:szCs w:val="20"/>
        </w:rPr>
        <w:t xml:space="preserve">The single biggest swing variable. The Round 1 underpricing at $125 created an estimated $47K–$57K revenue shortfall. The move to $150 in Round 4 — matching the market — coincided with Hotel Red's best earnings before interest, taxes, depreciation, and amortization (EBITDA) of any round ($396,829) and the second-best period Total Shareholder Return (+48.4%). Rate discipline from Round 4 onward was the right call, but it came two rounds late.</w:t>
      </w:r>
    </w:p>
    <w:p>
      <w:pPr>
        <w:pStyle w:val="Heading2"/>
        <w:spacing w:after="120" w:before="280"/>
      </w:pPr>
      <w:r>
        <w:rPr>
          <w:rFonts w:ascii="Arial" w:cs="Arial" w:eastAsia="Arial" w:hAnsi="Arial"/>
          <w:b/>
          <w:bCs/>
          <w:color w:val="C0392B"/>
          <w:sz w:val="24"/>
          <w:szCs w:val="24"/>
        </w:rPr>
        <w:t xml:space="preserve">Advance Sales Volume</w:t>
      </w:r>
    </w:p>
    <w:p>
      <w:pPr>
        <w:spacing w:after="160" w:before="0"/>
        <w:jc w:val="left"/>
      </w:pPr>
      <w:r>
        <w:rPr>
          <w:rFonts w:ascii="Arial" w:cs="Arial" w:eastAsia="Arial" w:hAnsi="Arial"/>
          <w:b w:val="false"/>
          <w:bCs w:val="false"/>
          <w:color w:val="444444"/>
          <w:sz w:val="20"/>
          <w:szCs w:val="20"/>
        </w:rPr>
        <w:t xml:space="preserve">The most consequential lever Hotel Red underused relative to the winning team. See the comparison table below. Hotel Red set higher advance prices but consistently booked 40–60% less volume than Hotel of America. This directly explains the shortfall in Round 6 and Round 7 occupancy and earnings per share.</w:t>
      </w:r>
    </w:p>
    <w:p>
      <w:pPr>
        <w:pStyle w:val="Heading2"/>
        <w:spacing w:after="120" w:before="280"/>
      </w:pPr>
      <w:r>
        <w:rPr>
          <w:rFonts w:ascii="Arial" w:cs="Arial" w:eastAsia="Arial" w:hAnsi="Arial"/>
          <w:b/>
          <w:bCs/>
          <w:color w:val="C0392B"/>
          <w:sz w:val="24"/>
          <w:szCs w:val="24"/>
        </w:rPr>
        <w:t xml:space="preserve">Advance Sales: Hotel Red vs. Hotel of America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2200"/>
        <w:gridCol w:w="1860"/>
      </w:tblGrid>
      <w:tr>
        <w:trPr>
          <w:tblHeader/>
        </w:trPr>
        <w:tc>
          <w:tcPr>
            <w:tcW w:type="dxa" w:w="9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Round</w:t>
            </w:r>
          </w:p>
        </w:tc>
        <w:tc>
          <w:tcPr>
            <w:tcW w:type="dxa" w:w="22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Hotel Red: Price</w:t>
            </w:r>
          </w:p>
        </w:tc>
        <w:tc>
          <w:tcPr>
            <w:tcW w:type="dxa" w:w="22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Hotel Red: Nights Booked</w:t>
            </w:r>
          </w:p>
        </w:tc>
        <w:tc>
          <w:tcPr>
            <w:tcW w:type="dxa" w:w="22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Hotel of America: Price</w:t>
            </w:r>
          </w:p>
        </w:tc>
        <w:tc>
          <w:tcPr>
            <w:tcW w:type="dxa" w:w="186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Hotel of America: Nights Booked</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1</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0</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w:t>
            </w:r>
          </w:p>
        </w:tc>
        <w:tc>
          <w:tcPr>
            <w:tcW w:type="dxa" w:w="18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0</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$119</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1,800</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$125</w:t>
            </w:r>
          </w:p>
        </w:tc>
        <w:tc>
          <w:tcPr>
            <w:tcW w:type="dxa" w:w="1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1,500</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3</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$117</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1,900</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$120</w:t>
            </w:r>
          </w:p>
        </w:tc>
        <w:tc>
          <w:tcPr>
            <w:tcW w:type="dxa" w:w="18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1,500</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$115</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1,450</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$99</w:t>
            </w:r>
          </w:p>
        </w:tc>
        <w:tc>
          <w:tcPr>
            <w:tcW w:type="dxa" w:w="1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2,272</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5</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$120</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1,980</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$100</w:t>
            </w:r>
          </w:p>
        </w:tc>
        <w:tc>
          <w:tcPr>
            <w:tcW w:type="dxa" w:w="18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3,512</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6</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$130</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1,150</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$102</w:t>
            </w:r>
          </w:p>
        </w:tc>
        <w:tc>
          <w:tcPr>
            <w:tcW w:type="dxa" w:w="1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2,300</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7</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$115</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2,560</w:t>
            </w:r>
          </w:p>
        </w:tc>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$103</w:t>
            </w:r>
          </w:p>
        </w:tc>
        <w:tc>
          <w:tcPr>
            <w:tcW w:type="dxa" w:w="18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3,204</w:t>
            </w:r>
          </w:p>
        </w:tc>
      </w:tr>
    </w:tbl>
    <w:p>
      <w:pPr>
        <w:spacing w:after="0" w:before="60"/>
      </w:pPr>
      <w:r>
        <w:rPr>
          <w:rFonts w:ascii="Arial" w:cs="Arial" w:eastAsia="Arial" w:hAnsi="Arial"/>
          <w:b w:val="false"/>
          <w:bCs w:val="false"/>
          <w:color w:val="444444"/>
          <w:sz w:val="22"/>
          <w:szCs w:val="22"/>
        </w:rPr>
        <w:t xml:space="preserve"/>
      </w:r>
    </w:p>
    <w:p>
      <w:pPr>
        <w:spacing w:after="160" w:before="80"/>
        <w:jc w:val="left"/>
      </w:pPr>
      <w:r>
        <w:rPr>
          <w:rFonts w:ascii="Arial" w:cs="Arial" w:eastAsia="Arial" w:hAnsi="Arial"/>
          <w:b w:val="false"/>
          <w:bCs w:val="false"/>
          <w:color w:val="444444"/>
          <w:sz w:val="20"/>
          <w:szCs w:val="20"/>
        </w:rPr>
        <w:t xml:space="preserve">Hotel of America's strategy: lower advance price, dramatically higher volume. In Round 6, they entered with 3,512 nights pre-committed at ~$100/night — roughly $350,000 of revenue locked before the round started. This drove their 94.1% occupancy that round (the highest of any team in any round) and their peak EBITDA of $603,638.</w:t>
      </w:r>
    </w:p>
    <w:p>
      <w:pPr>
        <w:pStyle w:val="Heading2"/>
        <w:spacing w:after="120" w:before="280"/>
      </w:pPr>
      <w:r>
        <w:rPr>
          <w:rFonts w:ascii="Arial" w:cs="Arial" w:eastAsia="Arial" w:hAnsi="Arial"/>
          <w:b/>
          <w:bCs/>
          <w:color w:val="C0392B"/>
          <w:sz w:val="24"/>
          <w:szCs w:val="24"/>
        </w:rPr>
        <w:t xml:space="preserve">Maintenance Spending</w:t>
      </w:r>
    </w:p>
    <w:p>
      <w:pPr>
        <w:spacing w:after="160" w:before="0"/>
        <w:jc w:val="left"/>
      </w:pPr>
      <w:r>
        <w:rPr>
          <w:rFonts w:ascii="Arial" w:cs="Arial" w:eastAsia="Arial" w:hAnsi="Arial"/>
          <w:b w:val="false"/>
          <w:bCs w:val="false"/>
          <w:color w:val="444444"/>
          <w:sz w:val="20"/>
          <w:szCs w:val="20"/>
        </w:rPr>
        <w:t xml:space="preserve">The $37,500 maintenance tier (Rounds 3–6) tracks well with Hotel Red's quality level metric holding at ~1.00–1.07, consistently above Northline's (which oscillated from 0.82 to 1.17) and above Hotel of America's (which degraded from 1.04 to 0.85 by the end). Hotel Red extracted better quality value per dollar than Blue, which spent more on maintenance but achieved similar quality scores.</w:t>
      </w:r>
    </w:p>
    <w:p>
      <w:pPr>
        <w:spacing w:after="160" w:before="0"/>
        <w:jc w:val="left"/>
      </w:pPr>
      <w:r>
        <w:rPr>
          <w:rFonts w:ascii="Arial" w:cs="Arial" w:eastAsia="Arial" w:hAnsi="Arial"/>
          <w:b/>
          <w:bCs/>
          <w:color w:val="444444"/>
          <w:sz w:val="20"/>
          <w:szCs w:val="20"/>
        </w:rPr>
        <w:t xml:space="preserve">The cost-side caveat: </w:t>
      </w:r>
      <w:r>
        <w:rPr>
          <w:rFonts w:ascii="Arial" w:cs="Arial" w:eastAsia="Arial" w:hAnsi="Arial"/>
          <w:b w:val="false"/>
          <w:bCs w:val="false"/>
          <w:color w:val="444444"/>
          <w:sz w:val="20"/>
          <w:szCs w:val="20"/>
        </w:rPr>
        <w:t xml:space="preserve">the $37,500 maintenance commitment in Round 3 — a market trough round — represented a 24.6% drag on that round's EBITDA ($37,500 ÷ $152,421). A more flexible maintenance approach in soft market rounds would have improved that trough.</w:t>
      </w:r>
    </w:p>
    <w:p>
      <w:pPr>
        <w:pStyle w:val="Heading1"/>
        <w:pBdr>
          <w:bottom w:val="single" w:color="8B1A1A" w:sz="6" w:space="4"/>
        </w:pBdr>
        <w:spacing w:after="160" w:before="360"/>
      </w:pPr>
      <w:r>
        <w:rPr>
          <w:rFonts w:ascii="Arial" w:cs="Arial" w:eastAsia="Arial" w:hAnsi="Arial"/>
          <w:b/>
          <w:bCs/>
          <w:color w:val="8B1A1A"/>
          <w:sz w:val="28"/>
          <w:szCs w:val="28"/>
        </w:rPr>
        <w:t xml:space="preserve">4. Which Variables Did Very Little?</w:t>
      </w:r>
    </w:p>
    <w:p>
      <w:pPr>
        <w:spacing w:after="120" w:before="0"/>
        <w:jc w:val="left"/>
      </w:pPr>
      <w:r>
        <w:rPr>
          <w:rFonts w:ascii="Arial" w:cs="Arial" w:eastAsia="Arial" w:hAnsi="Arial"/>
          <w:b/>
          <w:bCs/>
          <w:color w:val="666666"/>
          <w:sz w:val="18"/>
          <w:szCs w:val="18"/>
        </w:rPr>
        <w:t xml:space="preserve">Certainty: </w:t>
      </w:r>
      <w:r>
        <w:rPr>
          <w:rFonts w:ascii="Arial" w:cs="Arial" w:eastAsia="Arial" w:hAnsi="Arial"/>
          <w:b/>
          <w:bCs/>
          <w:color w:val="7A5200"/>
          <w:sz w:val="18"/>
          <w:szCs w:val="18"/>
        </w:rPr>
        <w:t xml:space="preserve">Medium</w:t>
      </w:r>
      <w:r>
        <w:rPr>
          <w:rFonts w:ascii="Arial" w:cs="Arial" w:eastAsia="Arial" w:hAnsi="Arial"/>
          <w:b/>
          <w:bCs/>
          <w:color w:val="666666"/>
          <w:sz w:val="18"/>
          <w:szCs w:val="18"/>
        </w:rPr>
        <w:t xml:space="preserve">   |   Impact: </w:t>
      </w:r>
      <w:r>
        <w:rPr>
          <w:rFonts w:ascii="Arial" w:cs="Arial" w:eastAsia="Arial" w:hAnsi="Arial"/>
          <w:b/>
          <w:bCs/>
          <w:color w:val="1B6B35"/>
          <w:sz w:val="18"/>
          <w:szCs w:val="18"/>
        </w:rPr>
        <w:t xml:space="preserve">Low</w:t>
      </w:r>
    </w:p>
    <w:p>
      <w:pPr>
        <w:pStyle w:val="Heading2"/>
        <w:spacing w:after="120" w:before="280"/>
      </w:pPr>
      <w:r>
        <w:rPr>
          <w:rFonts w:ascii="Arial" w:cs="Arial" w:eastAsia="Arial" w:hAnsi="Arial"/>
          <w:b/>
          <w:bCs/>
          <w:color w:val="C0392B"/>
          <w:sz w:val="24"/>
          <w:szCs w:val="24"/>
        </w:rPr>
        <w:t xml:space="preserve">Marketing</w:t>
      </w:r>
    </w:p>
    <w:p>
      <w:pPr>
        <w:spacing w:after="160" w:before="0"/>
        <w:jc w:val="left"/>
      </w:pPr>
      <w:r>
        <w:rPr>
          <w:rFonts w:ascii="Arial" w:cs="Arial" w:eastAsia="Arial" w:hAnsi="Arial"/>
          <w:b w:val="false"/>
          <w:bCs w:val="false"/>
          <w:color w:val="444444"/>
          <w:sz w:val="20"/>
          <w:szCs w:val="20"/>
        </w:rPr>
        <w:t xml:space="preserve">Marketing showed the weakest signal in the data. Hotel Red spent $7,000–$22,400 per round. Northline spent $0–$60,000 with wild swings. Neither pattern produced a clear occupancy advantage over the other. In Round 6, Northline spent $60,000 on marketing and achieved 70.2% occupancy; Hotel Red spent $22,400 and achieved 71.7%. In Round 7, both cut to near-zero and occupancy fell together, tracking market demand. The simulation appears to treat marketing as a weak lever relative to room rate and advance sales volume — or its effect is too slow or indirect to isolate at the round level.</w:t>
      </w:r>
    </w:p>
    <w:p>
      <w:pPr>
        <w:pStyle w:val="Heading2"/>
        <w:spacing w:after="120" w:before="280"/>
      </w:pPr>
      <w:r>
        <w:rPr>
          <w:rFonts w:ascii="Arial" w:cs="Arial" w:eastAsia="Arial" w:hAnsi="Arial"/>
          <w:b/>
          <w:bCs/>
          <w:color w:val="C0392B"/>
          <w:sz w:val="24"/>
          <w:szCs w:val="24"/>
        </w:rPr>
        <w:t xml:space="preserve">Cost Saving Efforts</w:t>
      </w:r>
    </w:p>
    <w:p>
      <w:pPr>
        <w:spacing w:after="160" w:before="0"/>
        <w:jc w:val="left"/>
      </w:pPr>
      <w:r>
        <w:rPr>
          <w:rFonts w:ascii="Arial" w:cs="Arial" w:eastAsia="Arial" w:hAnsi="Arial"/>
          <w:b w:val="false"/>
          <w:bCs w:val="false"/>
          <w:color w:val="444444"/>
          <w:sz w:val="20"/>
          <w:szCs w:val="20"/>
        </w:rPr>
        <w:t xml:space="preserve">Hotel Red held this at $8,000–$12,800. Northline ranged from $3,000 to $25,000 with no discernible outcome advantage from the higher-spend rounds. This is a cost item with marginal return that the data doesn't show separating any team's performance.</w:t>
      </w:r>
    </w:p>
    <w:p>
      <w:pPr>
        <w:pStyle w:val="Heading2"/>
        <w:spacing w:after="120" w:before="280"/>
      </w:pPr>
      <w:r>
        <w:rPr>
          <w:rFonts w:ascii="Arial" w:cs="Arial" w:eastAsia="Arial" w:hAnsi="Arial"/>
          <w:b/>
          <w:bCs/>
          <w:color w:val="C0392B"/>
          <w:sz w:val="24"/>
          <w:szCs w:val="24"/>
        </w:rPr>
        <w:t xml:space="preserve">Training Per Person</w:t>
      </w:r>
    </w:p>
    <w:p>
      <w:pPr>
        <w:spacing w:after="160" w:before="0"/>
        <w:jc w:val="left"/>
      </w:pPr>
      <w:r>
        <w:rPr>
          <w:rFonts w:ascii="Arial" w:cs="Arial" w:eastAsia="Arial" w:hAnsi="Arial"/>
          <w:b w:val="false"/>
          <w:bCs w:val="false"/>
          <w:color w:val="444444"/>
          <w:sz w:val="20"/>
          <w:szCs w:val="20"/>
        </w:rPr>
        <w:t xml:space="preserve">Held flat at $1,000 for Hotel Red across all seven rounds. Quality level and competence metrics moved far more in response to wage and staffing changes than to training spend. No visible independent signal from this lever.</w:t>
      </w:r>
    </w:p>
    <w:p>
      <w:pPr>
        <w:pStyle w:val="Heading1"/>
        <w:pBdr>
          <w:bottom w:val="single" w:color="8B1A1A" w:sz="6" w:space="4"/>
        </w:pBdr>
        <w:spacing w:after="160" w:before="360"/>
      </w:pPr>
      <w:r>
        <w:rPr>
          <w:rFonts w:ascii="Arial" w:cs="Arial" w:eastAsia="Arial" w:hAnsi="Arial"/>
          <w:b/>
          <w:bCs/>
          <w:color w:val="8B1A1A"/>
          <w:sz w:val="28"/>
          <w:szCs w:val="28"/>
        </w:rPr>
        <w:t xml:space="preserve">5. What Did Other Teams Do Better — and Where Did They Waste Effort?</w:t>
      </w:r>
    </w:p>
    <w:p>
      <w:pPr>
        <w:pStyle w:val="Heading2"/>
        <w:spacing w:after="120" w:before="280"/>
      </w:pPr>
      <w:r>
        <w:rPr>
          <w:rFonts w:ascii="Arial" w:cs="Arial" w:eastAsia="Arial" w:hAnsi="Arial"/>
          <w:b/>
          <w:bCs/>
          <w:color w:val="C0392B"/>
          <w:sz w:val="24"/>
          <w:szCs w:val="24"/>
        </w:rPr>
        <w:t xml:space="preserve">Hotel of America's Winning Lever: Advance Sales Volume at Low Rates</w:t>
      </w:r>
    </w:p>
    <w:p>
      <w:pPr>
        <w:spacing w:after="120" w:before="0"/>
        <w:jc w:val="left"/>
      </w:pPr>
      <w:r>
        <w:rPr>
          <w:rFonts w:ascii="Arial" w:cs="Arial" w:eastAsia="Arial" w:hAnsi="Arial"/>
          <w:b/>
          <w:bCs/>
          <w:color w:val="666666"/>
          <w:sz w:val="18"/>
          <w:szCs w:val="18"/>
        </w:rPr>
        <w:t xml:space="preserve">Certainty: </w:t>
      </w:r>
      <w:r>
        <w:rPr>
          <w:rFonts w:ascii="Arial" w:cs="Arial" w:eastAsia="Arial" w:hAnsi="Arial"/>
          <w:b/>
          <w:bCs/>
          <w:color w:val="7A5200"/>
          <w:sz w:val="18"/>
          <w:szCs w:val="18"/>
        </w:rPr>
        <w:t xml:space="preserve">Medium</w:t>
      </w:r>
      <w:r>
        <w:rPr>
          <w:rFonts w:ascii="Arial" w:cs="Arial" w:eastAsia="Arial" w:hAnsi="Arial"/>
          <w:b/>
          <w:bCs/>
          <w:color w:val="666666"/>
          <w:sz w:val="18"/>
          <w:szCs w:val="18"/>
        </w:rPr>
        <w:t xml:space="preserve">   |   Impact: </w:t>
      </w:r>
      <w:r>
        <w:rPr>
          <w:rFonts w:ascii="Arial" w:cs="Arial" w:eastAsia="Arial" w:hAnsi="Arial"/>
          <w:b/>
          <w:bCs/>
          <w:color w:val="8B1A1A"/>
          <w:sz w:val="18"/>
          <w:szCs w:val="18"/>
        </w:rPr>
        <w:t xml:space="preserve">High</w:t>
      </w:r>
    </w:p>
    <w:p>
      <w:pPr>
        <w:spacing w:after="160" w:before="0"/>
        <w:jc w:val="left"/>
      </w:pPr>
      <w:r>
        <w:rPr>
          <w:rFonts w:ascii="Arial" w:cs="Arial" w:eastAsia="Arial" w:hAnsi="Arial"/>
          <w:b w:val="false"/>
          <w:bCs w:val="false"/>
          <w:color w:val="444444"/>
          <w:sz w:val="20"/>
          <w:szCs w:val="20"/>
        </w:rPr>
        <w:t xml:space="preserve">The clearest performance differential in the entire dataset. Hotel of America systematically pre-booked 1,500–3,512 nights per round at $99–125 — below market spot rate but guaranteed fill. This drove average occupancy among the highest in the field in Rounds 5, 6, and 7, and their late-game profit surge (net profit of $351,489 in Round 6 alone) reset the share price calculation in their favor.</w:t>
      </w:r>
    </w:p>
    <w:p>
      <w:pPr>
        <w:pStyle w:val="Heading2"/>
        <w:spacing w:after="120" w:before="280"/>
      </w:pPr>
      <w:r>
        <w:rPr>
          <w:rFonts w:ascii="Arial" w:cs="Arial" w:eastAsia="Arial" w:hAnsi="Arial"/>
          <w:b/>
          <w:bCs/>
          <w:color w:val="C0392B"/>
          <w:sz w:val="24"/>
          <w:szCs w:val="24"/>
        </w:rPr>
        <w:t xml:space="preserve">Hotel of America's Wasted Round: The $250 Rate in Round 1</w:t>
      </w:r>
    </w:p>
    <w:p>
      <w:pPr>
        <w:spacing w:after="120" w:before="0"/>
        <w:jc w:val="left"/>
      </w:pPr>
      <w:r>
        <w:rPr>
          <w:rFonts w:ascii="Arial" w:cs="Arial" w:eastAsia="Arial" w:hAnsi="Arial"/>
          <w:b/>
          <w:bCs/>
          <w:color w:val="666666"/>
          <w:sz w:val="18"/>
          <w:szCs w:val="18"/>
        </w:rPr>
        <w:t xml:space="preserve">Certainty: </w:t>
      </w:r>
      <w:r>
        <w:rPr>
          <w:rFonts w:ascii="Arial" w:cs="Arial" w:eastAsia="Arial" w:hAnsi="Arial"/>
          <w:b/>
          <w:bCs/>
          <w:color w:val="1B6B35"/>
          <w:sz w:val="18"/>
          <w:szCs w:val="18"/>
        </w:rPr>
        <w:t xml:space="preserve">High</w:t>
      </w:r>
      <w:r>
        <w:rPr>
          <w:rFonts w:ascii="Arial" w:cs="Arial" w:eastAsia="Arial" w:hAnsi="Arial"/>
          <w:b/>
          <w:bCs/>
          <w:color w:val="666666"/>
          <w:sz w:val="18"/>
          <w:szCs w:val="18"/>
        </w:rPr>
        <w:t xml:space="preserve">   |   Impact: </w:t>
      </w:r>
      <w:r>
        <w:rPr>
          <w:rFonts w:ascii="Arial" w:cs="Arial" w:eastAsia="Arial" w:hAnsi="Arial"/>
          <w:b/>
          <w:bCs/>
          <w:color w:val="8B1A1A"/>
          <w:sz w:val="18"/>
          <w:szCs w:val="18"/>
        </w:rPr>
        <w:t xml:space="preserve">High</w:t>
      </w:r>
    </w:p>
    <w:p>
      <w:pPr>
        <w:spacing w:after="160" w:before="0"/>
        <w:jc w:val="left"/>
      </w:pPr>
      <w:r>
        <w:rPr>
          <w:rFonts w:ascii="Arial" w:cs="Arial" w:eastAsia="Arial" w:hAnsi="Arial"/>
          <w:b w:val="false"/>
          <w:bCs w:val="false"/>
          <w:color w:val="444444"/>
          <w:sz w:val="20"/>
          <w:szCs w:val="20"/>
        </w:rPr>
        <w:t xml:space="preserve">Hotel Red's only clearly superior round versus Hotel of America was Round 1. Hotel of America's $250 spot rate produced 36.8% occupancy and a net loss of -$8,432 — </w:t>
      </w:r>
      <w:r>
        <w:rPr>
          <w:rFonts w:ascii="Arial" w:cs="Arial" w:eastAsia="Arial" w:hAnsi="Arial"/>
          <w:b/>
          <w:bCs/>
          <w:color w:val="444444"/>
          <w:sz w:val="20"/>
          <w:szCs w:val="20"/>
        </w:rPr>
        <w:t xml:space="preserve">the only net loss of any team in any round.</w:t>
      </w:r>
      <w:r>
        <w:rPr>
          <w:rFonts w:ascii="Arial" w:cs="Arial" w:eastAsia="Arial" w:hAnsi="Arial"/>
          <w:b w:val="false"/>
          <w:bCs w:val="false"/>
          <w:color w:val="444444"/>
          <w:sz w:val="20"/>
          <w:szCs w:val="20"/>
        </w:rPr>
        <w:t xml:space="preserve"> That single decision put Hotel of America in a two-to-three round recovery hole; their cumulative Total Shareholder Return didn't return to positive territory until Round 4. Hotel Red's lower-rate, higher-volume approach in Round 1 was objectively the right call for that market environment.</w:t>
      </w:r>
    </w:p>
    <w:p>
      <w:pPr>
        <w:pStyle w:val="Heading2"/>
        <w:spacing w:after="120" w:before="280"/>
      </w:pPr>
      <w:r>
        <w:rPr>
          <w:rFonts w:ascii="Arial" w:cs="Arial" w:eastAsia="Arial" w:hAnsi="Arial"/>
          <w:b/>
          <w:bCs/>
          <w:color w:val="C0392B"/>
          <w:sz w:val="24"/>
          <w:szCs w:val="24"/>
        </w:rPr>
        <w:t xml:space="preserve">Northline's Waste: Marketing Volatility</w:t>
      </w:r>
    </w:p>
    <w:p>
      <w:pPr>
        <w:spacing w:after="120" w:before="0"/>
        <w:jc w:val="left"/>
      </w:pPr>
      <w:r>
        <w:rPr>
          <w:rFonts w:ascii="Arial" w:cs="Arial" w:eastAsia="Arial" w:hAnsi="Arial"/>
          <w:b/>
          <w:bCs/>
          <w:color w:val="666666"/>
          <w:sz w:val="18"/>
          <w:szCs w:val="18"/>
        </w:rPr>
        <w:t xml:space="preserve">Certainty: </w:t>
      </w:r>
      <w:r>
        <w:rPr>
          <w:rFonts w:ascii="Arial" w:cs="Arial" w:eastAsia="Arial" w:hAnsi="Arial"/>
          <w:b/>
          <w:bCs/>
          <w:color w:val="7A5200"/>
          <w:sz w:val="18"/>
          <w:szCs w:val="18"/>
        </w:rPr>
        <w:t xml:space="preserve">Medium</w:t>
      </w:r>
      <w:r>
        <w:rPr>
          <w:rFonts w:ascii="Arial" w:cs="Arial" w:eastAsia="Arial" w:hAnsi="Arial"/>
          <w:b/>
          <w:bCs/>
          <w:color w:val="666666"/>
          <w:sz w:val="18"/>
          <w:szCs w:val="18"/>
        </w:rPr>
        <w:t xml:space="preserve">   |   Impact: </w:t>
      </w:r>
      <w:r>
        <w:rPr>
          <w:rFonts w:ascii="Arial" w:cs="Arial" w:eastAsia="Arial" w:hAnsi="Arial"/>
          <w:b/>
          <w:bCs/>
          <w:color w:val="7A5200"/>
          <w:sz w:val="18"/>
          <w:szCs w:val="18"/>
        </w:rPr>
        <w:t xml:space="preserve">Medium</w:t>
      </w:r>
    </w:p>
    <w:p>
      <w:pPr>
        <w:spacing w:after="160" w:before="0"/>
        <w:jc w:val="left"/>
      </w:pPr>
      <w:r>
        <w:rPr>
          <w:rFonts w:ascii="Arial" w:cs="Arial" w:eastAsia="Arial" w:hAnsi="Arial"/>
          <w:b w:val="false"/>
          <w:bCs w:val="false"/>
          <w:color w:val="444444"/>
          <w:sz w:val="20"/>
          <w:szCs w:val="20"/>
        </w:rPr>
        <w:t xml:space="preserve">Northline oscillated between $0 and $60,000 in marketing spend with no proportional occupancy advantage from high-spend rounds. Total estimated excess marketing spend over Hotel Red across the game: approximately $120,000. In Round 2, Northline spent $40,000 on marketing and got 40.6% occupancy; Hotel Red spent $11,200 and got 43.6%. In Round 6, Northline spent $60,000 and got 70.2%; Hotel Red spent $22,400 and got 71.7%. That $120,000 gap, if retained as profit, would have largely closed Northline's distance from Hotel of America in the final standings.</w:t>
      </w:r>
    </w:p>
    <w:p>
      <w:pPr>
        <w:pStyle w:val="Heading2"/>
        <w:spacing w:after="120" w:before="280"/>
      </w:pPr>
      <w:r>
        <w:rPr>
          <w:rFonts w:ascii="Arial" w:cs="Arial" w:eastAsia="Arial" w:hAnsi="Arial"/>
          <w:b/>
          <w:bCs/>
          <w:color w:val="C0392B"/>
          <w:sz w:val="24"/>
          <w:szCs w:val="24"/>
        </w:rPr>
        <w:t xml:space="preserve">Blue's Structural Flaw: Overstaffing</w:t>
      </w:r>
    </w:p>
    <w:p>
      <w:pPr>
        <w:spacing w:after="120" w:before="0"/>
        <w:jc w:val="left"/>
      </w:pPr>
      <w:r>
        <w:rPr>
          <w:rFonts w:ascii="Arial" w:cs="Arial" w:eastAsia="Arial" w:hAnsi="Arial"/>
          <w:b/>
          <w:bCs/>
          <w:color w:val="666666"/>
          <w:sz w:val="18"/>
          <w:szCs w:val="18"/>
        </w:rPr>
        <w:t xml:space="preserve">Certainty: </w:t>
      </w:r>
      <w:r>
        <w:rPr>
          <w:rFonts w:ascii="Arial" w:cs="Arial" w:eastAsia="Arial" w:hAnsi="Arial"/>
          <w:b/>
          <w:bCs/>
          <w:color w:val="1B6B35"/>
          <w:sz w:val="18"/>
          <w:szCs w:val="18"/>
        </w:rPr>
        <w:t xml:space="preserve">High</w:t>
      </w:r>
      <w:r>
        <w:rPr>
          <w:rFonts w:ascii="Arial" w:cs="Arial" w:eastAsia="Arial" w:hAnsi="Arial"/>
          <w:b/>
          <w:bCs/>
          <w:color w:val="666666"/>
          <w:sz w:val="18"/>
          <w:szCs w:val="18"/>
        </w:rPr>
        <w:t xml:space="preserve">   |   Impact: </w:t>
      </w:r>
      <w:r>
        <w:rPr>
          <w:rFonts w:ascii="Arial" w:cs="Arial" w:eastAsia="Arial" w:hAnsi="Arial"/>
          <w:b/>
          <w:bCs/>
          <w:color w:val="8B1A1A"/>
          <w:sz w:val="18"/>
          <w:szCs w:val="18"/>
        </w:rPr>
        <w:t xml:space="preserve">High</w:t>
      </w:r>
    </w:p>
    <w:p>
      <w:pPr>
        <w:spacing w:after="160" w:before="0"/>
        <w:jc w:val="left"/>
      </w:pPr>
      <w:r>
        <w:rPr>
          <w:rFonts w:ascii="Arial" w:cs="Arial" w:eastAsia="Arial" w:hAnsi="Arial"/>
          <w:b w:val="false"/>
          <w:bCs w:val="false"/>
          <w:color w:val="444444"/>
          <w:sz w:val="20"/>
          <w:szCs w:val="20"/>
        </w:rPr>
        <w:t xml:space="preserve">Blue ran 5 permanent staff at $3,500/month throughout the game, generating consistent personnel costs of $89K–$134K per round against revenue that didn't justify it in soft periods. Blue's Round 2 and Round 3 net losses (-$32,630 and -$90,063) were primarily driven by this fixed cost base meeting a demand trough. Blue spent more on personnel and achieved higher quality scores (peaking at 1.24 in Round 3), but the quality premium didn't generate enough rate or occupancy premium to offset the cost structure. Total seven-round net profit: $598,595 — $247K behind Hotel Red.</w:t>
      </w:r>
    </w:p>
    <w:p>
      <w:pPr>
        <w:pStyle w:val="Heading1"/>
        <w:pBdr>
          <w:bottom w:val="single" w:color="8B1A1A" w:sz="6" w:space="4"/>
        </w:pBdr>
        <w:spacing w:after="160" w:before="360"/>
      </w:pPr>
      <w:r>
        <w:rPr>
          <w:rFonts w:ascii="Arial" w:cs="Arial" w:eastAsia="Arial" w:hAnsi="Arial"/>
          <w:b/>
          <w:bCs/>
          <w:color w:val="8B1A1A"/>
          <w:sz w:val="28"/>
          <w:szCs w:val="28"/>
        </w:rPr>
        <w:t xml:space="preserve">Total Shareholder Return Trajectory by Round</w:t>
      </w:r>
    </w:p>
    <w:p>
      <w:pPr>
        <w:spacing w:after="120" w:before="0"/>
        <w:jc w:val="left"/>
      </w:pPr>
      <w:r>
        <w:rPr>
          <w:rFonts w:ascii="Arial" w:cs="Arial" w:eastAsia="Arial" w:hAnsi="Arial"/>
          <w:b w:val="false"/>
          <w:bCs w:val="false"/>
          <w:color w:val="666666"/>
          <w:sz w:val="18"/>
          <w:szCs w:val="18"/>
        </w:rPr>
        <w:t xml:space="preserve">★ indicates the leader that round. All figures are cumulative.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15"/>
        <w:gridCol w:w="2115"/>
        <w:gridCol w:w="2115"/>
        <w:gridCol w:w="2115"/>
      </w:tblGrid>
      <w:tr>
        <w:trPr>
          <w:tblHeader/>
        </w:trPr>
        <w:tc>
          <w:tcPr>
            <w:tcW w:type="dxa" w:w="9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Round</w:t>
            </w:r>
          </w:p>
        </w:tc>
        <w:tc>
          <w:tcPr>
            <w:tcW w:type="dxa" w:w="2115"/>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The Northline</w:t>
            </w:r>
          </w:p>
        </w:tc>
        <w:tc>
          <w:tcPr>
            <w:tcW w:type="dxa" w:w="2115"/>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Hotel Red</w:t>
            </w:r>
          </w:p>
        </w:tc>
        <w:tc>
          <w:tcPr>
            <w:tcW w:type="dxa" w:w="2115"/>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Blue</w:t>
            </w:r>
          </w:p>
        </w:tc>
        <w:tc>
          <w:tcPr>
            <w:tcW w:type="dxa" w:w="2115"/>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Hotel of America</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1</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41.7%</w:t>
            </w:r>
          </w:p>
        </w:tc>
        <w:tc>
          <w:tcPr>
            <w:tcW w:type="dxa" w:w="2115"/>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56.9% ★</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30.5%</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-16.0%</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2</w:t>
            </w:r>
          </w:p>
        </w:tc>
        <w:tc>
          <w:tcPr>
            <w:tcW w:type="dxa" w:w="2115"/>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-8.8%</w:t>
            </w:r>
          </w:p>
        </w:tc>
        <w:tc>
          <w:tcPr>
            <w:tcW w:type="dxa" w:w="2115"/>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5.3% ★</w:t>
            </w:r>
          </w:p>
        </w:tc>
        <w:tc>
          <w:tcPr>
            <w:tcW w:type="dxa" w:w="2115"/>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-12.3%</w:t>
            </w:r>
          </w:p>
        </w:tc>
        <w:tc>
          <w:tcPr>
            <w:tcW w:type="dxa" w:w="2115"/>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-18.0%</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3</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-5.4%</w:t>
            </w:r>
          </w:p>
        </w:tc>
        <w:tc>
          <w:tcPr>
            <w:tcW w:type="dxa" w:w="2115"/>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-4.2% ★</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-23.5%</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-11.4%</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4</w:t>
            </w:r>
          </w:p>
        </w:tc>
        <w:tc>
          <w:tcPr>
            <w:tcW w:type="dxa" w:w="2115"/>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4.5%</w:t>
            </w:r>
          </w:p>
        </w:tc>
        <w:tc>
          <w:tcPr>
            <w:tcW w:type="dxa" w:w="2115"/>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6.9% ★</w:t>
            </w:r>
          </w:p>
        </w:tc>
        <w:tc>
          <w:tcPr>
            <w:tcW w:type="dxa" w:w="2115"/>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3.9%</w:t>
            </w:r>
          </w:p>
        </w:tc>
        <w:tc>
          <w:tcPr>
            <w:tcW w:type="dxa" w:w="2115"/>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1.9%</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5</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5.9%</w:t>
            </w:r>
          </w:p>
        </w:tc>
        <w:tc>
          <w:tcPr>
            <w:tcW w:type="dxa" w:w="2115"/>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8.9%</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9.8% ★</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8.1%</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6</w:t>
            </w:r>
          </w:p>
        </w:tc>
        <w:tc>
          <w:tcPr>
            <w:tcW w:type="dxa" w:w="2115"/>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11.8%</w:t>
            </w:r>
          </w:p>
        </w:tc>
        <w:tc>
          <w:tcPr>
            <w:tcW w:type="dxa" w:w="2115"/>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12.5%</w:t>
            </w:r>
          </w:p>
        </w:tc>
        <w:tc>
          <w:tcPr>
            <w:tcW w:type="dxa" w:w="2115"/>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10.6%</w:t>
            </w:r>
          </w:p>
        </w:tc>
        <w:tc>
          <w:tcPr>
            <w:tcW w:type="dxa" w:w="2115"/>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14.3% ★</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7</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11.2%</w:t>
            </w:r>
          </w:p>
        </w:tc>
        <w:tc>
          <w:tcPr>
            <w:tcW w:type="dxa" w:w="2115"/>
            <w:gridSpan w:val="1"/>
            <w:tcBorders>
              <w:top w:val="single" w:color="CCCCCC" w:sz="1"/>
              <w:left w:val="single" w:color="CCCCCC" w:sz="1"/>
              <w:bottom w:val="single" w:color="CCCCCC" w:sz="1"/>
              <w:right w:val="single" w:color="CCCCCC" w:sz="1"/>
            </w:tcBorders>
            <w:shd w:fill="F5DCDC" w:val="clear"/>
            <w:tcMar>
              <w:top w:type="dxa" w:w="100"/>
              <w:left w:type="dxa" w:w="140"/>
              <w:bottom w:type="dxa" w:w="100"/>
              <w:right w:type="dxa" w:w="140"/>
            </w:tcMar>
            <w:vAlign w:val="center"/>
          </w:tcPr>
          <w:p>
            <w:pPr>
              <w:jc w:val="right"/>
            </w:pPr>
            <w:r>
              <w:rPr>
                <w:rFonts w:ascii="Arial" w:cs="Arial" w:eastAsia="Arial" w:hAnsi="Arial"/>
                <w:b/>
                <w:bCs/>
                <w:color w:val="444444"/>
                <w:sz w:val="18"/>
                <w:szCs w:val="18"/>
              </w:rPr>
              <w:t xml:space="preserve">10.8%</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7.1%</w:t>
            </w:r>
          </w:p>
        </w:tc>
        <w:tc>
          <w:tcPr>
            <w:tcW w:type="dxa" w:w="2115"/>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13.5% ★</w:t>
            </w:r>
          </w:p>
        </w:tc>
      </w:tr>
    </w:tbl>
    <w:p>
      <w:pPr>
        <w:spacing w:after="0" w:before="80"/>
      </w:pPr>
      <w:r>
        <w:rPr>
          <w:rFonts w:ascii="Arial" w:cs="Arial" w:eastAsia="Arial" w:hAnsi="Arial"/>
          <w:b w:val="false"/>
          <w:bCs w:val="false"/>
          <w:color w:val="444444"/>
          <w:sz w:val="22"/>
          <w:szCs w:val="22"/>
        </w:rPr>
        <w:t xml:space="preserve"/>
      </w:r>
    </w:p>
    <w:p>
      <w:pPr>
        <w:pStyle w:val="Heading1"/>
        <w:pBdr>
          <w:bottom w:val="single" w:color="8B1A1A" w:sz="6" w:space="4"/>
        </w:pBdr>
        <w:spacing w:after="160" w:before="360"/>
      </w:pPr>
      <w:r>
        <w:rPr>
          <w:rFonts w:ascii="Arial" w:cs="Arial" w:eastAsia="Arial" w:hAnsi="Arial"/>
          <w:b/>
          <w:bCs/>
          <w:color w:val="8B1A1A"/>
          <w:sz w:val="28"/>
          <w:szCs w:val="28"/>
        </w:rPr>
        <w:t xml:space="preserve">Key Arithmetic</w:t>
      </w:r>
    </w:p>
    <w:p>
      <w:pPr>
        <w:pStyle w:val="Heading2"/>
        <w:spacing w:after="120" w:before="280"/>
      </w:pPr>
      <w:r>
        <w:rPr>
          <w:rFonts w:ascii="Arial" w:cs="Arial" w:eastAsia="Arial" w:hAnsi="Arial"/>
          <w:b/>
          <w:bCs/>
          <w:color w:val="C0392B"/>
          <w:sz w:val="24"/>
          <w:szCs w:val="24"/>
        </w:rPr>
        <w:t xml:space="preserve">Total Interest Paid — Hotel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500"/>
        <w:gridCol w:w="1500"/>
        <w:gridCol w:w="1500"/>
        <w:gridCol w:w="2160"/>
      </w:tblGrid>
      <w:tr>
        <w:trPr>
          <w:tblHeader/>
        </w:trPr>
        <w:tc>
          <w:tcPr>
            <w:tcW w:type="dxa" w:w="8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Round</w:t>
            </w:r>
          </w:p>
        </w:tc>
        <w:tc>
          <w:tcPr>
            <w:tcW w:type="dxa" w:w="19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Long-Term Interest</w:t>
            </w:r>
          </w:p>
        </w:tc>
        <w:tc>
          <w:tcPr>
            <w:tcW w:type="dxa" w:w="15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Short-Term Interest</w:t>
            </w:r>
          </w:p>
        </w:tc>
        <w:tc>
          <w:tcPr>
            <w:tcW w:type="dxa" w:w="15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Interest Income</w:t>
            </w:r>
          </w:p>
        </w:tc>
        <w:tc>
          <w:tcPr>
            <w:tcW w:type="dxa" w:w="150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Net Interest Expense</w:t>
            </w:r>
          </w:p>
        </w:tc>
        <w:tc>
          <w:tcPr>
            <w:tcW w:type="dxa" w:w="216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Cumulative Net Expense</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1</w:t>
            </w:r>
          </w:p>
        </w:tc>
        <w:tc>
          <w:tcPr>
            <w:tcW w:type="dxa" w:w="1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$86,587</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$0</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$12,300</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$74,287</w:t>
            </w:r>
          </w:p>
        </w:tc>
        <w:tc>
          <w:tcPr>
            <w:tcW w:type="dxa" w:w="21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$74,287</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2</w:t>
            </w:r>
          </w:p>
        </w:tc>
        <w:tc>
          <w:tcPr>
            <w:tcW w:type="dxa" w:w="19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$102,870</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$0</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$18,715</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$84,156</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$158,443</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3</w:t>
            </w:r>
          </w:p>
        </w:tc>
        <w:tc>
          <w:tcPr>
            <w:tcW w:type="dxa" w:w="1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$102,655</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$0</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$20,660</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$81,995</w:t>
            </w:r>
          </w:p>
        </w:tc>
        <w:tc>
          <w:tcPr>
            <w:tcW w:type="dxa" w:w="21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$240,438</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4</w:t>
            </w:r>
          </w:p>
        </w:tc>
        <w:tc>
          <w:tcPr>
            <w:tcW w:type="dxa" w:w="19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$122,956</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$0</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$30,700</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$92,256</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$332,694</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5</w:t>
            </w:r>
          </w:p>
        </w:tc>
        <w:tc>
          <w:tcPr>
            <w:tcW w:type="dxa" w:w="1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$111,385</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$0</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$33,116</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$78,268</w:t>
            </w:r>
          </w:p>
        </w:tc>
        <w:tc>
          <w:tcPr>
            <w:tcW w:type="dxa" w:w="21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$410,962</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6</w:t>
            </w:r>
          </w:p>
        </w:tc>
        <w:tc>
          <w:tcPr>
            <w:tcW w:type="dxa" w:w="19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$74,528</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$0</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$26,164</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$48,363</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$459,325</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18"/>
                <w:szCs w:val="18"/>
              </w:rPr>
              <w:t xml:space="preserve">7</w:t>
            </w:r>
          </w:p>
        </w:tc>
        <w:tc>
          <w:tcPr>
            <w:tcW w:type="dxa" w:w="19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$73,090</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$0</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$31,041</w:t>
            </w:r>
          </w:p>
        </w:tc>
        <w:tc>
          <w:tcPr>
            <w:tcW w:type="dxa" w:w="15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$42,049</w:t>
            </w:r>
          </w:p>
        </w:tc>
        <w:tc>
          <w:tcPr>
            <w:tcW w:type="dxa" w:w="21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color w:val="444444"/>
                <w:sz w:val="18"/>
                <w:szCs w:val="18"/>
              </w:rPr>
              <w:t xml:space="preserve">$501,374</w:t>
            </w:r>
          </w:p>
        </w:tc>
      </w:tr>
    </w:tbl>
    <w:p>
      <w:pPr>
        <w:spacing w:after="0" w:before="60"/>
      </w:pPr>
      <w:r>
        <w:rPr>
          <w:rFonts w:ascii="Arial" w:cs="Arial" w:eastAsia="Arial" w:hAnsi="Arial"/>
          <w:b w:val="false"/>
          <w:bCs w:val="false"/>
          <w:color w:val="444444"/>
          <w:sz w:val="22"/>
          <w:szCs w:val="22"/>
        </w:rPr>
        <w:t xml:space="preserve"/>
      </w:r>
    </w:p>
    <w:p>
      <w:pPr>
        <w:spacing w:after="120" w:before="80"/>
        <w:jc w:val="left"/>
      </w:pPr>
      <w:r>
        <w:rPr>
          <w:rFonts w:ascii="Arial" w:cs="Arial" w:eastAsia="Arial" w:hAnsi="Arial"/>
          <w:b/>
          <w:bCs/>
          <w:color w:val="444444"/>
          <w:sz w:val="20"/>
          <w:szCs w:val="20"/>
        </w:rPr>
        <w:t xml:space="preserve">Total long-term interest paid: </w:t>
      </w:r>
      <w:r>
        <w:rPr>
          <w:rFonts w:ascii="Arial" w:cs="Arial" w:eastAsia="Arial" w:hAnsi="Arial"/>
          <w:b w:val="false"/>
          <w:bCs w:val="false"/>
          <w:color w:val="444444"/>
          <w:sz w:val="20"/>
          <w:szCs w:val="20"/>
        </w:rPr>
        <w:t xml:space="preserve">$674,071 | </w:t>
      </w:r>
      <w:r>
        <w:rPr>
          <w:rFonts w:ascii="Arial" w:cs="Arial" w:eastAsia="Arial" w:hAnsi="Arial"/>
          <w:b/>
          <w:bCs/>
          <w:color w:val="444444"/>
          <w:sz w:val="20"/>
          <w:szCs w:val="20"/>
        </w:rPr>
        <w:t xml:space="preserve">Total interest income: </w:t>
      </w:r>
      <w:r>
        <w:rPr>
          <w:rFonts w:ascii="Arial" w:cs="Arial" w:eastAsia="Arial" w:hAnsi="Arial"/>
          <w:b w:val="false"/>
          <w:bCs w:val="false"/>
          <w:color w:val="444444"/>
          <w:sz w:val="20"/>
          <w:szCs w:val="20"/>
        </w:rPr>
        <w:t xml:space="preserve">$172,698 | </w:t>
      </w:r>
      <w:r>
        <w:rPr>
          <w:rFonts w:ascii="Arial" w:cs="Arial" w:eastAsia="Arial" w:hAnsi="Arial"/>
          <w:b/>
          <w:bCs/>
          <w:color w:val="444444"/>
          <w:sz w:val="20"/>
          <w:szCs w:val="20"/>
        </w:rPr>
        <w:t xml:space="preserve">Net interest expense: </w:t>
      </w:r>
      <w:r>
        <w:rPr>
          <w:rFonts w:ascii="Arial" w:cs="Arial" w:eastAsia="Arial" w:hAnsi="Arial"/>
          <w:b w:val="false"/>
          <w:bCs w:val="false"/>
          <w:color w:val="444444"/>
          <w:sz w:val="20"/>
          <w:szCs w:val="20"/>
        </w:rPr>
        <w:t xml:space="preserve">$501,373</w:t>
      </w:r>
    </w:p>
    <w:p>
      <w:pPr>
        <w:spacing w:after="200" w:before="0"/>
        <w:jc w:val="left"/>
      </w:pPr>
      <w:r>
        <w:rPr>
          <w:rFonts w:ascii="Arial" w:cs="Arial" w:eastAsia="Arial" w:hAnsi="Arial"/>
          <w:b w:val="false"/>
          <w:bCs w:val="false"/>
          <w:color w:val="666666"/>
          <w:sz w:val="18"/>
          <w:szCs w:val="18"/>
        </w:rPr>
        <w:t xml:space="preserve">The loan balance held flat at $3,345,725 every round — no paydown, no new borrowing. Interest fluctuated because it is indexed to a company-specific prime rate that ranged from 4.42% to 7.49% for Hotel Red across the game.</w:t>
      </w:r>
    </w:p>
    <w:p>
      <w:pPr>
        <w:pStyle w:val="Heading2"/>
        <w:spacing w:after="120" w:before="280"/>
      </w:pPr>
      <w:r>
        <w:rPr>
          <w:rFonts w:ascii="Arial" w:cs="Arial" w:eastAsia="Arial" w:hAnsi="Arial"/>
          <w:b/>
          <w:bCs/>
          <w:color w:val="C0392B"/>
          <w:sz w:val="24"/>
          <w:szCs w:val="24"/>
        </w:rPr>
        <w:t xml:space="preserve">Cash Position</w:t>
      </w:r>
    </w:p>
    <w:p>
      <w:pPr>
        <w:spacing w:after="80" w:before="0"/>
        <w:jc w:val="left"/>
      </w:pPr>
      <w:r>
        <w:rPr>
          <w:rFonts w:ascii="Arial" w:cs="Arial" w:eastAsia="Arial" w:hAnsi="Arial"/>
          <w:b/>
          <w:bCs/>
          <w:color w:val="444444"/>
          <w:sz w:val="20"/>
          <w:szCs w:val="20"/>
        </w:rPr>
        <w:t xml:space="preserve">Starting cash (Round 1 open): </w:t>
      </w:r>
      <w:r>
        <w:rPr>
          <w:rFonts w:ascii="Arial" w:cs="Arial" w:eastAsia="Arial" w:hAnsi="Arial"/>
          <w:b w:val="false"/>
          <w:bCs w:val="false"/>
          <w:color w:val="444444"/>
          <w:sz w:val="20"/>
          <w:szCs w:val="20"/>
        </w:rPr>
        <w:t xml:space="preserve">$528,020</w:t>
      </w:r>
    </w:p>
    <w:p>
      <w:pPr>
        <w:spacing w:after="80" w:before="0"/>
        <w:jc w:val="left"/>
      </w:pPr>
      <w:r>
        <w:rPr>
          <w:rFonts w:ascii="Arial" w:cs="Arial" w:eastAsia="Arial" w:hAnsi="Arial"/>
          <w:b/>
          <w:bCs/>
          <w:color w:val="444444"/>
          <w:sz w:val="20"/>
          <w:szCs w:val="20"/>
        </w:rPr>
        <w:t xml:space="preserve">Ending cash (Round 7 close): </w:t>
      </w:r>
      <w:r>
        <w:rPr>
          <w:rFonts w:ascii="Arial" w:cs="Arial" w:eastAsia="Arial" w:hAnsi="Arial"/>
          <w:b w:val="false"/>
          <w:bCs w:val="false"/>
          <w:color w:val="444444"/>
          <w:sz w:val="20"/>
          <w:szCs w:val="20"/>
        </w:rPr>
        <w:t xml:space="preserve">$1,736,104</w:t>
      </w:r>
    </w:p>
    <w:p>
      <w:pPr>
        <w:spacing w:after="160" w:before="0"/>
        <w:jc w:val="left"/>
      </w:pPr>
      <w:r>
        <w:rPr>
          <w:rFonts w:ascii="Arial" w:cs="Arial" w:eastAsia="Arial" w:hAnsi="Arial"/>
          <w:b/>
          <w:bCs/>
          <w:color w:val="444444"/>
          <w:sz w:val="20"/>
          <w:szCs w:val="20"/>
        </w:rPr>
        <w:t xml:space="preserve">Net cash generated: </w:t>
      </w:r>
      <w:r>
        <w:rPr>
          <w:rFonts w:ascii="Arial" w:cs="Arial" w:eastAsia="Arial" w:hAnsi="Arial"/>
          <w:b w:val="false"/>
          <w:bCs w:val="false"/>
          <w:color w:val="444444"/>
          <w:sz w:val="20"/>
          <w:szCs w:val="20"/>
        </w:rPr>
        <w:t xml:space="preserve">$1,208,084 — the largest cash build in the field.</w:t>
      </w:r>
    </w:p>
    <w:p>
      <w:pPr>
        <w:pStyle w:val="Heading2"/>
        <w:spacing w:after="120" w:before="280"/>
      </w:pPr>
      <w:r>
        <w:rPr>
          <w:rFonts w:ascii="Arial" w:cs="Arial" w:eastAsia="Arial" w:hAnsi="Arial"/>
          <w:b/>
          <w:bCs/>
          <w:color w:val="C0392B"/>
          <w:sz w:val="24"/>
          <w:szCs w:val="24"/>
        </w:rPr>
        <w:t xml:space="preserve">Why Hotel Red Earned More But Finished 3rd in Total Shareholder Return</w:t>
      </w:r>
    </w:p>
    <w:p>
      <w:pPr>
        <w:spacing w:after="160" w:before="0"/>
        <w:jc w:val="left"/>
      </w:pPr>
      <w:r>
        <w:rPr>
          <w:rFonts w:ascii="Arial" w:cs="Arial" w:eastAsia="Arial" w:hAnsi="Arial"/>
          <w:b w:val="false"/>
          <w:bCs w:val="false"/>
          <w:color w:val="444444"/>
          <w:sz w:val="20"/>
          <w:szCs w:val="20"/>
        </w:rPr>
        <w:t xml:space="preserve">Total Shareholder Return is driven by share price appreciation and dividends. Share price tracks earnings per share, which tracks current-period earnings. Hotel of America's earnings per share surged in Rounds 6 and 7 ($3.51 and $1.82 respectively), resetting the price-to-earnings multiple and driving their share from $25 in Round 1 to $72.89 in Round 7 — a $47.89 per-share gain. Hotel Red's share moved from $47 to $61.60 — a $14.60 gain. The core paradox: Hotel Red earned more in total, but distributed those earnings more evenly across all seven rounds. Hotel of America concentrated their profit surge in the final three rounds, which had the greatest influence on terminal valuation.</w:t>
      </w:r>
    </w:p>
    <w:p>
      <w:pPr>
        <w:pBdr>
          <w:bottom w:val="single" w:color="8B1A1A" w:sz="6" w:space="4"/>
        </w:pBdr>
        <w:spacing w:after="0" w:before="480"/>
      </w:pPr>
      <w:r>
        <w:rPr>
          <w:rFonts w:ascii="Arial" w:cs="Arial" w:eastAsia="Arial" w:hAnsi="Arial"/>
          <w:b w:val="false"/>
          <w:bCs w:val="false"/>
          <w:color w:val="444444"/>
          <w:sz w:val="22"/>
          <w:szCs w:val="22"/>
        </w:rPr>
        <w:t xml:space="preserve"/>
      </w:r>
    </w:p>
    <w:p>
      <w:pPr>
        <w:spacing w:after="0" w:before="80"/>
        <w:jc w:val="center"/>
      </w:pPr>
      <w:r>
        <w:rPr>
          <w:rFonts w:ascii="Arial" w:cs="Arial" w:eastAsia="Arial" w:hAnsi="Arial"/>
          <w:b w:val="false"/>
          <w:bCs w:val="false"/>
          <w:color w:val="999999"/>
          <w:sz w:val="18"/>
          <w:szCs w:val="18"/>
        </w:rPr>
        <w:t xml:space="preserve">Hotel Red  ·  Cesim Service 7-Round Analysis  ·  Independent read from raw spreadsheet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8B1A1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2026-06-25T15:33:02.023Z</dcterms:created>
  <dcterms:modified xsi:type="dcterms:W3CDTF">2026-06-25T15:33:02.023Z</dcterms:modified>
</cp:coreProperties>
</file>

<file path=docProps/custom.xml><?xml version="1.0" encoding="utf-8"?>
<Properties xmlns="http://schemas.openxmlformats.org/officeDocument/2006/custom-properties" xmlns:vt="http://schemas.openxmlformats.org/officeDocument/2006/docPropsVTypes"/>
</file>