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236CD4B4" w14:textId="32357964" w:rsidR="00C86403" w:rsidRDefault="00C86403" w:rsidP="00C22FC1">
      <w:r>
        <w:t xml:space="preserve">0. Put back the first waveform graph to show the group difference over parietal scalp? Maybe look for correlations with severity in MDD . . . </w:t>
      </w:r>
    </w:p>
    <w:p w14:paraId="2128B85D" w14:textId="77777777" w:rsidR="00C86403" w:rsidRDefault="00C86403" w:rsidP="00C22FC1"/>
    <w:p w14:paraId="6DF98252" w14:textId="40C4789D" w:rsidR="00C22FC1" w:rsidRDefault="00C22FC1" w:rsidP="00C22FC1">
      <w:r>
        <w:t xml:space="preserve">1. We need to emphasize two effects: Cue x Task and Group x Cue x Task. Cue x Task because it is very strong, novel, and in line with NPS focus on basic work and advances in cog </w:t>
      </w:r>
      <w:proofErr w:type="spellStart"/>
      <w:r>
        <w:t>neuro</w:t>
      </w:r>
      <w:proofErr w:type="spellEnd"/>
      <w:r>
        <w:t>.</w:t>
      </w:r>
    </w:p>
    <w:p w14:paraId="3F9135A9" w14:textId="77777777" w:rsidR="00C22FC1" w:rsidRDefault="00C22FC1" w:rsidP="00C22FC1"/>
    <w:p w14:paraId="77A84FAB" w14:textId="0AB853CE" w:rsidR="003A1E7D" w:rsidRDefault="00D6348C" w:rsidP="00C22FC1">
      <w:r>
        <w:t>2</w:t>
      </w:r>
      <w:r w:rsidR="003A1E7D">
        <w:t xml:space="preserve">. For the question about distance between channels, here is the output of the </w:t>
      </w:r>
      <w:proofErr w:type="spellStart"/>
      <w:r w:rsidR="003A1E7D">
        <w:t>spatial_neighbors</w:t>
      </w:r>
      <w:proofErr w:type="spellEnd"/>
      <w:r w:rsidR="003A1E7D">
        <w:t xml:space="preserve"> function with </w:t>
      </w:r>
      <w:proofErr w:type="spellStart"/>
      <w:r w:rsidR="003A1E7D">
        <w:t>dist_bw_chans</w:t>
      </w:r>
      <w:proofErr w:type="spellEnd"/>
      <w:r w:rsidR="003A1E7D">
        <w:t xml:space="preserve"> = 4:</w:t>
      </w:r>
    </w:p>
    <w:p w14:paraId="0F054C95" w14:textId="77777777" w:rsidR="003A1E7D" w:rsidRDefault="003A1E7D" w:rsidP="00C22FC1"/>
    <w:p w14:paraId="4CD5BC01" w14:textId="77777777" w:rsidR="003A1E7D" w:rsidRPr="003A1E7D" w:rsidRDefault="003A1E7D" w:rsidP="003A1E7D">
      <w:pPr>
        <w:ind w:left="720"/>
        <w:rPr>
          <w:sz w:val="22"/>
        </w:rPr>
      </w:pPr>
      <w:proofErr w:type="spellStart"/>
      <w:proofErr w:type="gramStart"/>
      <w:r w:rsidRPr="003A1E7D">
        <w:rPr>
          <w:sz w:val="22"/>
        </w:rPr>
        <w:t>max</w:t>
      </w:r>
      <w:proofErr w:type="gramEnd"/>
      <w:r w:rsidRPr="003A1E7D">
        <w:rPr>
          <w:sz w:val="22"/>
        </w:rPr>
        <w:t>_dist</w:t>
      </w:r>
      <w:proofErr w:type="spellEnd"/>
      <w:r w:rsidRPr="003A1E7D">
        <w:rPr>
          <w:sz w:val="22"/>
        </w:rPr>
        <w:t xml:space="preserve"> value of 4 corresponds to an approximate distance of 4.06 cm (assuming</w:t>
      </w:r>
    </w:p>
    <w:p w14:paraId="430ADA4D" w14:textId="0C5E9DD3" w:rsidR="003A1E7D" w:rsidRPr="003A1E7D" w:rsidRDefault="003A1E7D" w:rsidP="003A1E7D">
      <w:pPr>
        <w:ind w:left="720"/>
        <w:rPr>
          <w:sz w:val="22"/>
        </w:rPr>
      </w:pPr>
      <w:r w:rsidRPr="003A1E7D">
        <w:rPr>
          <w:sz w:val="22"/>
        </w:rPr>
        <w:t xml:space="preserve">  </w:t>
      </w:r>
      <w:proofErr w:type="gramStart"/>
      <w:r w:rsidRPr="003A1E7D">
        <w:rPr>
          <w:sz w:val="22"/>
        </w:rPr>
        <w:t>a</w:t>
      </w:r>
      <w:proofErr w:type="gramEnd"/>
      <w:r w:rsidRPr="003A1E7D">
        <w:rPr>
          <w:sz w:val="22"/>
        </w:rPr>
        <w:t xml:space="preserve"> 56 cm great circle circumference head and that your electrode coordinates are based on an idealized spherical head with radius of 8.774327).</w:t>
      </w:r>
    </w:p>
    <w:p w14:paraId="1265901F" w14:textId="77777777" w:rsidR="003A1E7D" w:rsidRPr="003A1E7D" w:rsidRDefault="003A1E7D" w:rsidP="003A1E7D">
      <w:pPr>
        <w:ind w:left="720"/>
        <w:rPr>
          <w:sz w:val="22"/>
        </w:rPr>
      </w:pPr>
      <w:r w:rsidRPr="003A1E7D">
        <w:rPr>
          <w:sz w:val="22"/>
        </w:rPr>
        <w:t xml:space="preserve">Min/Max distances between all pairs of channels (in </w:t>
      </w:r>
      <w:proofErr w:type="spellStart"/>
      <w:r w:rsidRPr="003A1E7D">
        <w:rPr>
          <w:sz w:val="22"/>
        </w:rPr>
        <w:t>chanlocs</w:t>
      </w:r>
      <w:proofErr w:type="spellEnd"/>
      <w:r w:rsidRPr="003A1E7D">
        <w:rPr>
          <w:sz w:val="22"/>
        </w:rPr>
        <w:t xml:space="preserve"> units): 1.460951/19.205354</w:t>
      </w:r>
    </w:p>
    <w:p w14:paraId="5D56A810" w14:textId="77777777" w:rsidR="003A1E7D" w:rsidRPr="003A1E7D" w:rsidRDefault="003A1E7D" w:rsidP="003A1E7D">
      <w:pPr>
        <w:ind w:left="720"/>
        <w:rPr>
          <w:sz w:val="22"/>
        </w:rPr>
      </w:pPr>
      <w:r w:rsidRPr="003A1E7D">
        <w:rPr>
          <w:sz w:val="22"/>
        </w:rPr>
        <w:t xml:space="preserve">Median (semi-IQR) distance between all pairs of channels (in </w:t>
      </w:r>
      <w:proofErr w:type="spellStart"/>
      <w:r w:rsidRPr="003A1E7D">
        <w:rPr>
          <w:sz w:val="22"/>
        </w:rPr>
        <w:t>chanlocs</w:t>
      </w:r>
      <w:proofErr w:type="spellEnd"/>
      <w:r w:rsidRPr="003A1E7D">
        <w:rPr>
          <w:sz w:val="22"/>
        </w:rPr>
        <w:t xml:space="preserve"> units): 12.082978 (3.162924)</w:t>
      </w:r>
    </w:p>
    <w:p w14:paraId="607A4D7F" w14:textId="77777777" w:rsidR="003A1E7D" w:rsidRPr="003A1E7D" w:rsidRDefault="003A1E7D" w:rsidP="003A1E7D">
      <w:pPr>
        <w:ind w:left="720"/>
        <w:rPr>
          <w:sz w:val="22"/>
        </w:rPr>
      </w:pPr>
      <w:r w:rsidRPr="003A1E7D">
        <w:rPr>
          <w:sz w:val="22"/>
        </w:rPr>
        <w:t>Mean (SD) # of neighbors per channel: 6.2 (1.5)</w:t>
      </w:r>
    </w:p>
    <w:p w14:paraId="4EFBD940" w14:textId="77777777" w:rsidR="003A1E7D" w:rsidRPr="003A1E7D" w:rsidRDefault="003A1E7D" w:rsidP="003A1E7D">
      <w:pPr>
        <w:ind w:left="720"/>
        <w:rPr>
          <w:sz w:val="22"/>
        </w:rPr>
      </w:pPr>
      <w:r w:rsidRPr="003A1E7D">
        <w:rPr>
          <w:sz w:val="22"/>
        </w:rPr>
        <w:t>Median (semi-IQR) # of neighbors per channel: 6.0 (1.0)</w:t>
      </w:r>
    </w:p>
    <w:p w14:paraId="14B5E5C1" w14:textId="2ECA5D78" w:rsidR="003A1E7D" w:rsidRDefault="003A1E7D" w:rsidP="003A1E7D">
      <w:pPr>
        <w:ind w:left="720"/>
        <w:rPr>
          <w:sz w:val="22"/>
        </w:rPr>
      </w:pPr>
      <w:r w:rsidRPr="003A1E7D">
        <w:rPr>
          <w:sz w:val="22"/>
        </w:rPr>
        <w:t>Min/max # of neighbors per channel: 1 to 9</w:t>
      </w:r>
    </w:p>
    <w:p w14:paraId="24D95151" w14:textId="77777777" w:rsidR="003A1E7D" w:rsidRDefault="003A1E7D" w:rsidP="003A1E7D">
      <w:pPr>
        <w:ind w:left="720"/>
        <w:rPr>
          <w:sz w:val="22"/>
        </w:rPr>
      </w:pPr>
    </w:p>
    <w:p w14:paraId="4011439A" w14:textId="60E65773" w:rsidR="003A1E7D" w:rsidRDefault="003A1E7D" w:rsidP="003A1E7D">
      <w:pPr>
        <w:rPr>
          <w:sz w:val="22"/>
        </w:rPr>
      </w:pPr>
      <w:r>
        <w:rPr>
          <w:sz w:val="22"/>
        </w:rPr>
        <w:t xml:space="preserve">Song et al. (2015) (Don Tucker’s group), in </w:t>
      </w:r>
      <w:r>
        <w:rPr>
          <w:i/>
          <w:sz w:val="22"/>
        </w:rPr>
        <w:t xml:space="preserve">J </w:t>
      </w:r>
      <w:proofErr w:type="spellStart"/>
      <w:r>
        <w:rPr>
          <w:i/>
          <w:sz w:val="22"/>
        </w:rPr>
        <w:t>Neurosci</w:t>
      </w:r>
      <w:proofErr w:type="spellEnd"/>
      <w:r>
        <w:rPr>
          <w:i/>
          <w:sz w:val="22"/>
        </w:rPr>
        <w:t xml:space="preserve"> Methods</w:t>
      </w:r>
      <w:r>
        <w:rPr>
          <w:sz w:val="22"/>
        </w:rPr>
        <w:t xml:space="preserve">, indicate that the mean distance b/w channels with the 128 channel EGI cap is ~2.7 cm. To test how sensitive our results are to this variable, I re-ran the MDD vs. HC Q/MI contrast with </w:t>
      </w:r>
      <w:proofErr w:type="spellStart"/>
      <w:r>
        <w:rPr>
          <w:sz w:val="22"/>
        </w:rPr>
        <w:t>dbwc</w:t>
      </w:r>
      <w:proofErr w:type="spellEnd"/>
      <w:r>
        <w:rPr>
          <w:sz w:val="22"/>
        </w:rPr>
        <w:t xml:space="preserve"> = 2 and got no significant results (sensible b/c that is lower than the mean distance and </w:t>
      </w:r>
      <w:proofErr w:type="spellStart"/>
      <w:r>
        <w:rPr>
          <w:sz w:val="22"/>
        </w:rPr>
        <w:t>spatial_neighbors</w:t>
      </w:r>
      <w:proofErr w:type="spellEnd"/>
      <w:r>
        <w:rPr>
          <w:sz w:val="22"/>
        </w:rPr>
        <w:t xml:space="preserve"> indicates a min/max # of neighbors from 0-3), and with </w:t>
      </w:r>
      <w:proofErr w:type="spellStart"/>
      <w:r>
        <w:rPr>
          <w:sz w:val="22"/>
        </w:rPr>
        <w:t>dbwc</w:t>
      </w:r>
      <w:proofErr w:type="spellEnd"/>
      <w:r>
        <w:rPr>
          <w:sz w:val="22"/>
        </w:rPr>
        <w:t xml:space="preserve"> = 3, which gave me no significant results from 400-800 but a significant cluster from 800-1400 </w:t>
      </w:r>
      <w:proofErr w:type="spellStart"/>
      <w:r>
        <w:rPr>
          <w:sz w:val="22"/>
        </w:rPr>
        <w:t>ms.</w:t>
      </w:r>
      <w:proofErr w:type="spellEnd"/>
      <w:r>
        <w:rPr>
          <w:sz w:val="22"/>
        </w:rPr>
        <w:t xml:space="preserve"> Looking at the plots, the lack of significant effects from 400-800 </w:t>
      </w:r>
      <w:proofErr w:type="spellStart"/>
      <w:r>
        <w:rPr>
          <w:sz w:val="22"/>
        </w:rPr>
        <w:t>ms</w:t>
      </w:r>
      <w:proofErr w:type="spellEnd"/>
      <w:r>
        <w:rPr>
          <w:sz w:val="22"/>
        </w:rPr>
        <w:t xml:space="preserve"> is unfortunate because there is clearly a strong finding there, and follow-up tests on the waveforms in that time-window from electrodes identified by the </w:t>
      </w:r>
      <w:proofErr w:type="spellStart"/>
      <w:r>
        <w:rPr>
          <w:sz w:val="22"/>
        </w:rPr>
        <w:t>dbwc</w:t>
      </w:r>
      <w:proofErr w:type="spellEnd"/>
      <w:r>
        <w:rPr>
          <w:sz w:val="22"/>
        </w:rPr>
        <w:t xml:space="preserve"> = 4 analysis yield highly significant findings. Thus, it seems to me that </w:t>
      </w:r>
      <w:proofErr w:type="spellStart"/>
      <w:r>
        <w:rPr>
          <w:sz w:val="22"/>
        </w:rPr>
        <w:t>dbwc</w:t>
      </w:r>
      <w:proofErr w:type="spellEnd"/>
      <w:r>
        <w:rPr>
          <w:sz w:val="22"/>
        </w:rPr>
        <w:t xml:space="preserve"> = 4 is an appropriate setting for these data, keeping in mind that a mean </w:t>
      </w:r>
      <w:proofErr w:type="spellStart"/>
      <w:r>
        <w:rPr>
          <w:sz w:val="22"/>
        </w:rPr>
        <w:t>interelectrode</w:t>
      </w:r>
      <w:proofErr w:type="spellEnd"/>
      <w:r>
        <w:rPr>
          <w:sz w:val="22"/>
        </w:rPr>
        <w:t xml:space="preserve"> distance of 2.7 cm reflects data from areas where the spacing is much tighter than over the parietal scalp, where stretching is pronounced (e.g., over the occiput there is no stretching and the mean distance is notably smaller, which brings down the mean).</w:t>
      </w:r>
      <w:r w:rsidR="00FB5FA5">
        <w:rPr>
          <w:sz w:val="22"/>
        </w:rPr>
        <w:t xml:space="preserve"> (I’ve added a line to the text on this point.)</w:t>
      </w:r>
    </w:p>
    <w:p w14:paraId="781D6591" w14:textId="77777777" w:rsidR="00FB5FA5" w:rsidRDefault="00FB5FA5" w:rsidP="003A1E7D">
      <w:pPr>
        <w:rPr>
          <w:sz w:val="22"/>
        </w:rPr>
      </w:pPr>
    </w:p>
    <w:p w14:paraId="1ACE54BA" w14:textId="71DD805E" w:rsidR="00FB5FA5" w:rsidRDefault="00FB5FA5" w:rsidP="003A1E7D">
      <w:pPr>
        <w:rPr>
          <w:i/>
          <w:sz w:val="22"/>
        </w:rPr>
      </w:pPr>
      <w:r>
        <w:rPr>
          <w:sz w:val="22"/>
        </w:rPr>
        <w:t xml:space="preserve">Visual inspection of Figure 6 should also limit concern about this, for two reasons. First, you can see that the clusters of significance closely follow the topographies where electrode-level significance is high—that is, you don’t see clusters that have a few electrodes in regions of high significance that spread to areas of low significance simply because the electrodes are proximal to each other. Second, you can see how strict the clustering assumption is by looking at the left parietal effect from 800-1400 </w:t>
      </w:r>
      <w:proofErr w:type="spellStart"/>
      <w:r>
        <w:rPr>
          <w:sz w:val="22"/>
        </w:rPr>
        <w:t>ms</w:t>
      </w:r>
      <w:proofErr w:type="spellEnd"/>
      <w:r>
        <w:rPr>
          <w:sz w:val="22"/>
        </w:rPr>
        <w:t xml:space="preserve"> and again from 1400-2000 </w:t>
      </w:r>
      <w:proofErr w:type="spellStart"/>
      <w:r>
        <w:rPr>
          <w:sz w:val="22"/>
        </w:rPr>
        <w:t>ms</w:t>
      </w:r>
      <w:proofErr w:type="spellEnd"/>
      <w:r>
        <w:rPr>
          <w:sz w:val="22"/>
        </w:rPr>
        <w:t>; there is clearly strong activity there but it is very focal, and apparently not big enough to be considered robust. Thus, I think if one were to have a concern about this method it might be that it is overly conservative, not anti-conservative.</w:t>
      </w:r>
      <w:r w:rsidR="00DD73F2">
        <w:rPr>
          <w:sz w:val="22"/>
        </w:rPr>
        <w:t xml:space="preserve"> But in this case we feel it’s worthwhile because the method provides the critical attribute—namely, a principled way to look across the whole head (important because we don’t know where the between-group effects may be).</w:t>
      </w:r>
    </w:p>
    <w:p w14:paraId="1E1615EC" w14:textId="77777777" w:rsidR="0021409A" w:rsidRDefault="0021409A" w:rsidP="003A1E7D">
      <w:pPr>
        <w:rPr>
          <w:i/>
          <w:sz w:val="22"/>
        </w:rPr>
      </w:pPr>
    </w:p>
    <w:p w14:paraId="3FB7DAFE" w14:textId="5C711C90" w:rsidR="0088519E" w:rsidRDefault="00D6348C" w:rsidP="003A1E7D">
      <w:pPr>
        <w:rPr>
          <w:sz w:val="22"/>
        </w:rPr>
      </w:pPr>
      <w:r>
        <w:rPr>
          <w:sz w:val="22"/>
        </w:rPr>
        <w:t>3</w:t>
      </w:r>
      <w:r w:rsidR="0088519E">
        <w:rPr>
          <w:sz w:val="22"/>
        </w:rPr>
        <w:t>. I am</w:t>
      </w:r>
      <w:r w:rsidR="00EA67A4">
        <w:rPr>
          <w:sz w:val="22"/>
        </w:rPr>
        <w:t xml:space="preserve"> looking for any other paper where a deep encoding condition is associated with worse performance in a conceptual vs. perceptual retrieval test, as is the case for us with respect to </w:t>
      </w:r>
      <w:proofErr w:type="spellStart"/>
      <w:r w:rsidR="00EA67A4">
        <w:rPr>
          <w:sz w:val="22"/>
        </w:rPr>
        <w:t>animacy</w:t>
      </w:r>
      <w:proofErr w:type="spellEnd"/>
      <w:r w:rsidR="00EA67A4">
        <w:rPr>
          <w:sz w:val="22"/>
        </w:rPr>
        <w:t xml:space="preserve">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w:t>
      </w:r>
      <w:r w:rsidR="00EA67A4">
        <w:rPr>
          <w:sz w:val="22"/>
        </w:rPr>
        <w:lastRenderedPageBreak/>
        <w:t xml:space="preserve">at all about Side and the Side placement is totally arbitrary, so </w:t>
      </w:r>
      <w:r w:rsidR="000F18B2">
        <w:rPr>
          <w:sz w:val="22"/>
        </w:rPr>
        <w:t xml:space="preserve">you’d think you’d get Question &gt; Side. Since you do not, I think this result must reflect interference at retrieval . . . you encoding the words okay in the </w:t>
      </w:r>
      <w:proofErr w:type="spellStart"/>
      <w:r w:rsidR="000F18B2">
        <w:rPr>
          <w:sz w:val="22"/>
        </w:rPr>
        <w:t>animacy</w:t>
      </w:r>
      <w:proofErr w:type="spellEnd"/>
      <w:r w:rsidR="000F18B2">
        <w:rPr>
          <w:sz w:val="22"/>
        </w:rPr>
        <w:t xml:space="preserve">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w:t>
      </w:r>
      <w:proofErr w:type="spellStart"/>
      <w:r w:rsidR="000F0C15">
        <w:rPr>
          <w:sz w:val="22"/>
        </w:rPr>
        <w:t>Starns</w:t>
      </w:r>
      <w:proofErr w:type="spellEnd"/>
      <w:r w:rsidR="000F0C15">
        <w:rPr>
          <w:sz w:val="22"/>
        </w:rPr>
        <w:t xml:space="preserve">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 xml:space="preserve">Vogt and </w:t>
      </w:r>
      <w:proofErr w:type="spellStart"/>
      <w:r>
        <w:rPr>
          <w:sz w:val="22"/>
        </w:rPr>
        <w:t>Broder</w:t>
      </w:r>
      <w:proofErr w:type="spellEnd"/>
      <w:r>
        <w:rPr>
          <w:sz w:val="22"/>
        </w:rPr>
        <w:t xml:space="preserve"> (2007) provide a nice summary of </w:t>
      </w:r>
      <w:proofErr w:type="spellStart"/>
      <w:r>
        <w:rPr>
          <w:sz w:val="22"/>
        </w:rPr>
        <w:t>Starns</w:t>
      </w:r>
      <w:proofErr w:type="spellEnd"/>
      <w:r>
        <w:rPr>
          <w:sz w:val="22"/>
        </w:rPr>
        <w:t xml:space="preserve">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xml:space="preserve">. Thus, they go on to use more complex </w:t>
      </w:r>
      <w:proofErr w:type="gramStart"/>
      <w:r w:rsidR="00BE4681">
        <w:rPr>
          <w:sz w:val="22"/>
        </w:rPr>
        <w:t>procedures to address this issue, and the bottom line is</w:t>
      </w:r>
      <w:proofErr w:type="gramEnd"/>
      <w:r w:rsidR="00BE4681">
        <w:rPr>
          <w:sz w:val="22"/>
        </w:rPr>
        <w:t xml:space="preserve">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77777777" w:rsidR="00A63BC7" w:rsidRDefault="00356336" w:rsidP="003D4617">
      <w:pPr>
        <w:ind w:firstLine="360"/>
      </w:pPr>
      <w:r>
        <w:t>We were delighted to receive positive feedback from the reviewers, who wrote that “</w:t>
      </w:r>
      <w:proofErr w:type="spellStart"/>
      <w:r>
        <w:t>Barrick</w:t>
      </w:r>
      <w:proofErr w:type="spellEnd"/>
      <w:r>
        <w:t xml:space="preserve">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letter, we respond to reviewers in an order that reflects the scope of their critiques, rather than the number they were assigned in the review process.</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6F1B391F"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relatively simple, balanced design. Moreover, we regret the decision to combine the accuracy and confidence variables into a single measure</w:t>
      </w:r>
      <w:r w:rsidR="00773074">
        <w:t>, which was done to facilitate the MLM analysis</w:t>
      </w:r>
      <w:r w:rsidR="00554692">
        <w:t xml:space="preserve">—as the reviewer notes, this made it difficult to understand the outcome of the experiment. Thus, we have </w:t>
      </w:r>
      <w:r w:rsidR="00773074">
        <w:t>taken</w:t>
      </w:r>
      <w:r w:rsidR="00554692">
        <w:t xml:space="preserve"> the reviewer’s suggestion and now present separate results for accuracy and confidence,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0FDDE831"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w:t>
      </w:r>
      <w:proofErr w:type="spellStart"/>
      <w:r>
        <w:t>animacy</w:t>
      </w:r>
      <w:proofErr w:type="spellEnd"/>
      <w:r>
        <w:t xml:space="preserve"> task</w:t>
      </w:r>
      <w:r w:rsidR="00F84845">
        <w:t xml:space="preserve"> (right panels)</w:t>
      </w:r>
      <w:r>
        <w:t xml:space="preserve">. For words from the mobility task, depressed adults showed better accuracy under the Question versus the Side cue, but no such difference was seen in controls. By contrast, both groups showed poorer accuracy under the Question versus the Side cue for words from the </w:t>
      </w:r>
      <w:proofErr w:type="spellStart"/>
      <w:r>
        <w:t>animacy</w:t>
      </w:r>
      <w:proofErr w:type="spellEnd"/>
      <w:r>
        <w:t xml:space="preserve"> task. In our view this pattern clearly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 xml:space="preserve">t was seen for the </w:t>
      </w:r>
      <w:proofErr w:type="spellStart"/>
      <w:r w:rsidR="00C52CEC">
        <w:t>animacy</w:t>
      </w:r>
      <w:proofErr w:type="spellEnd"/>
      <w:r w:rsidR="00C52CEC">
        <w:t xml:space="preserve"> task</w:t>
      </w:r>
      <w:r w:rsidR="00F1748F">
        <w:t xml:space="preserve"> (see Figure 8, which shows that the “Question minus Side” ERP subtraction for words from the </w:t>
      </w:r>
      <w:proofErr w:type="spellStart"/>
      <w:r w:rsidR="00F1748F">
        <w:rPr>
          <w:b/>
        </w:rPr>
        <w:t>animacy</w:t>
      </w:r>
      <w:proofErr w:type="spellEnd"/>
      <w:r w:rsidR="00F1748F">
        <w:t xml:space="preserve"> task yield a broadly distributed negativity with a frontal focus)</w:t>
      </w:r>
      <w:r>
        <w:t xml:space="preserve">.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that the accuracy data showed.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7998DD50" w:rsidR="008E4837" w:rsidRDefault="008E4837" w:rsidP="00B61D77">
      <w:r>
        <w:t xml:space="preserve">2. </w:t>
      </w:r>
      <w:r>
        <w:rPr>
          <w:i/>
        </w:rPr>
        <w:t xml:space="preserve">“It would be easier to understand the accuracy differences if for each of the source tasks (location or semantic) the authors calculated a discrimination and bias score for the each subject using signal detection or similar approaches . . . although it may be the case that isolating this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5F15B786" w:rsidR="008E4837" w:rsidRPr="00D277D0" w:rsidRDefault="003906F8" w:rsidP="00B61D77">
      <w:r>
        <w:t>The review has put his or her finger on the major limitation of the design used in this experiment—namely, the lack of new items.</w:t>
      </w:r>
      <w:r w:rsidR="00A40B8B">
        <w:t xml:space="preserve"> The accuracy data shown in Figure 4A </w:t>
      </w:r>
      <w:r w:rsidR="00F853F0">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tease apart these possibilities—and indeed, other experiments that have used similar methods simply report hit rates, as we now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always collapsed across the 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Specifically, source accuracy was characterized by a </w:t>
      </w:r>
      <w:r w:rsidR="00B8568C">
        <w:rPr>
          <w:i/>
        </w:rPr>
        <w:t xml:space="preserve">Cue </w:t>
      </w:r>
      <w:r w:rsidR="00B8568C">
        <w:t xml:space="preserve">x </w:t>
      </w:r>
      <w:r w:rsidR="00B8568C">
        <w:rPr>
          <w:i/>
        </w:rPr>
        <w:t>Task</w:t>
      </w:r>
      <w:r w:rsidR="00B8568C">
        <w:t xml:space="preserve"> interaction, </w:t>
      </w:r>
      <w:proofErr w:type="gramStart"/>
      <w:r w:rsidR="00B8568C">
        <w:rPr>
          <w:i/>
        </w:rPr>
        <w:t>F</w:t>
      </w:r>
      <w:r w:rsidR="00B8568C">
        <w:t>(</w:t>
      </w:r>
      <w:proofErr w:type="gramEnd"/>
      <w:r w:rsidR="00B8568C">
        <w:t xml:space="preserve">1,46) = 22.35, </w:t>
      </w:r>
      <w:r w:rsidR="00B8568C">
        <w:rPr>
          <w:i/>
        </w:rPr>
        <w:t>p</w:t>
      </w:r>
      <w:r w:rsidR="00B8568C">
        <w:t xml:space="preserve"> &lt; 0.001, because </w:t>
      </w:r>
      <w:r w:rsidR="00F853F0">
        <w:t xml:space="preserve">Question accuracy was </w:t>
      </w:r>
      <w:r w:rsidR="00204BAC">
        <w:t xml:space="preserve">much </w:t>
      </w:r>
      <w:r w:rsidR="00F853F0">
        <w:t xml:space="preserve">higher for words from the mobility task vs. words from the </w:t>
      </w:r>
      <w:proofErr w:type="spellStart"/>
      <w:r w:rsidR="00F853F0">
        <w:t>animacy</w:t>
      </w:r>
      <w:proofErr w:type="spellEnd"/>
      <w:r w:rsidR="00F853F0">
        <w:t xml:space="preserve"> task, </w:t>
      </w:r>
      <w:r w:rsidR="00F853F0">
        <w:rPr>
          <w:i/>
        </w:rPr>
        <w:t>t</w:t>
      </w:r>
      <w:r w:rsidR="00F853F0">
        <w:t>(</w:t>
      </w:r>
      <w:r w:rsidR="00204BAC">
        <w:t>47</w:t>
      </w:r>
      <w:r w:rsidR="00F853F0">
        <w:t xml:space="preserve">) = </w:t>
      </w:r>
      <w:r w:rsidR="00204BAC">
        <w:t xml:space="preserve">5.65, </w:t>
      </w:r>
      <w:r w:rsidR="00204BAC">
        <w:rPr>
          <w:i/>
        </w:rPr>
        <w:t>p</w:t>
      </w:r>
      <w:r w:rsidR="00204BAC">
        <w:t xml:space="preserve"> &lt; 0.001</w:t>
      </w:r>
      <w:r w:rsidR="00B8568C">
        <w:t xml:space="preserve">, but </w:t>
      </w:r>
      <w:r w:rsidR="00F853F0">
        <w:t xml:space="preserve">Side accuracy </w:t>
      </w:r>
      <w:r w:rsidR="00726135">
        <w:t>was only marginally better</w:t>
      </w:r>
      <w:r w:rsidR="00204BAC">
        <w:t xml:space="preserve"> </w:t>
      </w:r>
      <w:r w:rsidR="00F853F0">
        <w:t xml:space="preserve">for words from the mobility vs. </w:t>
      </w:r>
      <w:proofErr w:type="spellStart"/>
      <w:r w:rsidR="00F853F0">
        <w:t>animacy</w:t>
      </w:r>
      <w:proofErr w:type="spellEnd"/>
      <w:r w:rsidR="00F853F0">
        <w:t xml:space="preserve"> tasks, </w:t>
      </w:r>
      <w:r w:rsidR="00F853F0">
        <w:rPr>
          <w:i/>
        </w:rPr>
        <w:t>t</w:t>
      </w:r>
      <w:r w:rsidR="00F853F0">
        <w:t>(4</w:t>
      </w:r>
      <w:r w:rsidR="00204BAC">
        <w:t>7</w:t>
      </w:r>
      <w:r w:rsidR="00F853F0">
        <w:t xml:space="preserve">) = </w:t>
      </w:r>
      <w:r w:rsidR="00204BAC">
        <w:t xml:space="preserve">1.95, </w:t>
      </w:r>
      <w:r w:rsidR="00204BAC">
        <w:rPr>
          <w:i/>
        </w:rPr>
        <w:t>p</w:t>
      </w:r>
      <w:r w:rsidR="00204BAC">
        <w:t xml:space="preserve"> = 0.057</w:t>
      </w:r>
      <w:r w:rsidR="00E13D57">
        <w:t xml:space="preserve">. 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 of the study</w:t>
      </w:r>
      <w:r w:rsidR="00D277D0">
        <w:t>.</w:t>
      </w:r>
      <w:r w:rsidR="00F853F0">
        <w:t xml:space="preserve"> </w:t>
      </w:r>
      <w:r w:rsidR="00D532D5">
        <w:t>N</w:t>
      </w:r>
      <w:r w:rsidR="005C4378">
        <w:t>one</w:t>
      </w:r>
      <w:r w:rsidR="00D532D5">
        <w:t>theless, in a follow-up study that we are currently launching, we are including new items to directly address this limitation.</w:t>
      </w:r>
    </w:p>
    <w:p w14:paraId="6C574299" w14:textId="77777777" w:rsidR="00B61D77" w:rsidRDefault="00B61D77" w:rsidP="00B61D77"/>
    <w:p w14:paraId="6AA2D6A0" w14:textId="69B81EB4" w:rsidR="00B61D77" w:rsidRDefault="004F590E" w:rsidP="00B61D77">
      <w:pPr>
        <w:rPr>
          <w:i/>
        </w:rPr>
      </w:pPr>
      <w:r>
        <w:t xml:space="preserve">3. </w:t>
      </w:r>
      <w:r>
        <w:rPr>
          <w:i/>
        </w:rPr>
        <w:t xml:space="preserve">“The MDD subjects appeared to be generally less confident than the controls during the source tasks but the authors didn’t appear to consider confidence during the parity judgments . . . This would be useful to know since it would either suggest a </w:t>
      </w:r>
      <w:proofErr w:type="spellStart"/>
      <w:r>
        <w:rPr>
          <w:i/>
        </w:rPr>
        <w:t>tonically</w:t>
      </w:r>
      <w:proofErr w:type="spellEnd"/>
      <w:r>
        <w:rPr>
          <w:i/>
        </w:rPr>
        <w:t xml:space="preserve"> low confidence across cognitive domains or a lowered confidence specifically during memory judgment. Regardless, I believe the authors describe or imply that this confidence constitutes </w:t>
      </w:r>
      <w:proofErr w:type="gramStart"/>
      <w:r>
        <w:rPr>
          <w:i/>
        </w:rPr>
        <w:t>a memory</w:t>
      </w:r>
      <w:proofErr w:type="gramEnd"/>
      <w:r>
        <w:rPr>
          <w:i/>
        </w:rPr>
        <w:t xml:space="preserve">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10607C98"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xml:space="preserve">). Confidence on these trials was uniformly high and not remotely different between the groups, thus there is no evidence for </w:t>
      </w:r>
      <w:proofErr w:type="spellStart"/>
      <w:r>
        <w:t>tonically</w:t>
      </w:r>
      <w:proofErr w:type="spellEnd"/>
      <w:r>
        <w:t xml:space="preserve">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confident than the control group in response to the Side cue but not the Question cue, and this was not specific to either encoding task</w:t>
      </w:r>
      <w:r w:rsidR="004A3518">
        <w:t xml:space="preserve">. </w:t>
      </w:r>
      <w:r w:rsidR="00523B1B">
        <w:t xml:space="preserve">Critically, this result </w:t>
      </w:r>
      <w:r w:rsidR="008D55C9">
        <w:t>does</w:t>
      </w:r>
      <w:r w:rsidR="00523B1B">
        <w:t xml:space="preserve"> not</w:t>
      </w:r>
      <w:r w:rsidR="008D55C9">
        <w:t xml:space="preserve"> mirror</w:t>
      </w:r>
      <w:r w:rsidR="00523B1B">
        <w:t xml:space="preserve"> the accuracy data</w:t>
      </w:r>
      <w:r w:rsidR="00265899">
        <w:t xml:space="preserve">: </w:t>
      </w:r>
      <w:r w:rsidR="00523B1B">
        <w:t xml:space="preserve">the depressed </w:t>
      </w:r>
      <w:r w:rsidR="008D55C9">
        <w:t>adults</w:t>
      </w:r>
      <w:r w:rsidR="00523B1B">
        <w:t xml:space="preserve"> </w:t>
      </w:r>
      <w:r w:rsidR="008D55C9">
        <w:t>were not</w:t>
      </w:r>
      <w:r w:rsidR="00523B1B">
        <w:t xml:space="preserve"> significantly less accurate than the control</w:t>
      </w:r>
      <w:r w:rsidR="008D55C9">
        <w:t>s</w:t>
      </w:r>
      <w:r w:rsidR="00523B1B">
        <w:t xml:space="preserve"> w</w:t>
      </w:r>
      <w:r w:rsidR="008D55C9">
        <w:t>hen responding to the Side cue (</w:t>
      </w:r>
      <w:r w:rsidR="00523B1B">
        <w:t xml:space="preserve">or the Question cue), and thus the reviewer’s point about lower confidence not tracking lower accuracy is well-taken.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21D81A36"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to complete entails deeper processing. Thus, while we do not wish to imply that RT c</w:t>
      </w:r>
      <w:r w:rsidR="004D1109">
        <w:t>an</w:t>
      </w:r>
      <w:r w:rsidR="00F1212B">
        <w:t xml:space="preserve"> be used to sort deep from shallow tasks, as these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for this </w:t>
      </w:r>
      <w:r w:rsidR="00396AEC">
        <w:t>argument</w:t>
      </w:r>
      <w:r w:rsidR="004A1446">
        <w:t xml:space="preserve">, we note that </w:t>
      </w:r>
      <w:r w:rsidR="00396AEC">
        <w:t xml:space="preserve">when </w:t>
      </w:r>
      <w:r w:rsidR="004A1446">
        <w:t xml:space="preserve">Dobbins &amp; Wagner (2005) found </w:t>
      </w:r>
      <w:r w:rsidR="00402F4F">
        <w:t xml:space="preserve">slower encoding RTs for pleasant/unpleasant judgments than for </w:t>
      </w:r>
      <w:proofErr w:type="spellStart"/>
      <w:r w:rsidR="00402F4F">
        <w:t>animacy</w:t>
      </w:r>
      <w:proofErr w:type="spellEnd"/>
      <w:r w:rsidR="00402F4F">
        <w:t xml:space="preserve"> judgments, </w:t>
      </w:r>
      <w:r w:rsidR="00396AEC">
        <w:t xml:space="preserve">they </w:t>
      </w:r>
      <w:proofErr w:type="gramStart"/>
      <w:r w:rsidR="00396AEC">
        <w:t>suggested</w:t>
      </w:r>
      <w:proofErr w:type="gramEnd"/>
      <w:r w:rsidR="00396AEC">
        <w:t xml:space="preserve">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w:t>
      </w:r>
      <w:proofErr w:type="spellStart"/>
      <w:r w:rsidR="004D1109">
        <w:t>animacy</w:t>
      </w:r>
      <w:proofErr w:type="spellEnd"/>
      <w:r w:rsidR="004D1109">
        <w:t xml:space="preserve"> judgments in our data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 xml:space="preserve">The authors </w:t>
      </w:r>
      <w:proofErr w:type="gramStart"/>
      <w:r w:rsidR="005946CA">
        <w:rPr>
          <w:i/>
        </w:rPr>
        <w:t>indicate that</w:t>
      </w:r>
      <w:proofErr w:type="gramEnd"/>
      <w:r w:rsidR="005946CA">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77777777"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w:t>
      </w:r>
      <w:proofErr w:type="spellStart"/>
      <w:r w:rsidR="009115B3">
        <w:t>univariate</w:t>
      </w:r>
      <w:proofErr w:type="spellEnd"/>
      <w:r w:rsidR="009115B3">
        <w:t xml:space="preserv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 xml:space="preserve">“Question minus Odd/Even” and “Side minus Odd/Even”, this group difference was not detectable in the mass </w:t>
      </w:r>
      <w:proofErr w:type="spellStart"/>
      <w:r w:rsidR="00A43468">
        <w:t>univariate</w:t>
      </w:r>
      <w:proofErr w:type="spellEnd"/>
      <w:r w:rsidR="00A43468">
        <w:t xml:space="preserve"> analysis</w:t>
      </w:r>
      <w:r w:rsidR="006E5420">
        <w:t xml:space="preserve"> (i.e., the left parietal amplitude </w:t>
      </w:r>
      <w:r w:rsidR="005C4378">
        <w:t>was</w:t>
      </w:r>
      <w:r w:rsidR="006E5420">
        <w:t xml:space="preserve"> shifted down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w:t>
      </w:r>
      <w:proofErr w:type="spellStart"/>
      <w:r w:rsidR="00D8034F">
        <w:t>univariate</w:t>
      </w:r>
      <w:proofErr w:type="spellEnd"/>
      <w:r w:rsidR="00D8034F">
        <w:t xml:space="preserve"> analysis is </w:t>
      </w:r>
      <w:r w:rsidR="006E5420">
        <w:t>preferable</w:t>
      </w:r>
      <w:r w:rsidR="00D8034F">
        <w:t xml:space="preserve"> for its sensitivity, we </w:t>
      </w:r>
      <w:r w:rsidR="00C10F43">
        <w:t xml:space="preserve">have </w:t>
      </w:r>
      <w:r w:rsidR="00D8034F">
        <w:t xml:space="preserve">removed the classic analysis and </w:t>
      </w:r>
      <w:r w:rsidR="006E5420">
        <w:t xml:space="preserve">now </w:t>
      </w:r>
      <w:r w:rsidR="00D8034F">
        <w:t xml:space="preserve">only present the mass </w:t>
      </w:r>
      <w:proofErr w:type="spellStart"/>
      <w:r w:rsidR="00D8034F">
        <w:t>univariate</w:t>
      </w:r>
      <w:proofErr w:type="spellEnd"/>
      <w:r w:rsidR="00D8034F">
        <w:t xml:space="preserve"> approach.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w:t>
      </w:r>
      <w:proofErr w:type="spellStart"/>
      <w:r w:rsidR="006C402A">
        <w:t>ms</w:t>
      </w:r>
      <w:proofErr w:type="spellEnd"/>
      <w:r w:rsidR="006C402A">
        <w:t xml:space="preserve"> and 800-1400 </w:t>
      </w:r>
      <w:proofErr w:type="spellStart"/>
      <w:r w:rsidR="006C402A">
        <w:t>ms</w:t>
      </w:r>
      <w:proofErr w:type="spellEnd"/>
      <w:r w:rsidR="006C402A">
        <w:t xml:space="preserve"> time windows, </w:t>
      </w:r>
      <w:r w:rsidR="009C7AC4">
        <w:t xml:space="preserve">on the one hand, and Question minus Side source accuracy and confidence difference scores on the other. These relationships were modest—the strongest was between accuracy and ERP amplitude between 800-1400 </w:t>
      </w:r>
      <w:proofErr w:type="spellStart"/>
      <w:r w:rsidR="009C7AC4">
        <w:t>ms</w:t>
      </w:r>
      <w:proofErr w:type="spellEnd"/>
      <w:r w:rsidR="009C7AC4">
        <w:t xml:space="preserve">,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 xml:space="preserve">In the secondary ERP analysis, the authors compute Question minus Side difference scores separately for words from the mobility and </w:t>
      </w:r>
      <w:proofErr w:type="spellStart"/>
      <w:r>
        <w:rPr>
          <w:rFonts w:cs="Times New Roman"/>
          <w:i/>
        </w:rPr>
        <w:t>animacy</w:t>
      </w:r>
      <w:proofErr w:type="spellEnd"/>
      <w:r>
        <w:rPr>
          <w:rFonts w:cs="Times New Roman"/>
          <w:i/>
        </w:rPr>
        <w:t xml:space="preserve">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 xml:space="preserve">from 400-800 </w:t>
      </w:r>
      <w:proofErr w:type="spellStart"/>
      <w:r>
        <w:rPr>
          <w:rFonts w:cs="Times New Roman"/>
        </w:rPr>
        <w:t>ms</w:t>
      </w:r>
      <w:proofErr w:type="spellEnd"/>
      <w:r>
        <w:rPr>
          <w:rFonts w:cs="Times New Roman"/>
        </w:rPr>
        <w:t xml:space="preserve"> and 800-1400 </w:t>
      </w:r>
      <w:proofErr w:type="spellStart"/>
      <w:r>
        <w:rPr>
          <w:rFonts w:cs="Times New Roman"/>
        </w:rPr>
        <w:t>ms</w:t>
      </w:r>
      <w:proofErr w:type="spellEnd"/>
      <w:r>
        <w:rPr>
          <w:rFonts w:cs="Times New Roman"/>
        </w:rPr>
        <w:t>, as shown in Figure 9.</w:t>
      </w:r>
      <w:r w:rsidR="00E70447">
        <w:rPr>
          <w:rFonts w:cs="Times New Roman"/>
        </w:rPr>
        <w:t xml:space="preserve"> Similarly, both groups showed worse accuracy under the Question versus Side cue for words from the </w:t>
      </w:r>
      <w:proofErr w:type="spellStart"/>
      <w:r w:rsidR="00E70447">
        <w:rPr>
          <w:rFonts w:cs="Times New Roman"/>
        </w:rPr>
        <w:t>animacy</w:t>
      </w:r>
      <w:proofErr w:type="spellEnd"/>
      <w:r w:rsidR="00E70447">
        <w:rPr>
          <w:rFonts w:cs="Times New Roman"/>
        </w:rPr>
        <w:t xml:space="preserve">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558825F2"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prior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2E36EE">
        <w:rPr>
          <w:rFonts w:cs="Times New Roman"/>
        </w:rPr>
        <w:t>As we noted earlier</w:t>
      </w:r>
      <w:r w:rsidR="00597B01">
        <w:rPr>
          <w:rFonts w:cs="Times New Roman"/>
        </w:rPr>
        <w:t xml:space="preserve">, </w:t>
      </w:r>
      <w:r w:rsidR="002E36EE">
        <w:rPr>
          <w:rFonts w:cs="Times New Roman"/>
        </w:rPr>
        <w:t xml:space="preserve">we are currently </w:t>
      </w:r>
      <w:r w:rsidR="00597B01">
        <w:rPr>
          <w:rFonts w:cs="Times New Roman"/>
        </w:rPr>
        <w:t>f</w:t>
      </w:r>
      <w:r w:rsidR="002E36EE">
        <w:rPr>
          <w:rFonts w:cs="Times New Roman"/>
        </w:rPr>
        <w:t xml:space="preserve">ollowing up on this effort with a new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65048782"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w:t>
      </w:r>
      <w:proofErr w:type="spellStart"/>
      <w:r w:rsidR="008862CA">
        <w:rPr>
          <w:rFonts w:cs="Times New Roman"/>
        </w:rPr>
        <w:t>animacy</w:t>
      </w:r>
      <w:proofErr w:type="spellEnd"/>
      <w:r w:rsidR="008862CA">
        <w:rPr>
          <w:rFonts w:cs="Times New Roman"/>
        </w:rPr>
        <w:t xml:space="preserve">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igure, when we considered each cell of the design on its own, we only found a significant cue effect in 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w:t>
      </w:r>
      <w:proofErr w:type="spellStart"/>
      <w:r w:rsidR="003C5D1D">
        <w:rPr>
          <w:rFonts w:cs="Times New Roman"/>
        </w:rPr>
        <w:t>animacy</w:t>
      </w:r>
      <w:proofErr w:type="spellEnd"/>
      <w:r w:rsidR="003C5D1D">
        <w:rPr>
          <w:rFonts w:cs="Times New Roman"/>
        </w:rPr>
        <w:t xml:space="preserve">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proofErr w:type="spellStart"/>
      <w:r w:rsidR="00E42301">
        <w:rPr>
          <w:i/>
        </w:rPr>
        <w:t>p</w:t>
      </w:r>
      <w:r w:rsidR="00E42301">
        <w:t>s</w:t>
      </w:r>
      <w:proofErr w:type="spellEnd"/>
      <w:r w:rsidR="00E42301">
        <w:t xml:space="preserve"> &gt; 0.08) or a </w:t>
      </w:r>
      <w:r w:rsidR="00E42301">
        <w:rPr>
          <w:i/>
        </w:rPr>
        <w:t xml:space="preserve">Group </w:t>
      </w:r>
      <w:r w:rsidR="00E42301">
        <w:t xml:space="preserve">x </w:t>
      </w:r>
      <w:r w:rsidR="00E42301">
        <w:rPr>
          <w:i/>
        </w:rPr>
        <w:t>Switch</w:t>
      </w:r>
      <w:r w:rsidR="00E42301">
        <w:t xml:space="preserve"> interaction (all </w:t>
      </w:r>
      <w:proofErr w:type="spellStart"/>
      <w:r w:rsidR="00E42301">
        <w:rPr>
          <w:i/>
        </w:rPr>
        <w:t>p</w:t>
      </w:r>
      <w:r w:rsidR="00E42301">
        <w:t>s</w:t>
      </w:r>
      <w:proofErr w:type="spellEnd"/>
      <w:r w:rsidR="00E42301">
        <w:t xml:space="preserve">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5948231A" w:rsidR="00B47D46" w:rsidRDefault="00B47D46" w:rsidP="00B61D77">
      <w:r>
        <w:t>We truly appreciate the reviewer’s thoughtful comment and the obvious effort that went into his or her review. Upon further reflection, we have come to agree with this final and critically important point—in the original manuscript, we overemphasized negative effects of depression on recollection despite rather limited evidence for such effects. We have tried to rectify this in the manuscript.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in the study, and if anything they highlight better performance in the MDD group relative to the controls. Encouragingly, although this pattern is not what we expected, it is consistent with a substantial body of behavioral work produced by Paula </w:t>
      </w:r>
      <w:proofErr w:type="spellStart"/>
      <w:r w:rsidR="00317ECC">
        <w:t>Hertel</w:t>
      </w:r>
      <w:proofErr w:type="spellEnd"/>
      <w:r w:rsidR="00317ECC">
        <w:t xml:space="preserve"> and her colleagues. Thus, we interpret our results in light of those data, and suggest that our ERP results provide insight into the relevant neural mechanisms. Finally, given the mission of </w:t>
      </w:r>
      <w:proofErr w:type="spellStart"/>
      <w:r w:rsidR="00317ECC">
        <w:rPr>
          <w:i/>
        </w:rPr>
        <w:t>Neuropsychologia</w:t>
      </w:r>
      <w:proofErr w:type="spellEnd"/>
      <w:r w:rsidR="00317ECC">
        <w:t xml:space="preserve">, we spend much more time discussing the striking differences in cue effects on accuracy across the two different encoding tasks, as the </w:t>
      </w:r>
      <w:r w:rsidR="00317ECC">
        <w:rPr>
          <w:i/>
        </w:rPr>
        <w:t xml:space="preserve">Cue </w:t>
      </w:r>
      <w:r w:rsidR="00317ECC">
        <w:t xml:space="preserve">x </w:t>
      </w:r>
      <w:r w:rsidR="00317ECC">
        <w:rPr>
          <w:i/>
        </w:rPr>
        <w:t xml:space="preserve">Task </w:t>
      </w:r>
      <w:r w:rsidR="00317ECC">
        <w:t>interaction was strong (</w:t>
      </w:r>
      <w:proofErr w:type="gramStart"/>
      <w:r w:rsidR="00317ECC">
        <w:rPr>
          <w:i/>
        </w:rPr>
        <w:t>F</w:t>
      </w:r>
      <w:r w:rsidR="00317ECC">
        <w:t>(</w:t>
      </w:r>
      <w:proofErr w:type="gramEnd"/>
      <w:r w:rsidR="00317ECC">
        <w:t xml:space="preserve">1,46) = 22.35, </w:t>
      </w:r>
      <w:r w:rsidR="00317ECC">
        <w:rPr>
          <w:i/>
        </w:rPr>
        <w:t>p</w:t>
      </w:r>
      <w:r w:rsidR="00317ECC">
        <w:t xml:space="preserve"> &lt; 0.001) and has interesting implications for memory retrieval in healthy as well as depressed adults. We thank the reviewer again for his/her contribution, and hope that the substantially revised manuscript will be judged worthy of publication in </w:t>
      </w:r>
      <w:proofErr w:type="spellStart"/>
      <w:r w:rsidR="00317ECC">
        <w:rPr>
          <w:i/>
        </w:rPr>
        <w:t>Neuropsychologia</w:t>
      </w:r>
      <w:proofErr w:type="spellEnd"/>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72B83729" w:rsidR="007F2D26" w:rsidRDefault="007F2D26" w:rsidP="00B61D77">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xml:space="preserve">)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6010B76A" w:rsidR="007F2D26" w:rsidRDefault="007F2D26" w:rsidP="00B61D77">
      <w:r>
        <w:t>The reviewer is completely correct: by using neutral stimuli, we cannot speak to the emotional memory bias in depression (i.e., enhanced memory for negative stimuli, impaired memory for positive stimuli). This was a conscious trade-off on</w:t>
      </w:r>
      <w:r w:rsidR="00076123">
        <w:t xml:space="preserve"> our part. We are very aware of the emotional memory bias </w:t>
      </w:r>
      <w:r w:rsidR="002E6480">
        <w:t xml:space="preserve">in depression </w:t>
      </w:r>
      <w:r w:rsidR="00076123">
        <w:t xml:space="preserve">and have conducted empirical work </w:t>
      </w:r>
      <w:r w:rsidR="008921C6">
        <w:t xml:space="preserve">on it </w:t>
      </w:r>
      <w:r w:rsidR="00076123">
        <w:t xml:space="preserve">(e.g.,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w:t>
      </w:r>
      <w:proofErr w:type="spellStart"/>
      <w:r w:rsidR="008921C6">
        <w:t>hypofrontality</w:t>
      </w:r>
      <w:proofErr w:type="spellEnd"/>
      <w:r w:rsidR="008921C6">
        <w:t xml:space="preserve">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w:t>
      </w:r>
      <w:r w:rsidR="007A2302">
        <w:t xml:space="preserve">be able to </w:t>
      </w:r>
      <w:r w:rsidR="008921C6">
        <w:t xml:space="preserve">detect a depression-related memory deficit for neutral material provided the retrieval test used was sufficiently difficult (as successful performance would depend on frontal circuits that might not be adequately active in depression). As the reviewer knows, we were only partially successful: we found the expected group difference (controls &gt; MDD) in confidence for responses to the Side cue, but the robust group difference in accuracy that we expected did not materialize. In the revised manuscript we devote more space to speculating about the lack of stronger group differences in memory accuracy (see page </w:t>
      </w:r>
      <w:r w:rsidR="008921C6" w:rsidRPr="008921C6">
        <w:rPr>
          <w:highlight w:val="yellow"/>
        </w:rPr>
        <w:t>X</w:t>
      </w:r>
      <w:r w:rsidR="008921C6">
        <w:t xml:space="preserve">). Importantly, and speaking directly to the reviewer’s point, </w:t>
      </w:r>
      <w:r w:rsidR="009162E6">
        <w:t>in that place</w:t>
      </w:r>
      <w:r w:rsidR="002E6480">
        <w:t xml:space="preserve"> </w:t>
      </w:r>
      <w:r w:rsidR="009162E6">
        <w:t xml:space="preserve">we specifically </w:t>
      </w:r>
      <w:r w:rsidR="002E6480">
        <w:t xml:space="preserve">suggest that future functional imaging studies of retrieval use emotional stimuli </w:t>
      </w:r>
      <w:r w:rsidR="009162E6">
        <w:t xml:space="preserve">in order </w:t>
      </w:r>
      <w:r w:rsidR="002E6480">
        <w:t xml:space="preserve">to </w:t>
      </w:r>
      <w:r w:rsidR="009162E6">
        <w:t xml:space="preserve">see </w:t>
      </w:r>
      <w:r w:rsidR="002E6480">
        <w:t xml:space="preserve">the expected memory deficit in </w:t>
      </w:r>
      <w:r w:rsidR="009162E6">
        <w:t>MDD</w:t>
      </w:r>
      <w:r w:rsidR="002E6480">
        <w:t>.</w:t>
      </w:r>
      <w:r w:rsidR="007A2302">
        <w:t xml:space="preserve"> In fact, such studies are already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679A6CD0"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who were in the midst of a Major Depressive Episode and who had</w:t>
      </w:r>
      <w:r>
        <w:t xml:space="preserve"> a BDI</w:t>
      </w:r>
      <w:r w:rsidR="00DA65EB">
        <w:t>-II</w:t>
      </w:r>
      <w:r>
        <w:t xml:space="preserve"> score of at least 14 (the published c</w:t>
      </w:r>
      <w:r w:rsidR="003959CC">
        <w:t>ut-off for minimal depression). On the day of the experiment, e</w:t>
      </w:r>
      <w:r w:rsidR="00D74EB9">
        <w:t>very participant was evaluated using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 xml:space="preserve">our participants were, on average, moderately depressed (BDI-II, </w:t>
      </w:r>
      <w:proofErr w:type="spellStart"/>
      <w:r w:rsidR="00D74EB9">
        <w:t>mean</w:t>
      </w:r>
      <w:r w:rsidR="00D74EB9" w:rsidRPr="00BB0664">
        <w:rPr>
          <w:rFonts w:ascii="ＭＳ ゴシック" w:eastAsia="ＭＳ ゴシック"/>
          <w:color w:val="000000"/>
        </w:rPr>
        <w:t>±</w:t>
      </w:r>
      <w:r w:rsidR="00D74EB9">
        <w:rPr>
          <w:rFonts w:eastAsia="ＭＳ ゴシック" w:cs="Times New Roman"/>
          <w:color w:val="000000"/>
        </w:rPr>
        <w:t>S.D</w:t>
      </w:r>
      <w:proofErr w:type="spellEnd"/>
      <w:r w:rsidR="00D74EB9">
        <w:rPr>
          <w:rFonts w:eastAsia="ＭＳ ゴシック" w:cs="Times New Roman"/>
          <w:color w:val="000000"/>
        </w:rPr>
        <w:t>.</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28382F">
        <w:rPr>
          <w:rFonts w:eastAsia="ＭＳ ゴシック" w:cs="Times New Roman"/>
          <w:color w:val="000000"/>
        </w:rPr>
        <w:t>Importantly, participants in the MDD group were unmedicated. Although studies of unmedicated samples are somewhat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 Rather, we find adults who have chosen not to use medication for one reason or another (e.g., because they prefer to rely on psychotherapy). Although recruiting a sizable unmedicated MDD sample can take a significant amount of time, we believe it is worth</w:t>
      </w:r>
      <w:r w:rsidR="000E0D68">
        <w:rPr>
          <w:rFonts w:eastAsia="ＭＳ ゴシック" w:cs="Times New Roman"/>
          <w:color w:val="000000"/>
        </w:rPr>
        <w:t>while</w:t>
      </w:r>
      <w:r w:rsidR="0028382F">
        <w:rPr>
          <w:rFonts w:eastAsia="ＭＳ ゴシック" w:cs="Times New Roman"/>
          <w:color w:val="000000"/>
        </w:rPr>
        <w:t xml:space="preserve"> because otherwise medication use would confound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739E9DE3"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paying close attention to these points about EEG data quality.</w:t>
      </w:r>
      <w:r w:rsidR="00711B47">
        <w:rPr>
          <w:rFonts w:eastAsia="ＭＳ ゴシック" w:cs="Times New Roman"/>
          <w:color w:val="000000"/>
        </w:rPr>
        <w:t xml:space="preserve"> </w:t>
      </w:r>
      <w:r>
        <w:rPr>
          <w:rFonts w:eastAsia="ＭＳ ゴシック" w:cs="Times New Roman"/>
          <w:color w:val="000000"/>
        </w:rPr>
        <w:t>As the reviewer noted, there was a notable group difference in the number of datasets excluded</w:t>
      </w:r>
      <w:r w:rsidR="00480FDE">
        <w:rPr>
          <w:rFonts w:eastAsia="ＭＳ ゴシック" w:cs="Times New Roman"/>
          <w:color w:val="000000"/>
        </w:rPr>
        <w:t>;</w:t>
      </w:r>
      <w:r w:rsidR="00711B47">
        <w:rPr>
          <w:rFonts w:eastAsia="ＭＳ ゴシック" w:cs="Times New Roman"/>
          <w:color w:val="000000"/>
        </w:rPr>
        <w:t xml:space="preserve"> we were surprised that we ha</w:t>
      </w:r>
      <w:r w:rsidR="00AD4BC5">
        <w:rPr>
          <w:rFonts w:eastAsia="ＭＳ ゴシック" w:cs="Times New Roman"/>
          <w:color w:val="000000"/>
        </w:rPr>
        <w:t xml:space="preserve">d to exclude more data from </w:t>
      </w:r>
      <w:r>
        <w:rPr>
          <w:rFonts w:eastAsia="ＭＳ ゴシック" w:cs="Times New Roman"/>
          <w:color w:val="000000"/>
        </w:rPr>
        <w:t xml:space="preserve">controls than from </w:t>
      </w:r>
      <w:r w:rsidR="00711B47">
        <w:rPr>
          <w:rFonts w:eastAsia="ＭＳ ゴシック" w:cs="Times New Roman"/>
          <w:color w:val="000000"/>
        </w:rPr>
        <w:t xml:space="preserve">patients. </w:t>
      </w:r>
      <w:r w:rsidR="006F0F42">
        <w:rPr>
          <w:rFonts w:eastAsia="ＭＳ ゴシック" w:cs="Times New Roman"/>
          <w:color w:val="000000"/>
        </w:rPr>
        <w:t xml:space="preserve">Exclusions were based entirely on EEG data quality, and we have no </w:t>
      </w:r>
      <w:r w:rsidR="00AD4BC5">
        <w:rPr>
          <w:rFonts w:eastAsia="ＭＳ ゴシック" w:cs="Times New Roman"/>
          <w:color w:val="000000"/>
        </w:rPr>
        <w:t>read</w:t>
      </w:r>
      <w:r w:rsidR="006F0F42">
        <w:rPr>
          <w:rFonts w:eastAsia="ＭＳ ゴシック" w:cs="Times New Roman"/>
          <w:color w:val="000000"/>
        </w:rPr>
        <w:t xml:space="preserve">y explanation for the group difference—but it seemed to us that the 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648E7D64" w:rsidR="00711B47" w:rsidRDefault="006F0F42" w:rsidP="00B61D77">
      <w:pPr>
        <w:rPr>
          <w:sz w:val="22"/>
        </w:rPr>
      </w:pPr>
      <w:r>
        <w:rPr>
          <w:rFonts w:eastAsia="ＭＳ ゴシック" w:cs="Times New Roman"/>
          <w:color w:val="000000"/>
        </w:rPr>
        <w:t>Importantly, we used the same criteria (&gt; 18 bad channels, more than 50% of trials contaminated with artifact) to evaluate EEG data quality in both groups.</w:t>
      </w:r>
      <w:r w:rsidR="00265BB5">
        <w:rPr>
          <w:rFonts w:eastAsia="ＭＳ ゴシック" w:cs="Times New Roman"/>
          <w:color w:val="000000"/>
        </w:rPr>
        <w:t xml:space="preserve"> </w:t>
      </w:r>
      <w:r w:rsidR="00D21F82">
        <w:rPr>
          <w:sz w:val="22"/>
        </w:rPr>
        <w:t>In his 2014 book “An Introduction to the Event-Related Potential Technique”, Steve Luck reports using a threshold of 25% artifacts to reject datasets in his work with college students, but notes that “In our experiments on schizophrenia, we see a lot more artifacts (</w:t>
      </w:r>
      <w:r w:rsidR="00D21F82">
        <w:rPr>
          <w:i/>
          <w:sz w:val="22"/>
        </w:rPr>
        <w:t>in both the patients and the control subjects</w:t>
      </w:r>
      <w:r w:rsidR="00D21F82">
        <w:rPr>
          <w:sz w:val="22"/>
        </w:rPr>
        <w:t xml:space="preserve">), so we exclude subjects for whom more than 50% of trials were rejected [emphasis added]” (p. 210). It was on the basis of this statement that we adopted a criterion of 50% contaminated trials for rejection of datasets, and we have added a reference to Luck’s book on page </w:t>
      </w:r>
      <w:r w:rsidR="00D21F82" w:rsidRPr="00D21F82">
        <w:rPr>
          <w:sz w:val="22"/>
          <w:highlight w:val="yellow"/>
        </w:rPr>
        <w:t>X</w:t>
      </w:r>
      <w:r w:rsidR="00D21F82">
        <w:rPr>
          <w:sz w:val="22"/>
        </w:rPr>
        <w:t xml:space="preserve"> to indicate this. Our decision to use 18 bad channels as an additional threshold is</w:t>
      </w:r>
      <w:r w:rsidR="00480FDE">
        <w:rPr>
          <w:sz w:val="22"/>
        </w:rPr>
        <w:t xml:space="preserve"> not based on a prior precedent</w:t>
      </w:r>
      <w:r w:rsidR="00D21F82">
        <w:rPr>
          <w:sz w:val="22"/>
        </w:rPr>
        <w:t xml:space="preserve">, but our work with pilot subjects indicated that for some subjects (e.g., those with very thick hair), signal quality at the base of the head was consistently poor as it was difficult to ensure good contact with the scalp. </w:t>
      </w:r>
      <w:r w:rsidR="000A669B">
        <w:rPr>
          <w:sz w:val="22"/>
        </w:rPr>
        <w:t>Interpolation is the common method of dealing with bad channels, and t</w:t>
      </w:r>
      <w:r w:rsidR="00D21F82">
        <w:rPr>
          <w:sz w:val="22"/>
        </w:rPr>
        <w:t>here is no limit to the number of poor quality electrodes that can be interpolated</w:t>
      </w:r>
      <w:r w:rsidR="000A669B">
        <w:rPr>
          <w:sz w:val="22"/>
        </w:rPr>
        <w:t xml:space="preserve">, </w:t>
      </w:r>
      <w:r w:rsidR="00480FDE">
        <w:rPr>
          <w:sz w:val="22"/>
        </w:rPr>
        <w:t xml:space="preserve">but </w:t>
      </w:r>
      <w:r w:rsidR="00D21F82">
        <w:rPr>
          <w:sz w:val="22"/>
        </w:rPr>
        <w:t>every interpolation entails the loss of data at one electrode. We felt that loss of up to ~15% of the data (i.e., 18 of 128 channels) was a reasonable threshold to use before declaring</w:t>
      </w:r>
      <w:r w:rsidR="000A669B">
        <w:rPr>
          <w:sz w:val="22"/>
        </w:rPr>
        <w:t xml:space="preserve"> a dataset too noisy to retain. We have added text explaining this rationale on page </w:t>
      </w:r>
      <w:r w:rsidR="000A669B" w:rsidRPr="000A669B">
        <w:rPr>
          <w:sz w:val="22"/>
          <w:highlight w:val="yellow"/>
        </w:rPr>
        <w:t>X</w:t>
      </w:r>
      <w:r w:rsidR="000A669B">
        <w:rPr>
          <w:sz w:val="22"/>
        </w:rPr>
        <w:t xml:space="preserve"> of the revised manuscript.</w:t>
      </w:r>
    </w:p>
    <w:p w14:paraId="098F5747" w14:textId="77777777" w:rsidR="00AA75F3" w:rsidRDefault="00AA75F3" w:rsidP="00B61D77">
      <w:pPr>
        <w:rPr>
          <w:sz w:val="22"/>
        </w:rPr>
      </w:pPr>
    </w:p>
    <w:p w14:paraId="5B13FE55" w14:textId="7A0C2233" w:rsidR="00AA75F3" w:rsidRDefault="00AA75F3" w:rsidP="00B61D77">
      <w:pPr>
        <w:rPr>
          <w:sz w:val="22"/>
        </w:rPr>
      </w:pPr>
      <w:r>
        <w:rPr>
          <w:sz w:val="22"/>
        </w:rPr>
        <w:t>5. “</w:t>
      </w:r>
      <w:r>
        <w:rPr>
          <w:i/>
          <w:sz w:val="22"/>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Default="00AA75F3" w:rsidP="00B61D77">
      <w:pPr>
        <w:rPr>
          <w:sz w:val="22"/>
        </w:rPr>
      </w:pPr>
    </w:p>
    <w:p w14:paraId="25906110" w14:textId="10EA333C" w:rsidR="00AA75F3" w:rsidRPr="002B781E" w:rsidRDefault="009B538E" w:rsidP="00B61D77">
      <w:r>
        <w:rPr>
          <w:sz w:val="22"/>
        </w:rPr>
        <w:t xml:space="preserve">We thank the reviewer for this excellent set of questions. The mean distance between electrodes in the 128 channel EGI nets that we used is ~3 cm </w:t>
      </w:r>
      <w:r>
        <w:rPr>
          <w:sz w:val="22"/>
        </w:rPr>
        <w:fldChar w:fldCharType="begin" w:fldLock="1"/>
      </w:r>
      <w:r w:rsidR="002B781E">
        <w:rPr>
          <w:sz w:val="22"/>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Pr>
          <w:sz w:val="22"/>
        </w:rPr>
        <w:fldChar w:fldCharType="separate"/>
      </w:r>
      <w:r w:rsidRPr="009B538E">
        <w:rPr>
          <w:noProof/>
          <w:sz w:val="22"/>
        </w:rPr>
        <w:t>(Song et al., 2015)</w:t>
      </w:r>
      <w:r>
        <w:rPr>
          <w:sz w:val="22"/>
        </w:rPr>
        <w:fldChar w:fldCharType="end"/>
      </w:r>
      <w:r w:rsidR="00480FDE">
        <w:rPr>
          <w:sz w:val="22"/>
        </w:rPr>
        <w:t xml:space="preserve">. Because the net tends to stretch out over parietal scalp regions that are of great interest given their known role in recollection, </w:t>
      </w:r>
      <w:r w:rsidR="001A1E80">
        <w:rPr>
          <w:sz w:val="22"/>
        </w:rPr>
        <w:t>we</w:t>
      </w:r>
      <w:r w:rsidR="00480FDE">
        <w:rPr>
          <w:sz w:val="22"/>
        </w:rPr>
        <w:t xml:space="preserve"> </w:t>
      </w:r>
      <w:r w:rsidR="0051659D">
        <w:rPr>
          <w:sz w:val="22"/>
        </w:rPr>
        <w:t xml:space="preserve">used </w:t>
      </w:r>
      <w:r w:rsidR="00480FDE">
        <w:rPr>
          <w:sz w:val="22"/>
        </w:rPr>
        <w:t>4 cm</w:t>
      </w:r>
      <w:r w:rsidR="0051659D">
        <w:rPr>
          <w:sz w:val="22"/>
        </w:rPr>
        <w:t xml:space="preserve"> as our threshold</w:t>
      </w:r>
      <w:r w:rsidR="00480FDE">
        <w:rPr>
          <w:sz w:val="22"/>
        </w:rPr>
        <w:t xml:space="preserve">. </w:t>
      </w:r>
      <w:r w:rsidR="003A4828">
        <w:rPr>
          <w:sz w:val="22"/>
        </w:rPr>
        <w:t xml:space="preserve">We </w:t>
      </w:r>
      <w:r w:rsidR="0051659D">
        <w:rPr>
          <w:sz w:val="22"/>
        </w:rPr>
        <w:t xml:space="preserve">also </w:t>
      </w:r>
      <w:r w:rsidR="003A4828">
        <w:rPr>
          <w:sz w:val="22"/>
        </w:rPr>
        <w:t xml:space="preserve">used the mass </w:t>
      </w:r>
      <w:proofErr w:type="spellStart"/>
      <w:r w:rsidR="003A4828">
        <w:rPr>
          <w:sz w:val="22"/>
        </w:rPr>
        <w:t>univariate</w:t>
      </w:r>
      <w:proofErr w:type="spellEnd"/>
      <w:r w:rsidR="003A4828">
        <w:rPr>
          <w:sz w:val="22"/>
        </w:rPr>
        <w:t xml:space="preserve"> toolbox program </w:t>
      </w:r>
      <w:proofErr w:type="spellStart"/>
      <w:r w:rsidR="003A4828" w:rsidRPr="003A4828">
        <w:rPr>
          <w:i/>
        </w:rPr>
        <w:t>spatial_neighbors</w:t>
      </w:r>
      <w:proofErr w:type="spellEnd"/>
      <w:r w:rsidR="003A4828">
        <w:t xml:space="preserve"> to check the consequences of our decision, and it indicated that the mean number of neighboring electrodes </w:t>
      </w:r>
      <w:r w:rsidR="004F1911">
        <w:t>with</w:t>
      </w:r>
      <w:r w:rsidR="003A4828">
        <w:t xml:space="preserve"> t</w:t>
      </w:r>
      <w:r w:rsidR="0051659D">
        <w:t xml:space="preserve">his setting ranged from 1 to 9, </w:t>
      </w:r>
      <w:r w:rsidR="003A4828">
        <w:t xml:space="preserve">depending on </w:t>
      </w:r>
      <w:r w:rsidR="004F1911">
        <w:t>the electrode’s location</w:t>
      </w:r>
      <w:r w:rsidR="003A4828">
        <w:t xml:space="preserve">, with mean and median = 6 electrodes. </w:t>
      </w:r>
      <w:r w:rsidR="00C3109C">
        <w:t>If the review</w:t>
      </w:r>
      <w:r w:rsidR="004F1911">
        <w:t>er</w:t>
      </w:r>
      <w:r w:rsidR="00C3109C">
        <w:t xml:space="preserve"> examines the EGI electrode map in the supplement and considers the left parietal electrodes, he or she will see that those are typically surrounded by 6 other electrodes</w:t>
      </w:r>
      <w:r w:rsidR="0051659D">
        <w:t>—this</w:t>
      </w:r>
      <w:r w:rsidR="00C3109C">
        <w:t xml:space="preserve"> means that t</w:t>
      </w:r>
      <w:r w:rsidR="0051659D">
        <w:t>he 4 cm</w:t>
      </w:r>
      <w:r w:rsidR="00C3109C">
        <w:t xml:space="preserve"> setting captures the layout of the net without being too generous (e.g., left parietal electrode 42 is surrounded by electrodes 36, 41, 47, 52, 54, and 37</w:t>
      </w:r>
      <w:r w:rsidR="00AB03A6">
        <w:t>, which should all be detectable with our setting</w:t>
      </w:r>
      <w:r w:rsidR="00C3109C">
        <w:t>).</w:t>
      </w:r>
      <w:r w:rsidR="006D1442">
        <w:t xml:space="preserve"> Nonetheless, it is true that </w:t>
      </w:r>
      <w:r w:rsidR="0051659D">
        <w:t xml:space="preserve">we could have chosen a multiple </w:t>
      </w:r>
      <w:r w:rsidR="006D1442">
        <w:t>comparisons correction procedure with greater localizing power</w:t>
      </w:r>
      <w:r w:rsidR="002B781E">
        <w:t xml:space="preserve">—for instance, we could have applied a </w:t>
      </w:r>
      <w:proofErr w:type="spellStart"/>
      <w:r w:rsidR="002B781E">
        <w:t>Bonferroni</w:t>
      </w:r>
      <w:proofErr w:type="spellEnd"/>
      <w:r w:rsidR="002B781E">
        <w:t xml:space="preserve"> correction, setting a critical alpha value of 0.05/128 = 0.0004 and evaluating every electrode in isolation. Alternatively, Dr. David </w:t>
      </w:r>
      <w:proofErr w:type="spellStart"/>
      <w:r w:rsidR="002B781E">
        <w:t>Groppe</w:t>
      </w:r>
      <w:proofErr w:type="spellEnd"/>
      <w:r w:rsidR="002B781E">
        <w:t xml:space="preserve"> (developer of the mass </w:t>
      </w:r>
      <w:proofErr w:type="spellStart"/>
      <w:r w:rsidR="002B781E">
        <w:t>univariate</w:t>
      </w:r>
      <w:proofErr w:type="spellEnd"/>
      <w:r w:rsidR="002B781E">
        <w:t xml:space="preserve"> software) has </w:t>
      </w:r>
      <w:r w:rsidR="0051659D">
        <w:t>provided</w:t>
      </w:r>
      <w:r w:rsidR="00D6348C">
        <w:t xml:space="preserve"> a</w:t>
      </w:r>
      <w:r w:rsidR="002B781E">
        <w:t xml:space="preserve"> permutation-based procedure that is more powerful than </w:t>
      </w:r>
      <w:proofErr w:type="spellStart"/>
      <w:r w:rsidR="002B781E">
        <w:t>Bonferroni</w:t>
      </w:r>
      <w:proofErr w:type="spellEnd"/>
      <w:r w:rsidR="002B781E">
        <w:t xml:space="preserve"> correction but still allows detection of effects at single electrodes </w:t>
      </w:r>
      <w:r w:rsidR="002B781E">
        <w:fldChar w:fldCharType="begin" w:fldLock="1"/>
      </w:r>
      <w:r w:rsidR="00185471">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fldChar w:fldCharType="separate"/>
      </w:r>
      <w:r w:rsidR="002B781E" w:rsidRPr="002B781E">
        <w:rPr>
          <w:noProof/>
        </w:rPr>
        <w:t>(Groppe, Urbach, &amp; Kutas, 2011a, 2011b)</w:t>
      </w:r>
      <w:r w:rsidR="002B781E">
        <w:fldChar w:fldCharType="end"/>
      </w:r>
      <w:r w:rsidR="0051659D">
        <w:t>. Either approach would</w:t>
      </w:r>
      <w:r w:rsidR="002B781E">
        <w:t xml:space="preserve"> </w:t>
      </w:r>
      <w:r w:rsidR="0051659D">
        <w:t xml:space="preserve">have </w:t>
      </w:r>
      <w:r w:rsidR="002B781E">
        <w:t xml:space="preserve">improved localization </w:t>
      </w:r>
      <w:r w:rsidR="0051659D">
        <w:t>power relative to</w:t>
      </w:r>
      <w:r w:rsidR="002B781E">
        <w:t xml:space="preserve"> the cluster-based permutation approach </w:t>
      </w:r>
      <w:r w:rsidR="0051659D">
        <w:t xml:space="preserve">(also developed by Dr. </w:t>
      </w:r>
      <w:proofErr w:type="spellStart"/>
      <w:r w:rsidR="0051659D">
        <w:t>Groppe</w:t>
      </w:r>
      <w:proofErr w:type="spellEnd"/>
      <w:r w:rsidR="0051659D">
        <w:t xml:space="preserve">) </w:t>
      </w:r>
      <w:r w:rsidR="002B781E">
        <w:t xml:space="preserve">that we </w:t>
      </w:r>
      <w:r w:rsidR="0051659D">
        <w:t>use</w:t>
      </w:r>
      <w:r w:rsidR="002B781E">
        <w:t>d.</w:t>
      </w:r>
    </w:p>
    <w:p w14:paraId="509A68E9" w14:textId="77777777" w:rsidR="001A1E80" w:rsidRDefault="001A1E80" w:rsidP="00B61D77"/>
    <w:p w14:paraId="4EB7A25D" w14:textId="51DC5FBB" w:rsidR="001A1E80" w:rsidRDefault="002B781E" w:rsidP="00B61D77">
      <w:r>
        <w:t>However</w:t>
      </w:r>
      <w:r w:rsidR="001A1E80">
        <w:t>, we</w:t>
      </w:r>
      <w:r w:rsidR="00AB03A6">
        <w:t xml:space="preserve"> </w:t>
      </w:r>
      <w:r w:rsidR="0051659D">
        <w:t>believe</w:t>
      </w:r>
      <w:r>
        <w:t xml:space="preserve"> the cluster-based </w:t>
      </w:r>
      <w:r w:rsidR="00D6348C">
        <w:t xml:space="preserve">permutation </w:t>
      </w:r>
      <w:r>
        <w:t xml:space="preserve">approach is better suited to our data and to ERP studies of </w:t>
      </w:r>
      <w:r w:rsidR="009220B3">
        <w:t>episodic retrieval</w:t>
      </w:r>
      <w:r>
        <w:t xml:space="preserve"> in general. As </w:t>
      </w:r>
      <w:proofErr w:type="spellStart"/>
      <w:r>
        <w:t>Groppe</w:t>
      </w:r>
      <w:proofErr w:type="spellEnd"/>
      <w:r>
        <w:t xml:space="preserve"> and colleagues </w:t>
      </w:r>
      <w:r w:rsidR="0051659D">
        <w:t>noted</w:t>
      </w:r>
      <w:r>
        <w:t xml:space="preserve">, </w:t>
      </w:r>
      <w:r w:rsidR="00D6348C">
        <w:t>this approach</w:t>
      </w:r>
      <w:r>
        <w:t xml:space="preserve"> is “possibly the most powerful mass-</w:t>
      </w:r>
      <w:proofErr w:type="spellStart"/>
      <w:r>
        <w:t>univariate</w:t>
      </w:r>
      <w:proofErr w:type="spellEnd"/>
      <w:r>
        <w:t xml:space="preserve"> procedure for detecting the presence of [broadly distributed] effects” (p. </w:t>
      </w:r>
      <w:r w:rsidR="009220B3">
        <w:t xml:space="preserve">9), which are the kinds of effects typically seen in studies of episodic retrieval. Indeed, we </w:t>
      </w:r>
      <w:r w:rsidR="00AB03A6">
        <w:t xml:space="preserve">respectfully suggest that the </w:t>
      </w:r>
      <w:r w:rsidR="00BF2992">
        <w:t>main</w:t>
      </w:r>
      <w:r w:rsidR="0051659D">
        <w:t xml:space="preserve"> issue with </w:t>
      </w:r>
      <w:r w:rsidR="00AB03A6">
        <w:t xml:space="preserve">mass </w:t>
      </w:r>
      <w:proofErr w:type="spellStart"/>
      <w:r w:rsidR="00AB03A6">
        <w:t>univariate</w:t>
      </w:r>
      <w:proofErr w:type="spellEnd"/>
      <w:r w:rsidR="00AB03A6">
        <w:t xml:space="preserve"> analysis is not </w:t>
      </w:r>
      <w:r w:rsidR="009220B3">
        <w:t>overly</w:t>
      </w:r>
      <w:r w:rsidR="00AB03A6">
        <w:t xml:space="preserve"> large clusters, but rather low</w:t>
      </w:r>
      <w:r w:rsidR="009220B3">
        <w:t>er</w:t>
      </w:r>
      <w:r w:rsidR="00AB03A6">
        <w:t xml:space="preserve"> power due to </w:t>
      </w:r>
      <w:r w:rsidR="00D6348C">
        <w:t xml:space="preserve">strict </w:t>
      </w:r>
      <w:r w:rsidR="00AB03A6">
        <w:t>correct</w:t>
      </w:r>
      <w:r w:rsidR="0051659D">
        <w:t>ion</w:t>
      </w:r>
      <w:r w:rsidR="00AB03A6">
        <w:t xml:space="preserve"> for multiple comparisons. </w:t>
      </w:r>
      <w:r w:rsidR="009220B3">
        <w:t xml:space="preserve">For instance, </w:t>
      </w:r>
      <w:r w:rsidR="00BF2992">
        <w:t xml:space="preserve">if the reviewer looks at the middle panel of Figure 6, which shows the “Question minus Odd/Even” contrast from 800-1400 </w:t>
      </w:r>
      <w:proofErr w:type="spellStart"/>
      <w:r w:rsidR="00BF2992">
        <w:t>ms</w:t>
      </w:r>
      <w:proofErr w:type="spellEnd"/>
      <w:r w:rsidR="00BF2992">
        <w:t xml:space="preserve">, he or she will note a swath of positive amplitude activity over left parietal electrodes that is not significant despite </w:t>
      </w:r>
      <w:r w:rsidR="00BF2992">
        <w:rPr>
          <w:i/>
        </w:rPr>
        <w:t>t</w:t>
      </w:r>
      <w:r w:rsidR="00BF2992">
        <w:t xml:space="preserve">-values greater than 2. For instance, electrode 59, which is just posterior to 10-20 position P3, has </w:t>
      </w:r>
      <w:r w:rsidR="00BF2992">
        <w:rPr>
          <w:i/>
        </w:rPr>
        <w:t>t</w:t>
      </w:r>
      <w:r w:rsidR="00BF2992">
        <w:t xml:space="preserve"> = 2.75. Considered alone, this electrode would reveal a significant difference, as w</w:t>
      </w:r>
      <w:r w:rsidR="0051659D">
        <w:t>ould several of its neighbors, b</w:t>
      </w:r>
      <w:r w:rsidR="00BF2992">
        <w:t xml:space="preserve">ut because </w:t>
      </w:r>
      <w:r w:rsidR="0051659D">
        <w:t>of the correction for testing at</w:t>
      </w:r>
      <w:r w:rsidR="00D21379">
        <w:t xml:space="preserve"> 128 electrodes, this electrode is not significant in our cluster-based analysis. Because tests with greater localizing power demand an even higher level of significance for single electrodes, this kind of problem</w:t>
      </w:r>
      <w:r w:rsidR="0051659D">
        <w:t xml:space="preserve"> </w:t>
      </w:r>
      <w:r w:rsidR="00D21379">
        <w:t xml:space="preserve">would be </w:t>
      </w:r>
      <w:r w:rsidR="0051659D">
        <w:t>worse</w:t>
      </w:r>
      <w:r w:rsidR="00D21379">
        <w:t xml:space="preserve"> with any other multiple comparisons correction we could choose. In </w:t>
      </w:r>
      <w:r w:rsidR="0051659D">
        <w:t>other words</w:t>
      </w:r>
      <w:r w:rsidR="00D21379">
        <w:t>, the cluster-based permutation correction we used maximizes our ability to detect true effects without being overly liberal.</w:t>
      </w:r>
    </w:p>
    <w:p w14:paraId="0E51768F" w14:textId="77777777" w:rsidR="00D6348C" w:rsidRDefault="00D6348C" w:rsidP="00B61D77"/>
    <w:p w14:paraId="663DF575" w14:textId="1F943CEC" w:rsidR="00D6348C" w:rsidRPr="00D6348C" w:rsidRDefault="00D6348C" w:rsidP="00B61D77">
      <w:r>
        <w:t xml:space="preserve">Finally, given the concern just raised the reviewer may be asking why we decided to use the mass </w:t>
      </w:r>
      <w:proofErr w:type="spellStart"/>
      <w:r>
        <w:t>univariate</w:t>
      </w:r>
      <w:proofErr w:type="spellEnd"/>
      <w:r>
        <w:t xml:space="preserve"> approach at all—why not simply test the effects at a handful of electrodes as has been done in many prior ERP studies, thus obviating the need for strict multiple comparisons correction? The reason is that with 128 electrodes and a novel research question (how does depression influence source retrieval?), we did not have a strong enough set of </w:t>
      </w:r>
      <w:r>
        <w:rPr>
          <w:i/>
        </w:rPr>
        <w:t>a priori</w:t>
      </w:r>
      <w:r>
        <w:t xml:space="preserve"> hypotheses to provide a comprehensive analysis of the data. We were strongly interested in effects over parietal electrodes that have been consistently implicated in recollection in prior studies, but we were also interested in the late posterior negativity that typically has a posterior focus but that can also extend over left frontal cortex during conceptual retrieval. Moreover, there are often long-lasting potentials evident over right frontal cortex during episodic retrieval tasks, and we were not sure how any of these effects might interact with depression—or whether we would detect entirely different effects. The mass </w:t>
      </w:r>
      <w:proofErr w:type="spellStart"/>
      <w:r>
        <w:t>univariate</w:t>
      </w:r>
      <w:proofErr w:type="spellEnd"/>
      <w:r>
        <w:t xml:space="preserve"> approach is a comprehensive approach to this issue, along with principled means for multiple comparisons correction. </w:t>
      </w:r>
    </w:p>
    <w:p w14:paraId="68C2A8C4" w14:textId="77777777" w:rsidR="004376E8" w:rsidRDefault="004376E8" w:rsidP="00B61D77"/>
    <w:p w14:paraId="0ED14BFC" w14:textId="3B9D8715" w:rsidR="004376E8" w:rsidRDefault="004376E8" w:rsidP="00B61D77">
      <w:pPr>
        <w:rPr>
          <w:i/>
        </w:rPr>
      </w:pPr>
      <w:r>
        <w:t>6. ‘</w:t>
      </w:r>
      <w:proofErr w:type="gramStart"/>
      <w:r>
        <w:rPr>
          <w:i/>
        </w:rPr>
        <w:t>The</w:t>
      </w:r>
      <w:proofErr w:type="gramEnd"/>
      <w:r>
        <w:rPr>
          <w:i/>
        </w:rPr>
        <w:t xml:space="preserv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4B278D02" w:rsidR="004376E8" w:rsidRDefault="004376E8" w:rsidP="00B61D77">
      <w:r>
        <w:t xml:space="preserve">We </w:t>
      </w:r>
      <w:r w:rsidR="00AA1F9C">
        <w:t xml:space="preserve">thank the reviewer for this comment. As the reviewer notes, significant activity was seen over left frontal cortex in the “Question minus Side” contrast when participants were confronted with words from the </w:t>
      </w:r>
      <w:proofErr w:type="spellStart"/>
      <w:r w:rsidR="00AA1F9C">
        <w:t>animacy</w:t>
      </w:r>
      <w:proofErr w:type="spellEnd"/>
      <w:r w:rsidR="00AA1F9C">
        <w:t xml:space="preserve"> task, but not when words from the mobility task were presented—in the latter case, strong activity over left parietal cortex was observed (left frontal activity was also seen in the “Question minus Odd/Even” contrast). Because the “Question minus Side” accuracy subtractions revealed significantly better performance for words from the mobility versus </w:t>
      </w:r>
      <w:proofErr w:type="spellStart"/>
      <w:r w:rsidR="00AA1F9C">
        <w:t>animacy</w:t>
      </w:r>
      <w:proofErr w:type="spellEnd"/>
      <w:r w:rsidR="00AA1F9C">
        <w:t xml:space="preserve"> task in both groups, </w:t>
      </w:r>
      <w:proofErr w:type="spellStart"/>
      <w:r w:rsidR="00AA1F9C">
        <w:rPr>
          <w:i/>
        </w:rPr>
        <w:t>t</w:t>
      </w:r>
      <w:r w:rsidR="00AA1F9C">
        <w:t>s</w:t>
      </w:r>
      <w:proofErr w:type="spellEnd"/>
      <w:r w:rsidR="00AA1F9C">
        <w:t xml:space="preserve"> &gt; 2.7, </w:t>
      </w:r>
      <w:proofErr w:type="spellStart"/>
      <w:r w:rsidR="00AA1F9C">
        <w:rPr>
          <w:i/>
        </w:rPr>
        <w:t>p</w:t>
      </w:r>
      <w:r w:rsidR="00AA1F9C">
        <w:t>s</w:t>
      </w:r>
      <w:proofErr w:type="spellEnd"/>
      <w:r w:rsidR="00AA1F9C">
        <w:t xml:space="preserve"> &lt; 0.02, we speculated that the left frontal activity might reflect additional cue elaboration needed to generate candidate memories following poorer encoding, or possibility post-retrieval monitoring or selection. </w:t>
      </w:r>
      <w:r w:rsidR="00185471">
        <w:t xml:space="preserve">In the revision, we now emphasize that the first mechanism—additional cue elaboration—is more likely, based on a recent functional magnetic resonance imaging (fMRI) 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In this paper, Han and colleagues used orthogonal contrasts to dissociate cue elaboration from the need to monitor and select from several candidate memories, and they</w:t>
      </w:r>
      <w:r w:rsidR="00185471">
        <w:t xml:space="preserve"> showed increased left </w:t>
      </w:r>
      <w:proofErr w:type="spellStart"/>
      <w:r w:rsidR="00185471">
        <w:t>v</w:t>
      </w:r>
      <w:r w:rsidR="003F63B5">
        <w:t>entrolateral</w:t>
      </w:r>
      <w:proofErr w:type="spellEnd"/>
      <w:r w:rsidR="003F63B5">
        <w:t xml:space="preserve"> PFC activation for elaboration but not monitoring/selection. Although of course there are pronounced differences between fMRI and ERP research, to our knowledge this work offers the strongest empirical basis for the left frontal activity we observed.</w:t>
      </w:r>
    </w:p>
    <w:p w14:paraId="4D831F11" w14:textId="77777777" w:rsidR="00A5394C" w:rsidRDefault="00A5394C" w:rsidP="00B61D77"/>
    <w:p w14:paraId="3A4BA438" w14:textId="5745597B" w:rsidR="00A5394C" w:rsidRDefault="00A5394C" w:rsidP="00B61D77">
      <w:r>
        <w:t xml:space="preserve">7. </w:t>
      </w:r>
      <w:r>
        <w:rPr>
          <w:i/>
        </w:rPr>
        <w:t xml:space="preserve">“The main focus of the discussion should be to discuss the value and feasibility of reduced parietal amplitude in the presence of relatively intact </w:t>
      </w:r>
      <w:proofErr w:type="spellStart"/>
      <w:r>
        <w:rPr>
          <w:i/>
        </w:rPr>
        <w:t>behavioural</w:t>
      </w:r>
      <w:proofErr w:type="spellEnd"/>
      <w:r>
        <w:rPr>
          <w:i/>
        </w:rPr>
        <w:t xml:space="preserve"> performance. Are the authors speculating that this finding is a vulnerability marker for achieving remission?”</w:t>
      </w:r>
    </w:p>
    <w:p w14:paraId="1A869881" w14:textId="77777777" w:rsidR="00A5394C" w:rsidRDefault="00A5394C" w:rsidP="00B61D77"/>
    <w:p w14:paraId="38955804" w14:textId="24D38FD1" w:rsidR="00A5394C" w:rsidRPr="00A5394C" w:rsidRDefault="00A5394C" w:rsidP="00B61D77">
      <w:r>
        <w:t>We appreciate the reviewer’s points. As noted in our response to Reviewer 5’s 5</w:t>
      </w:r>
      <w:r w:rsidRPr="00A5394C">
        <w:rPr>
          <w:vertAlign w:val="superscript"/>
        </w:rPr>
        <w:t>th</w:t>
      </w:r>
      <w:r>
        <w:t xml:space="preserve"> critique (see above), we now put greater emphasis on the link between relatively intact source memory and increased left parietal ERPs in the Question/mobility condition for the MDD group—this seems to be consistent with what the reviewer is driving at here. Regarding the question about whether these ERP effects can be considered a marker for achieving remission, the answer is “no”—this is a very interesting idea, but because our MDD group was currently depressed we do not think our results speak to the possibility of remission. Given the complexity of the research problem, we feel it is best to be circumspect and focus the discussion on the relationship between the ERPs and the behavior that was collected during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1E510ABB" w:rsidR="00871D9D" w:rsidRDefault="00CE1355" w:rsidP="00871D9D">
      <w:r>
        <w:t xml:space="preserve">We appreciate this comment and can see how early introduction of neural systems could add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r w:rsidR="00685FF8">
        <w:t xml:space="preserve"> The additional space provided by </w:t>
      </w:r>
      <w:proofErr w:type="spellStart"/>
      <w:r w:rsidR="00685FF8">
        <w:rPr>
          <w:i/>
        </w:rPr>
        <w:t>Neuropsychologia</w:t>
      </w:r>
      <w:proofErr w:type="spellEnd"/>
      <w:r w:rsidR="00685FF8">
        <w:t xml:space="preserve"> makes this easier to do, and hopefully the result is a more readable paper.</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79706587" w:rsidR="009F25DB" w:rsidRDefault="009F25DB" w:rsidP="00871D9D">
      <w:r>
        <w:t xml:space="preserve">We appreciate this question, which gets to the core of the manuscript. </w:t>
      </w:r>
      <w:r w:rsidR="00D04AED">
        <w:t xml:space="preserve">The strong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interaction for words from the mobility task) was unanticipated, as the reviewer notes—in the prior imaging studies of multidimensional source retrieval of which we are aware, there is little discussion of dependency on enco</w:t>
      </w:r>
      <w:r w:rsidR="00BD2126">
        <w:t xml:space="preserve">ding task. Therefore, finding that accuracy under the Question cue varied so strongly by encoding task was striking. We regret any superficial treatment of this result, and in the revised manuscript it is now very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BD2126">
        <w:t xml:space="preserve"> effects). We hope that this treatment makes it plain that these task-dependent effects constitute a major contribution of the current study relative to what has already been accomplished in this area.</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2372D864" w:rsidR="00C03D23" w:rsidRDefault="004B4B84" w:rsidP="00871D9D">
      <w:r>
        <w:t xml:space="preserve">The reviewer’s point is </w:t>
      </w:r>
      <w:proofErr w:type="gramStart"/>
      <w:r>
        <w:t>well-taken</w:t>
      </w:r>
      <w:proofErr w:type="gramEnd"/>
      <w:r>
        <w:t xml:space="preserve">; upon re-reading the manuscript alongside these reviews, we realize that we overstated the negative impact of depression on performance. Consequently, we have toned down such claims and have tried to offer a more accurate account of the results in the revised manuscript. Regarding the reviewer’s point about confidence, it is true that the depressed group was significantly less confident than the controls in response to the Side cue, and this raises the possibility that the significant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 xml:space="preserve">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w:t>
      </w:r>
      <w:proofErr w:type="gramStart"/>
      <w:r w:rsidR="005E1BC8">
        <w:t>By contrast, the left panel of Figure 5A shows greater confidence for Question versus Side responses in both groups.</w:t>
      </w:r>
      <w:proofErr w:type="gramEnd"/>
      <w:r w:rsidR="005E1BC8">
        <w:t xml:space="preserve"> Thus, the ERPs appear to track accurac</w:t>
      </w:r>
      <w:r w:rsidR="00C03D23">
        <w:t>y better than confidence.</w:t>
      </w:r>
    </w:p>
    <w:p w14:paraId="5E7D0631" w14:textId="77777777" w:rsidR="00C03D23" w:rsidRDefault="00C03D23" w:rsidP="00871D9D"/>
    <w:p w14:paraId="1B626F3C" w14:textId="390CE256" w:rsidR="00C03D23" w:rsidRDefault="005E1BC8" w:rsidP="00871D9D">
      <w:r>
        <w:t xml:space="preserve">The second method is the one the reviewer recommends—one can look for correlations between ERPs and accuracy or confidence. Here the answer is a bit less clear. </w:t>
      </w:r>
      <w:r w:rsidR="00C03D23">
        <w:t xml:space="preserve">We found that “Question minus Side” difference scores for accuracy and confidence in response to words from the mobility task were significantly correlated across the groups, </w:t>
      </w:r>
      <w:proofErr w:type="gramStart"/>
      <w:r w:rsidR="00C03D23">
        <w:rPr>
          <w:i/>
        </w:rPr>
        <w:t>r</w:t>
      </w:r>
      <w:r w:rsidR="00C03D23">
        <w:t>(</w:t>
      </w:r>
      <w:proofErr w:type="gramEnd"/>
      <w:r w:rsidR="00C03D23">
        <w:t xml:space="preserve">46) = 0.42, </w:t>
      </w:r>
      <w:r w:rsidR="00C03D23">
        <w:rPr>
          <w:i/>
        </w:rPr>
        <w:t>p</w:t>
      </w:r>
      <w:r w:rsidR="00C03D23">
        <w:t xml:space="preserve"> = 0.002. This relationship suggests that it may be difficult to conclusively tease apart these two factors. And indeed, in both time windows where there were significant group effects for left parietal “Question minus Side” ERPs (Figure 9), we found weak correlations with both “Question minus Side” accuracy and confidence difference scores (</w:t>
      </w:r>
      <w:r w:rsidR="00C03D23" w:rsidRPr="00C03D23">
        <w:rPr>
          <w:b/>
        </w:rPr>
        <w:t xml:space="preserve">400-800 </w:t>
      </w:r>
      <w:proofErr w:type="spellStart"/>
      <w:r w:rsidR="00C03D23" w:rsidRPr="00C03D23">
        <w:rPr>
          <w:b/>
        </w:rPr>
        <w:t>ms</w:t>
      </w:r>
      <w:proofErr w:type="spellEnd"/>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 xml:space="preserve">800-1400 </w:t>
      </w:r>
      <w:proofErr w:type="spellStart"/>
      <w:r w:rsidR="00C03D23" w:rsidRPr="00C03D23">
        <w:rPr>
          <w:b/>
        </w:rPr>
        <w:t>ms</w:t>
      </w:r>
      <w:proofErr w:type="spellEnd"/>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 strength of these correlations did not reveal a significant difference in either time window. In summary, our attempt to link the left parietal ERPs to 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65ED06DA"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appear to track the accuracy pattern better than the confidence </w:t>
      </w:r>
      <w:r w:rsidR="00111BA0">
        <w:t>pattern</w:t>
      </w:r>
      <w:r w:rsidR="008E1056">
        <w:t xml:space="preserve">, but </w:t>
      </w:r>
      <w:r w:rsidR="00111BA0">
        <w:t xml:space="preserve">we also </w:t>
      </w:r>
      <w:r w:rsidR="008E1056">
        <w:t xml:space="preserve">note that the correlational analysis does not suggest a </w:t>
      </w:r>
      <w:r w:rsidR="00111BA0">
        <w:t>stronger</w:t>
      </w:r>
      <w:r w:rsidR="008E1056">
        <w:t xml:space="preserve"> </w:t>
      </w:r>
      <w:r w:rsidR="00111BA0">
        <w:t>link between the ERPs and accuracy vs. confidence</w:t>
      </w:r>
      <w:r w:rsidR="008E1056">
        <w:t xml:space="preserve">. If a more definitive separation of accuracy </w:t>
      </w:r>
      <w:r w:rsidR="00111BA0">
        <w:t>and</w:t>
      </w:r>
      <w:r w:rsidR="008E1056">
        <w:t xml:space="preserve"> confidence in MDD can be made, it will have to </w:t>
      </w:r>
      <w:proofErr w:type="gramStart"/>
      <w:r w:rsidR="008E1056">
        <w:t>accomplished</w:t>
      </w:r>
      <w:proofErr w:type="gramEnd"/>
      <w:r w:rsidR="008E1056">
        <w:t xml:space="preserve"> in a follow-up study that is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1FDCA456" w:rsidR="002852E7" w:rsidRDefault="002852E7" w:rsidP="00871D9D">
      <w:r>
        <w:t>This is a very interesting question</w:t>
      </w:r>
      <w:r w:rsidR="000C1EC6">
        <w:t xml:space="preserve"> that we had not thought to ask.</w:t>
      </w:r>
      <w:r>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proofErr w:type="gramStart"/>
      <w:r w:rsidR="004E2704">
        <w:rPr>
          <w:i/>
        </w:rPr>
        <w:t>F</w:t>
      </w:r>
      <w:r w:rsidR="004E2704">
        <w:t>(</w:t>
      </w:r>
      <w:proofErr w:type="gramEnd"/>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proofErr w:type="gramStart"/>
      <w:r w:rsidR="004E2704">
        <w:rPr>
          <w:i/>
        </w:rPr>
        <w:t>F</w:t>
      </w:r>
      <w:r w:rsidR="004E2704">
        <w:t>(</w:t>
      </w:r>
      <w:proofErr w:type="gramEnd"/>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it appears that the separation in confidence levels for hits versus misses was similar in depressed and healthy adults.</w:t>
      </w:r>
      <w:r w:rsidR="00645208">
        <w:t xml:space="preserve"> Thank you for suggesting this interesting analysis.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10DFEB6C" w:rsidR="00E9359C" w:rsidRDefault="00E9359C" w:rsidP="00871D9D">
      <w:r>
        <w:t>This is another very inte</w:t>
      </w:r>
      <w:r w:rsidR="00BC0969">
        <w:t>resting question</w:t>
      </w:r>
      <w:r>
        <w:t>.</w:t>
      </w:r>
      <w:r w:rsidR="00BC0969">
        <w:t xml:space="preserve"> The specific psychological processes that mediate parietal effects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of </w:t>
      </w:r>
      <w:r w:rsidR="00BC0969">
        <w:t>mental imagery is well-known</w:t>
      </w:r>
      <w:r w:rsidR="00424EE4">
        <w:t>, and the generation of mental images (as opposed to their manipulation) appears to draw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424EE4">
        <w:t xml:space="preserve">. Consistent with this, in a recent fMRI study in which we instructed healthy and depressed participants to generate mental images in the service of reappraising their emotional responses to pictures,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424EE4">
        <w:t xml:space="preserve">. It seems possible to us that mental imagery might be involved in several of the processes that have been proposed to underlie parietal recollection effects (e.g., representation of retrieved content might involve vivid imagery, and directing attention to particular aspects of retrieved content might also involve imagery). Unfortunately, we cannot tease apart these processes with our data, especially as it is now clear that left parietal regions in close proximity—namely, the </w:t>
      </w:r>
      <w:proofErr w:type="spellStart"/>
      <w:r w:rsidR="00424EE4">
        <w:t>intraparietal</w:t>
      </w:r>
      <w:proofErr w:type="spellEnd"/>
      <w:r w:rsidR="00424EE4">
        <w:t xml:space="preserve"> sulcus and the superior parietal lobule—make separable contributions to memory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along these lines, but we have added a reference to mental imagery on page </w:t>
      </w:r>
      <w:r w:rsidR="00424EE4" w:rsidRPr="00424EE4">
        <w:rPr>
          <w:highlight w:val="yellow"/>
        </w:rPr>
        <w:t>X</w:t>
      </w:r>
      <w:r w:rsidR="00424EE4">
        <w:t xml:space="preserve"> to reflect the reviewer’s interest in this topic, which we share.</w:t>
      </w:r>
    </w:p>
    <w:p w14:paraId="63662013" w14:textId="77777777" w:rsidR="0003723A" w:rsidRDefault="0003723A" w:rsidP="00871D9D"/>
    <w:p w14:paraId="5FE962A0" w14:textId="45B181A5" w:rsidR="0003723A" w:rsidRDefault="0003723A" w:rsidP="00871D9D">
      <w:pPr>
        <w:rPr>
          <w:i/>
        </w:rPr>
      </w:pPr>
      <w:r>
        <w:t>6. “</w:t>
      </w:r>
      <w:r>
        <w:rPr>
          <w:i/>
        </w:rPr>
        <w:t>The PSQI correlations reminded me of the work of Jensen/</w:t>
      </w:r>
      <w:proofErr w:type="spellStart"/>
      <w:r>
        <w:rPr>
          <w:i/>
        </w:rPr>
        <w:t>Mazaheri</w:t>
      </w:r>
      <w:proofErr w:type="spellEnd"/>
      <w:r>
        <w:rPr>
          <w:i/>
        </w:rPr>
        <w:t xml:space="preserve"> and others showing that slow ERPs are related to asymmetric alpha oscillations. If drowsiness is related to </w:t>
      </w:r>
      <w:proofErr w:type="gramStart"/>
      <w:r>
        <w:rPr>
          <w:i/>
        </w:rPr>
        <w:t>altered</w:t>
      </w:r>
      <w:proofErr w:type="gramEnd"/>
      <w:r>
        <w:rPr>
          <w:i/>
        </w:rPr>
        <w:t xml:space="preserve"> alpha oscillations, one might expect PSQI to be associated with </w:t>
      </w:r>
      <w:r w:rsidR="00BA2E97">
        <w:rPr>
          <w:i/>
        </w:rPr>
        <w:t xml:space="preserve">slow ERPs as is observed. It may also </w:t>
      </w:r>
      <w:proofErr w:type="gramStart"/>
      <w:r w:rsidR="00BA2E97">
        <w:rPr>
          <w:i/>
        </w:rPr>
        <w:t>related</w:t>
      </w:r>
      <w:proofErr w:type="gramEnd"/>
      <w:r w:rsidR="00BA2E97">
        <w:rPr>
          <w:i/>
        </w:rPr>
        <w:t xml:space="preserve"> to the attention proposal mentioned in the Introduction. Either way, this finding is not greatly discussed.”</w:t>
      </w:r>
    </w:p>
    <w:p w14:paraId="45C76E3C" w14:textId="77777777" w:rsidR="00BA2E97" w:rsidRDefault="00BA2E97" w:rsidP="00871D9D">
      <w:pPr>
        <w:rPr>
          <w:i/>
        </w:rPr>
      </w:pPr>
    </w:p>
    <w:p w14:paraId="0EDCBEBA" w14:textId="2BF5F7AD" w:rsidR="00BA2E97" w:rsidRDefault="002A402C" w:rsidP="00871D9D">
      <w:r>
        <w:t xml:space="preserve">A major shortcoming of the original manuscript is that our discussion of the PSQI result was very truncated, due to space limitations. We agree with the reviewer wholeheartedly on this, and in the revised manuscript devote more attention to interpreting the result (see page </w:t>
      </w:r>
      <w:r w:rsidRPr="002A402C">
        <w:rPr>
          <w:highlight w:val="yellow"/>
        </w:rPr>
        <w:t>X</w:t>
      </w:r>
      <w:r>
        <w:t xml:space="preserve">). We also appreciate the reviewer’s suggestion about a possible link with alpha oscillations, as well as the pointer to Jensen and </w:t>
      </w:r>
      <w:proofErr w:type="spellStart"/>
      <w:r>
        <w:t>Mazaheri’s</w:t>
      </w:r>
      <w:proofErr w:type="spellEnd"/>
      <w:r>
        <w:t xml:space="preserve">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(Mazaheri &amp; Jensen, 2010; van Dijk, van der Werf, Mazaheri, Medendorp, &amp; Jensen, 2010)</w:t>
      </w:r>
      <w:r>
        <w:fldChar w:fldCharType="end"/>
      </w:r>
      <w:r>
        <w:t xml:space="preserve">—we were not aware of this before. If we understand the central idea correctly, it 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w:t>
      </w:r>
      <w:proofErr w:type="spellStart"/>
      <w:r>
        <w:t>Mazaheri</w:t>
      </w:r>
      <w:proofErr w:type="spellEnd"/>
      <w:r>
        <w:t xml:space="preserve">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this is a complex idea and properly testing it would of course depend on conducting a time-frequency analysis, which we have not yet done (and which is not the focus here). Consequently, in our discussion of the PSQI data we embrace the reviewer’s first comment (see above) and focus more heavily on the psychological constructs (i.e., drowsiness) than on the underlying neural mechanism. However, we are currently embarking on a program of time frequency analyses and will seek to incorporate this suggestion in that work. We thank the reviewer again for this excellent suggestion.</w:t>
      </w:r>
    </w:p>
    <w:p w14:paraId="533B20EA" w14:textId="77777777" w:rsidR="009479E0" w:rsidRDefault="009479E0" w:rsidP="00871D9D"/>
    <w:p w14:paraId="1E6A938A" w14:textId="61E81A2D" w:rsidR="009479E0" w:rsidRDefault="009479E0" w:rsidP="00871D9D">
      <w:r>
        <w:t>7. “</w:t>
      </w:r>
      <w:r>
        <w:rPr>
          <w:i/>
        </w:rPr>
        <w:t xml:space="preserve">If mobility vs. </w:t>
      </w:r>
      <w:proofErr w:type="spellStart"/>
      <w:r>
        <w:rPr>
          <w:i/>
        </w:rPr>
        <w:t>animacy</w:t>
      </w:r>
      <w:proofErr w:type="spellEnd"/>
      <w:r>
        <w:rPr>
          <w:i/>
        </w:rPr>
        <w:t xml:space="preserve"> has such a big effect in controls, shouldn’t ERPs be presented broken down by this factor too?”</w:t>
      </w:r>
    </w:p>
    <w:p w14:paraId="204121CB" w14:textId="77777777" w:rsidR="009479E0" w:rsidRDefault="009479E0" w:rsidP="00871D9D"/>
    <w:p w14:paraId="7DBA1C5E" w14:textId="3DC325E5" w:rsidR="009479E0" w:rsidRDefault="009479E0" w:rsidP="00871D9D">
      <w:r>
        <w:t xml:space="preserve">We provide the information the reviewer is seeking in Figures 8 and 9 of the revised manuscript, which focus on Question versus Side comparisons for words from the </w:t>
      </w:r>
      <w:proofErr w:type="spellStart"/>
      <w:r>
        <w:t>animacy</w:t>
      </w:r>
      <w:proofErr w:type="spellEnd"/>
      <w:r>
        <w:t xml:space="preserve"> and mobility tasks, respectively. </w:t>
      </w:r>
      <w:r w:rsidR="008127F1">
        <w:t xml:space="preserve">For both tasks, we computed “Question minus Side” difference scores and submitted the whole-scalp data to mass </w:t>
      </w:r>
      <w:proofErr w:type="spellStart"/>
      <w:r w:rsidR="008127F1">
        <w:t>univariate</w:t>
      </w:r>
      <w:proofErr w:type="spellEnd"/>
      <w:r w:rsidR="008127F1">
        <w:t xml:space="preserve"> analysis. Because we saw no group differences for words from the </w:t>
      </w:r>
      <w:proofErr w:type="spellStart"/>
      <w:r w:rsidR="008127F1">
        <w:t>animacy</w:t>
      </w:r>
      <w:proofErr w:type="spellEnd"/>
      <w:r w:rsidR="008127F1">
        <w:t xml:space="preserve"> task, we computed another mass </w:t>
      </w:r>
      <w:proofErr w:type="spellStart"/>
      <w:r w:rsidR="008127F1">
        <w:t>univariate</w:t>
      </w:r>
      <w:proofErr w:type="spellEnd"/>
      <w:r w:rsidR="008127F1">
        <w:t xml:space="preserve"> analysis across the groups—this is presented in Figure 8. </w:t>
      </w:r>
      <w:r w:rsidR="006D433D">
        <w:t xml:space="preserve">Directly addressing the reviewer’s question, we also plot the waveforms for Question and Side trials from the most significant electrode(s) in each cluster in each time widow. Figure 8 shows that for words from the </w:t>
      </w:r>
      <w:proofErr w:type="spellStart"/>
      <w:r w:rsidR="006D433D">
        <w:t>animacy</w:t>
      </w:r>
      <w:proofErr w:type="spellEnd"/>
      <w:r w:rsidR="006D433D">
        <w:t xml:space="preserve">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w:t>
      </w:r>
      <w:proofErr w:type="spellStart"/>
      <w:r w:rsidR="00534447">
        <w:t>ms</w:t>
      </w:r>
      <w:proofErr w:type="spellEnd"/>
      <w:r w:rsidR="00534447">
        <w:t xml:space="preserve"> and 800-1400 </w:t>
      </w:r>
      <w:proofErr w:type="spellStart"/>
      <w:r w:rsidR="00534447">
        <w:t>ms</w:t>
      </w:r>
      <w:proofErr w:type="spellEnd"/>
      <w:r w:rsidR="00534447">
        <w:t xml:space="preserve">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w:t>
      </w:r>
      <w:proofErr w:type="spellStart"/>
      <w:r w:rsidR="00534447">
        <w:t>animacy</w:t>
      </w:r>
      <w:proofErr w:type="spellEnd"/>
      <w:r w:rsidR="00534447">
        <w:t xml:space="preserve">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proofErr w:type="gramStart"/>
      <w:r w:rsidR="00986FE0">
        <w:rPr>
          <w:i/>
        </w:rPr>
        <w:t>F</w:t>
      </w:r>
      <w:r w:rsidR="00986FE0">
        <w:t>(</w:t>
      </w:r>
      <w:proofErr w:type="gramEnd"/>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proofErr w:type="spellStart"/>
      <w:r w:rsidR="00986FE0">
        <w:rPr>
          <w:i/>
        </w:rPr>
        <w:t>F</w:t>
      </w:r>
      <w:r w:rsidR="00986FE0">
        <w:t>s</w:t>
      </w:r>
      <w:proofErr w:type="spellEnd"/>
      <w:r w:rsidR="00986FE0">
        <w:t xml:space="preserve"> &lt; 1</w:t>
      </w:r>
      <w:r w:rsidR="003A53C7">
        <w:t xml:space="preserve">.5, </w:t>
      </w:r>
      <w:proofErr w:type="spellStart"/>
      <w:r w:rsidR="003A53C7">
        <w:rPr>
          <w:i/>
        </w:rPr>
        <w:t>p</w:t>
      </w:r>
      <w:r w:rsidR="003A53C7">
        <w:t>s</w:t>
      </w:r>
      <w:proofErr w:type="spellEnd"/>
      <w:r w:rsidR="003A53C7">
        <w:t xml:space="preserve">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w:t>
      </w:r>
      <w:proofErr w:type="spellStart"/>
      <w:r>
        <w:rPr>
          <w:i/>
        </w:rPr>
        <w:t>slasting</w:t>
      </w:r>
      <w:proofErr w:type="spellEnd"/>
      <w:r>
        <w:rPr>
          <w:i/>
        </w:rPr>
        <w:t>’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23065BE7" w14:textId="77777777" w:rsidR="00844737" w:rsidRDefault="00A0766F" w:rsidP="00871D9D">
      <w:r>
        <w:t xml:space="preserve">We appreciate the reviewer’s excellent </w:t>
      </w:r>
      <w:r w:rsidR="006F1C62">
        <w:t>suggestion</w:t>
      </w:r>
      <w:r>
        <w:t xml:space="preserve"> and offer a two-point response. First, as noted in our response to Reviewer 5 (above), </w:t>
      </w:r>
      <w:r w:rsidR="006F1C62">
        <w:t xml:space="preserve">for clarity </w:t>
      </w:r>
      <w:r>
        <w:t xml:space="preserve">we </w:t>
      </w:r>
      <w:r w:rsidR="006F1C62">
        <w:t xml:space="preserve">have </w:t>
      </w:r>
      <w:r>
        <w:t xml:space="preserve">replaced the linear mixed models used in the original manuscript with </w:t>
      </w:r>
      <w:r>
        <w:rPr>
          <w:i/>
        </w:rPr>
        <w:t xml:space="preserve">Group </w:t>
      </w:r>
      <w:r>
        <w:t xml:space="preserve">x </w:t>
      </w:r>
      <w:r>
        <w:rPr>
          <w:i/>
        </w:rPr>
        <w:t xml:space="preserve">Cue </w:t>
      </w:r>
      <w:r>
        <w:t xml:space="preserve">x </w:t>
      </w:r>
      <w:r>
        <w:rPr>
          <w:i/>
        </w:rPr>
        <w:t xml:space="preserve">Encoding Task </w:t>
      </w:r>
      <w:r>
        <w:t xml:space="preserve">ANOVAs. Unfortunately, we were surprised to find that the triple interaction </w:t>
      </w:r>
      <w:r w:rsidR="006F1C62">
        <w:t>evident in</w:t>
      </w:r>
      <w:r>
        <w:t xml:space="preserve"> the linear models is not present in the ANOVA run on the accuracy data, and we state this in the revised manuscript (page </w:t>
      </w:r>
      <w:r w:rsidRPr="00A0766F">
        <w:rPr>
          <w:highlight w:val="yellow"/>
        </w:rPr>
        <w:t>X</w:t>
      </w:r>
      <w:r>
        <w:t xml:space="preserve">). However, the pattern of results is the same and there was a </w:t>
      </w:r>
      <w:r w:rsidR="006F1C62">
        <w:t xml:space="preserve">significant </w:t>
      </w:r>
      <w:r>
        <w:rPr>
          <w:i/>
        </w:rPr>
        <w:t xml:space="preserve">Group </w:t>
      </w:r>
      <w:r>
        <w:t>x</w:t>
      </w:r>
      <w:r>
        <w:rPr>
          <w:i/>
        </w:rPr>
        <w:t xml:space="preserve"> Cue</w:t>
      </w:r>
      <w:r>
        <w:t xml:space="preserve"> interaction for response</w:t>
      </w:r>
      <w:r w:rsidR="006F1C62">
        <w:t>s</w:t>
      </w:r>
      <w:r>
        <w:t xml:space="preserve"> to words from the mobility task, alongside a strong main effect of </w:t>
      </w:r>
      <w:r>
        <w:rPr>
          <w:i/>
        </w:rPr>
        <w:t>Cue</w:t>
      </w:r>
      <w:r>
        <w:t xml:space="preserve"> (but no </w:t>
      </w:r>
      <w:r>
        <w:rPr>
          <w:i/>
        </w:rPr>
        <w:t>Group</w:t>
      </w:r>
      <w:r>
        <w:t xml:space="preserve"> x </w:t>
      </w:r>
      <w:r>
        <w:rPr>
          <w:i/>
        </w:rPr>
        <w:t xml:space="preserve">Cue </w:t>
      </w:r>
      <w:r w:rsidR="006F1C62">
        <w:t>interaction) for</w:t>
      </w:r>
      <w:r>
        <w:t xml:space="preserve"> response</w:t>
      </w:r>
      <w:r w:rsidR="006F1C62">
        <w:t>s</w:t>
      </w:r>
      <w:r>
        <w:t xml:space="preserve"> to words from the </w:t>
      </w:r>
      <w:proofErr w:type="spellStart"/>
      <w:r>
        <w:t>animacy</w:t>
      </w:r>
      <w:proofErr w:type="spellEnd"/>
      <w:r>
        <w:t xml:space="preserve"> task.</w:t>
      </w:r>
      <w:r w:rsidR="006F1C62">
        <w:t xml:space="preserve"> Thus, the accuracy results are essentially unchanged despite th</w:t>
      </w:r>
      <w:r w:rsidR="00844737">
        <w:t>e lack of a triple interaction.</w:t>
      </w:r>
    </w:p>
    <w:p w14:paraId="1C333E2E" w14:textId="77777777" w:rsidR="00844737" w:rsidRDefault="00844737" w:rsidP="00871D9D"/>
    <w:p w14:paraId="087535A6" w14:textId="277BD638" w:rsidR="00A0766F" w:rsidRDefault="006F1C62" w:rsidP="00871D9D">
      <w:r>
        <w:t xml:space="preserve">Second, the critical ERPs shown in Figure 5 of the original manuscript, and now presented in Figure 9, actually reflect a two-way </w:t>
      </w:r>
      <w:r>
        <w:rPr>
          <w:i/>
        </w:rPr>
        <w:t xml:space="preserve">Group </w:t>
      </w:r>
      <w:r>
        <w:t xml:space="preserve">x </w:t>
      </w:r>
      <w:r>
        <w:rPr>
          <w:i/>
        </w:rPr>
        <w:t>Cue</w:t>
      </w:r>
      <w:r>
        <w:t xml:space="preserve"> interaction rather than a three-way interaction. As the reviewer noted, we computed Question minus Side difference waves separately for words from the </w:t>
      </w:r>
      <w:proofErr w:type="spellStart"/>
      <w:r>
        <w:t>animacy</w:t>
      </w:r>
      <w:proofErr w:type="spellEnd"/>
      <w:r>
        <w:t xml:space="preserve"> and mobility tasks in each group (thus isolating the </w:t>
      </w:r>
      <w:r>
        <w:rPr>
          <w:i/>
        </w:rPr>
        <w:t>Cue</w:t>
      </w:r>
      <w:r>
        <w:t xml:space="preserve"> effect at each level of task</w:t>
      </w:r>
      <w:r w:rsidR="00844737">
        <w:t xml:space="preserve"> and group</w:t>
      </w:r>
      <w:r>
        <w:t>), and the</w:t>
      </w:r>
      <w:r w:rsidR="00844737">
        <w:t>n we</w:t>
      </w:r>
      <w:r>
        <w:t xml:space="preserve"> </w:t>
      </w:r>
      <w:r w:rsidR="00844737">
        <w:t>computed between-group contrasts at each level of task;</w:t>
      </w:r>
      <w:r>
        <w:t xml:space="preserve"> we observed </w:t>
      </w:r>
      <w:r w:rsidR="00844737">
        <w:t xml:space="preserve">group differences </w:t>
      </w:r>
      <w:r>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which would have addressed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w:t>
      </w:r>
      <w:proofErr w:type="spellStart"/>
      <w:r w:rsidR="00A76A6B">
        <w:t>animacy</w:t>
      </w:r>
      <w:proofErr w:type="spellEnd"/>
      <w:r w:rsidR="00A76A6B">
        <w:t xml:space="preserve">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w:t>
      </w:r>
      <w:proofErr w:type="spellStart"/>
      <w:r w:rsidR="00844737">
        <w:t>animacy</w:t>
      </w:r>
      <w:proofErr w:type="spellEnd"/>
      <w:r w:rsidR="00844737">
        <w:t xml:space="preserve">) </w:t>
      </w:r>
      <w:r w:rsidR="00A76A6B">
        <w:t>ANOVA</w:t>
      </w:r>
      <w:r w:rsidR="00580F59">
        <w:t>s</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triple interactions for the 400-800 </w:t>
      </w:r>
      <w:proofErr w:type="spellStart"/>
      <w:r w:rsidR="00844737">
        <w:t>ms</w:t>
      </w:r>
      <w:proofErr w:type="spellEnd"/>
      <w:r w:rsidR="00844737">
        <w:t xml:space="preserve"> interval, </w:t>
      </w:r>
      <w:proofErr w:type="gramStart"/>
      <w:r w:rsidR="00844737">
        <w:rPr>
          <w:i/>
        </w:rPr>
        <w:t>F</w:t>
      </w:r>
      <w:r w:rsidR="00844737">
        <w:t>(</w:t>
      </w:r>
      <w:proofErr w:type="gramEnd"/>
      <w:r w:rsidR="00844737">
        <w:t xml:space="preserve">1, 46) = 8.23, </w:t>
      </w:r>
      <w:r w:rsidR="00844737">
        <w:rPr>
          <w:i/>
        </w:rPr>
        <w:t>p</w:t>
      </w:r>
      <w:r w:rsidR="00844737">
        <w:t xml:space="preserve"> = 0.006, and the 800-1400 </w:t>
      </w:r>
      <w:proofErr w:type="spellStart"/>
      <w:r w:rsidR="00844737">
        <w:t>ms</w:t>
      </w:r>
      <w:proofErr w:type="spellEnd"/>
      <w:r w:rsidR="00844737">
        <w:t xml:space="preserve"> interval, </w:t>
      </w:r>
      <w:r w:rsidR="00844737">
        <w:rPr>
          <w:i/>
        </w:rPr>
        <w:t>F</w:t>
      </w:r>
      <w:r w:rsidR="00844737">
        <w:t xml:space="preserve">(1, 46 )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proofErr w:type="spellStart"/>
      <w:r w:rsidR="00C73221">
        <w:rPr>
          <w:i/>
        </w:rPr>
        <w:t>Fs</w:t>
      </w:r>
      <w:proofErr w:type="spellEnd"/>
      <w:r w:rsidR="00C73221">
        <w:t xml:space="preserve"> &gt; 14.3, </w:t>
      </w:r>
      <w:proofErr w:type="spellStart"/>
      <w:r w:rsidR="00C73221">
        <w:rPr>
          <w:i/>
        </w:rPr>
        <w:t>p</w:t>
      </w:r>
      <w:r w:rsidR="00580F59">
        <w:t>s</w:t>
      </w:r>
      <w:proofErr w:type="spellEnd"/>
      <w:r w:rsidR="00580F59">
        <w:t xml:space="preserve"> &lt; 0.0005. B</w:t>
      </w:r>
      <w:r w:rsidR="00C73221">
        <w:t xml:space="preserve">y contrast, analysis of responses to words from the </w:t>
      </w:r>
      <w:proofErr w:type="spellStart"/>
      <w:r w:rsidR="00C73221">
        <w:t>animacy</w:t>
      </w:r>
      <w:proofErr w:type="spellEnd"/>
      <w:r w:rsidR="00C73221">
        <w:t xml:space="preserve"> task revealed only a main effect of </w:t>
      </w:r>
      <w:r w:rsidR="00C73221">
        <w:rPr>
          <w:i/>
        </w:rPr>
        <w:t>Group</w:t>
      </w:r>
      <w:r w:rsidR="00C73221">
        <w:t xml:space="preserve">, </w:t>
      </w:r>
      <w:proofErr w:type="gramStart"/>
      <w:r w:rsidR="00C73221">
        <w:rPr>
          <w:i/>
        </w:rPr>
        <w:t>F</w:t>
      </w:r>
      <w:r w:rsidR="00C73221">
        <w:t>(</w:t>
      </w:r>
      <w:proofErr w:type="gramEnd"/>
      <w:r w:rsidR="00C73221">
        <w:t xml:space="preserve">1, 46) = 3.89, </w:t>
      </w:r>
      <w:r w:rsidR="00C73221">
        <w:rPr>
          <w:i/>
        </w:rPr>
        <w:t>p</w:t>
      </w:r>
      <w:r w:rsidR="00C73221">
        <w:t xml:space="preserve"> = 0.05 in the later time window due to </w:t>
      </w:r>
      <w:r w:rsidR="00580F59">
        <w:t>reduced</w:t>
      </w:r>
      <w:r w:rsidR="00C73221">
        <w:t xml:space="preserve">  ERP amplitude in depressed versus healthy partic</w:t>
      </w:r>
      <w:r w:rsidR="00F24085">
        <w:t>i</w:t>
      </w:r>
      <w:r w:rsidR="00C73221">
        <w:t>pants.</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already presented</w:t>
      </w:r>
      <w:r w:rsidR="00F24085">
        <w:t>, we have opted to omit it. However, if the reviewer and editor feel that 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70273A71"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 xml:space="preserve">400-800 </w:t>
      </w:r>
      <w:proofErr w:type="spellStart"/>
      <w:r w:rsidRPr="000071FF">
        <w:rPr>
          <w:b/>
        </w:rPr>
        <w:t>ms</w:t>
      </w:r>
      <w:proofErr w:type="spellEnd"/>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 xml:space="preserve">800-1400 </w:t>
      </w:r>
      <w:proofErr w:type="spellStart"/>
      <w:r>
        <w:rPr>
          <w:b/>
        </w:rPr>
        <w:t>ms</w:t>
      </w:r>
      <w:proofErr w:type="spellEnd"/>
      <w:r>
        <w:t xml:space="preserve">; accuracy, </w:t>
      </w:r>
      <w:r>
        <w:rPr>
          <w:i/>
        </w:rPr>
        <w:t>r</w:t>
      </w:r>
      <w:r>
        <w:t xml:space="preserve"> = 0.28, </w:t>
      </w:r>
      <w:r>
        <w:rPr>
          <w:i/>
        </w:rPr>
        <w:t>p</w:t>
      </w:r>
      <w:r>
        <w:t xml:space="preserve"> = 0.05; confidence, </w:t>
      </w:r>
      <w:r>
        <w:rPr>
          <w:i/>
        </w:rPr>
        <w:t>r</w:t>
      </w:r>
      <w:r>
        <w:t xml:space="preserve">  = 0.28, </w:t>
      </w:r>
      <w:r>
        <w:rPr>
          <w:i/>
        </w:rPr>
        <w:t>p</w:t>
      </w:r>
      <w:r>
        <w:t xml:space="preserve"> = 0.05). However, when we restricted these correlations to the MDD group, nothing approached significance, all </w:t>
      </w:r>
      <w:proofErr w:type="spellStart"/>
      <w:r>
        <w:rPr>
          <w:i/>
        </w:rPr>
        <w:t>ps</w:t>
      </w:r>
      <w:proofErr w:type="spellEnd"/>
      <w:r>
        <w:t xml:space="preserve"> &gt; 0.</w:t>
      </w:r>
      <w:r w:rsidR="00752F21">
        <w:t>12</w:t>
      </w:r>
      <w:r>
        <w:t>.</w:t>
      </w:r>
      <w:r w:rsidR="00752F21">
        <w:t xml:space="preserve"> To use this suggests that there is a relationship among these variables, but it is probably of modest size such that analysis in either group considered alone is 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718B755C" w:rsidR="00EB4382" w:rsidRDefault="0095318E" w:rsidP="00871D9D">
      <w:r>
        <w:t xml:space="preserve">We thank the reviewer for these excellent questions, which have resulted in some new and intriguing findings. First, </w:t>
      </w:r>
      <w:r w:rsidR="00065203">
        <w:t xml:space="preserve">with respect to </w:t>
      </w:r>
      <w:r>
        <w:t>prevalence rates</w:t>
      </w:r>
      <w:r w:rsidR="00065203">
        <w:t>, assessm</w:t>
      </w:r>
      <w:r w:rsidR="00BB49C9">
        <w:t xml:space="preserve">ent with the MINI revealed that, </w:t>
      </w:r>
      <w:r w:rsidR="00065203">
        <w:t>of our</w:t>
      </w:r>
      <w:r>
        <w:t xml:space="preserve"> 24 depressed adults</w:t>
      </w:r>
      <w:r w:rsidR="00BB49C9">
        <w:t xml:space="preserve">: </w:t>
      </w:r>
      <w:bookmarkStart w:id="0" w:name="_GoBack"/>
      <w:r w:rsidR="00BB49C9">
        <w:t>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bookmarkEnd w:id="0"/>
      <w:r w:rsidR="00065203">
        <w:t xml:space="preserve">. We have </w:t>
      </w:r>
      <w:r w:rsidR="00065203" w:rsidRPr="00065203">
        <w:rPr>
          <w:highlight w:val="yellow"/>
        </w:rPr>
        <w:t>added this information</w:t>
      </w:r>
      <w:r w:rsidR="00065203">
        <w:t xml:space="preserve"> in the note to Table 1. </w:t>
      </w:r>
    </w:p>
    <w:p w14:paraId="03C5B2DD" w14:textId="77777777" w:rsidR="00EB4382" w:rsidRDefault="00EB4382" w:rsidP="00871D9D"/>
    <w:p w14:paraId="31AA2C29" w14:textId="3645FC56" w:rsidR="006805CA" w:rsidRDefault="00817095" w:rsidP="00C02D1E">
      <w:r>
        <w:t xml:space="preserve">Second, we appreciate the reviewer’s suggestion to look more closely at individual differences in anxiety, as measured by the MASQ. We initially conceptualized the MASQ-GDA (general distress due to anxiety) and MASQ-AA (anxious arousal) scales solely as control measures, because—as the reviewer likely knows—the classic </w:t>
      </w:r>
      <w:r w:rsidR="00EB4382">
        <w:t>account is</w:t>
      </w:r>
      <w:r>
        <w:t xml:space="preserve"> that anxiety impacts some forms of priming but leaves episodic memory intact, while the reverse tends to be true in depression</w:t>
      </w:r>
      <w:r w:rsidR="00EB4382">
        <w:t xml:space="preserve"> </w:t>
      </w:r>
      <w:r w:rsidR="00EB4382">
        <w:fldChar w:fldCharType="begin" w:fldLock="1"/>
      </w:r>
      <w:r w:rsidR="00EB4382">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"mendeley" : { "formattedCitation" : "(Williams, Watts, MacLeod, &amp; Mathews, 1988)", "plainTextFormattedCitation" : "(Williams, Watts, MacLeod, &amp; Mathews, 1988)" }, "properties" : { "noteIndex" : 0 }, "schema" : "https://github.com/citation-style-language/schema/raw/master/csl-citation.json" }</w:instrText>
      </w:r>
      <w:r w:rsidR="00EB4382">
        <w:fldChar w:fldCharType="separate"/>
      </w:r>
      <w:r w:rsidR="00EB4382" w:rsidRPr="00EB4382">
        <w:rPr>
          <w:noProof/>
        </w:rPr>
        <w:t>(Williams, Watts, MacLeod, &amp; Mathews, 1988)</w:t>
      </w:r>
      <w:r w:rsidR="00EB4382">
        <w:fldChar w:fldCharType="end"/>
      </w:r>
      <w:r w:rsidR="00EB4382">
        <w:t>. Consequently, we did not expect anxiety to influence performance in our task. However, in response to the reviewer’s question we conducted additional correlational analyses and found that both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Question minus Side source accuracy for words from the mobility task in the MDD group. They were the only individual difference measures that showed such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Indeed, when we ran stepwise regressions predicting Question minus Side accuracy (for mobility words) in which BDI-II scores were included in Step 1 and either MASQ-GDA or MASQ-AA were included in Step 2, neither regression yielded a significant effect for the anxiety measures (</w:t>
      </w:r>
      <w:r w:rsidR="006805CA">
        <w:rPr>
          <w:lang w:val="el-GR"/>
        </w:rPr>
        <w:t>χ</w:t>
      </w:r>
      <w:r w:rsidR="006805CA">
        <w:rPr>
          <w:vertAlign w:val="superscript"/>
        </w:rPr>
        <w:t>2</w:t>
      </w:r>
      <w:r w:rsidR="006805CA">
        <w:t xml:space="preserve"> &lt; 2.7, </w:t>
      </w:r>
      <w:proofErr w:type="spellStart"/>
      <w:r w:rsidR="006805CA">
        <w:rPr>
          <w:i/>
        </w:rPr>
        <w:t>p</w:t>
      </w:r>
      <w:r w:rsidR="006805CA">
        <w:t>s</w:t>
      </w:r>
      <w:proofErr w:type="spellEnd"/>
      <w:r w:rsidR="006805CA">
        <w:t xml:space="preserve"> &gt; 0.11). This is actually not terribly surprising, as these three self-report measures were highly correlated with each other (</w:t>
      </w:r>
      <w:proofErr w:type="spellStart"/>
      <w:r w:rsidR="006805CA">
        <w:rPr>
          <w:i/>
        </w:rPr>
        <w:t>rs</w:t>
      </w:r>
      <w:proofErr w:type="spellEnd"/>
      <w:r w:rsidR="006805CA">
        <w:t xml:space="preserve"> &gt; 0.68, </w:t>
      </w:r>
      <w:proofErr w:type="spellStart"/>
      <w:r w:rsidR="006805CA">
        <w:rPr>
          <w:i/>
        </w:rPr>
        <w:t>p</w:t>
      </w:r>
      <w:r w:rsidR="006805CA">
        <w:t>s</w:t>
      </w:r>
      <w:proofErr w:type="spellEnd"/>
      <w:r w:rsidR="006805CA">
        <w:t xml:space="preserve"> &lt; 0.0002) despite the fact that they are designed to measure distinct aspects of psychopathology. We have described these analyses in the manuscript on page </w:t>
      </w:r>
      <w:r w:rsidR="006805CA" w:rsidRPr="006805CA">
        <w:rPr>
          <w:highlight w:val="yellow"/>
        </w:rPr>
        <w:t>X</w:t>
      </w:r>
      <w:r w:rsidR="006805CA">
        <w:t>, and although we do not think they support an argument for a strong, selective effect of anxiety on memory, they certainly indicate that anxiety should be investigated in future studies of memory in depressed adults.</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nd the ERPs plotted in Figure 9; we did not find any such relationship (|</w:t>
      </w:r>
      <w:proofErr w:type="spellStart"/>
      <w:r w:rsidR="005E2008">
        <w:rPr>
          <w:i/>
        </w:rPr>
        <w:t>r</w:t>
      </w:r>
      <w:r w:rsidR="005E2008">
        <w:t>|s</w:t>
      </w:r>
      <w:proofErr w:type="spellEnd"/>
      <w:r w:rsidR="005E2008">
        <w:t xml:space="preserve"> &lt; 0.17, </w:t>
      </w:r>
      <w:proofErr w:type="spellStart"/>
      <w:r w:rsidR="005E2008">
        <w:rPr>
          <w:i/>
        </w:rPr>
        <w:t>p</w:t>
      </w:r>
      <w:r w:rsidR="005E2008">
        <w:t>s</w:t>
      </w:r>
      <w:proofErr w:type="spellEnd"/>
      <w:r w:rsidR="005E2008">
        <w:t xml:space="preserve">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65012E04" w:rsidR="00FF467B" w:rsidRDefault="00FF467B" w:rsidP="00C02D1E">
      <w:r>
        <w:t xml:space="preserve">We wholeheartedly agree with the reviewer on this point—unfortunately, space limitations made it difficult for us to expound on our rationale in the original manuscript. We do so in the revised manuscript on page </w:t>
      </w:r>
      <w:r w:rsidRPr="00FF467B">
        <w:rPr>
          <w:highlight w:val="yellow"/>
        </w:rPr>
        <w:t>X</w:t>
      </w:r>
      <w:r>
        <w:t>. Briefly, because sleep plays an essential role in concentration and episodic memory, we reasoned that fatigue might impair performance in our difficult source memory task. As the reviewer notes, sleep disruption is common in depression (and other psychiatric disorders), and thus we were concerned that group differences in sleep quality could confound our results. It was on this basis that we decided to measure sleep and examine its relationship with memory accuracy and ERP amplitudes.</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03AC7DA" w:rsidR="00A45398" w:rsidRDefault="00A45398" w:rsidP="00C02D1E">
      <w:r>
        <w:t xml:space="preserve">Thank you for this suggestion—we now clarify the nature of the key interactions in the Introduction, on page </w:t>
      </w:r>
      <w:r w:rsidRPr="00A45398">
        <w:rPr>
          <w:highlight w:val="yellow"/>
        </w:rPr>
        <w:t>X</w:t>
      </w:r>
      <w:r>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768F57E3" w:rsidR="00575521" w:rsidRDefault="00575521" w:rsidP="00C02D1E">
      <w:r>
        <w:t xml:space="preserve">The reviewer is completely correct—we apologize for the lack of clarity. This passage has been revised, please see page </w:t>
      </w:r>
      <w:r w:rsidRPr="00575521">
        <w:rPr>
          <w:highlight w:val="yellow"/>
        </w:rPr>
        <w:t>X</w:t>
      </w:r>
      <w:r>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6A16653C" w:rsidR="008219BF" w:rsidRPr="008219BF" w:rsidRDefault="008219BF" w:rsidP="00C02D1E">
      <w:pPr>
        <w:rPr>
          <w:u w:val="single"/>
        </w:rPr>
      </w:pPr>
      <w:r>
        <w:t>We have taken this excellent suggestion—thank you!</w:t>
      </w:r>
    </w:p>
    <w:p w14:paraId="70B77005" w14:textId="77777777" w:rsidR="007F2D26" w:rsidRDefault="007F2D26" w:rsidP="00C02D1E">
      <w:pPr>
        <w:rPr>
          <w:u w:val="single"/>
        </w:rPr>
      </w:pPr>
    </w:p>
    <w:p w14:paraId="4851666D"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Default="00C02D1E" w:rsidP="00C02D1E">
      <w:r>
        <w:rPr>
          <w:u w:val="single"/>
        </w:rPr>
        <w:t>Replies to Reviewer 1</w:t>
      </w:r>
    </w:p>
    <w:p w14:paraId="1908F59D" w14:textId="77777777" w:rsidR="00C02D1E" w:rsidRDefault="00C02D1E" w:rsidP="00C02D1E"/>
    <w:p w14:paraId="728184AD" w14:textId="6A1A3984" w:rsidR="00C02D1E" w:rsidRDefault="00C02D1E" w:rsidP="00C02D1E">
      <w:r>
        <w:t xml:space="preserve">1. </w:t>
      </w:r>
      <w:r w:rsidR="00B9476C">
        <w:rPr>
          <w:i/>
        </w:rPr>
        <w:t>The selection and matching of the HC and MDD groups is a strength. D</w:t>
      </w:r>
      <w:r>
        <w:rPr>
          <w:i/>
        </w:rPr>
        <w:t xml:space="preserve">o the effects still hold when </w:t>
      </w:r>
      <w:proofErr w:type="spellStart"/>
      <w:r>
        <w:rPr>
          <w:i/>
        </w:rPr>
        <w:t>covarying</w:t>
      </w:r>
      <w:proofErr w:type="spellEnd"/>
      <w:r>
        <w:rPr>
          <w:i/>
        </w:rPr>
        <w:t xml:space="preserve"> education</w:t>
      </w:r>
      <w:r w:rsidR="002E44BC">
        <w:rPr>
          <w:i/>
        </w:rPr>
        <w:t xml:space="preserve"> or IQ</w:t>
      </w:r>
      <w:r>
        <w:t>?</w:t>
      </w:r>
      <w:r w:rsidR="00B9476C">
        <w:t xml:space="preserve"> </w:t>
      </w:r>
    </w:p>
    <w:p w14:paraId="170C197D" w14:textId="77777777" w:rsidR="00B9476C" w:rsidRDefault="00B9476C" w:rsidP="00C02D1E"/>
    <w:p w14:paraId="15D1CBC9" w14:textId="49D2E451" w:rsidR="003B3BFB" w:rsidRDefault="00B9476C" w:rsidP="00C02D1E">
      <w:r>
        <w:t>Thank you for this question. As you noted, the groups are closely matched and do not differ on years of education</w:t>
      </w:r>
      <w:r w:rsidR="002E44BC">
        <w:t xml:space="preserve"> or IQ, as estimated by WTAR scores</w:t>
      </w:r>
      <w:r>
        <w:t>.</w:t>
      </w:r>
      <w:r w:rsidR="002E44BC">
        <w:t xml:space="preserve"> </w:t>
      </w:r>
    </w:p>
    <w:p w14:paraId="3A8DCF51" w14:textId="77777777" w:rsidR="003B3BFB" w:rsidRDefault="003B3BFB">
      <w:r>
        <w:br w:type="page"/>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71FF"/>
    <w:rsid w:val="0000752D"/>
    <w:rsid w:val="000248C8"/>
    <w:rsid w:val="0003723A"/>
    <w:rsid w:val="000539CB"/>
    <w:rsid w:val="00065203"/>
    <w:rsid w:val="00076123"/>
    <w:rsid w:val="00095994"/>
    <w:rsid w:val="000A669B"/>
    <w:rsid w:val="000B2DC0"/>
    <w:rsid w:val="000B5282"/>
    <w:rsid w:val="000C1EC6"/>
    <w:rsid w:val="000E0D68"/>
    <w:rsid w:val="000F0C15"/>
    <w:rsid w:val="000F18B2"/>
    <w:rsid w:val="00111BA0"/>
    <w:rsid w:val="0013250C"/>
    <w:rsid w:val="001337A2"/>
    <w:rsid w:val="00136816"/>
    <w:rsid w:val="0014162B"/>
    <w:rsid w:val="00151A56"/>
    <w:rsid w:val="001527F1"/>
    <w:rsid w:val="00170D44"/>
    <w:rsid w:val="00185471"/>
    <w:rsid w:val="001908A7"/>
    <w:rsid w:val="001A1E80"/>
    <w:rsid w:val="001A4B50"/>
    <w:rsid w:val="001B2EDE"/>
    <w:rsid w:val="00204BAC"/>
    <w:rsid w:val="0021409A"/>
    <w:rsid w:val="00223783"/>
    <w:rsid w:val="00265899"/>
    <w:rsid w:val="00265BB5"/>
    <w:rsid w:val="00270163"/>
    <w:rsid w:val="0028382F"/>
    <w:rsid w:val="002852E7"/>
    <w:rsid w:val="002A402C"/>
    <w:rsid w:val="002B781E"/>
    <w:rsid w:val="002C24F1"/>
    <w:rsid w:val="002E36EE"/>
    <w:rsid w:val="002E44BC"/>
    <w:rsid w:val="002E6480"/>
    <w:rsid w:val="00317ECC"/>
    <w:rsid w:val="00356336"/>
    <w:rsid w:val="003607CB"/>
    <w:rsid w:val="003906F8"/>
    <w:rsid w:val="003959CC"/>
    <w:rsid w:val="00396AEC"/>
    <w:rsid w:val="003A1E7D"/>
    <w:rsid w:val="003A4828"/>
    <w:rsid w:val="003A53C7"/>
    <w:rsid w:val="003A56D1"/>
    <w:rsid w:val="003B3BFB"/>
    <w:rsid w:val="003C5D1D"/>
    <w:rsid w:val="003D4617"/>
    <w:rsid w:val="003F63B5"/>
    <w:rsid w:val="00402F4F"/>
    <w:rsid w:val="00424EE4"/>
    <w:rsid w:val="00431F42"/>
    <w:rsid w:val="004376E8"/>
    <w:rsid w:val="004671EB"/>
    <w:rsid w:val="00480FDE"/>
    <w:rsid w:val="004A1446"/>
    <w:rsid w:val="004A3518"/>
    <w:rsid w:val="004A5759"/>
    <w:rsid w:val="004B105E"/>
    <w:rsid w:val="004B4B84"/>
    <w:rsid w:val="004D1109"/>
    <w:rsid w:val="004D1B3A"/>
    <w:rsid w:val="004E2704"/>
    <w:rsid w:val="004F1911"/>
    <w:rsid w:val="004F590E"/>
    <w:rsid w:val="00507161"/>
    <w:rsid w:val="0051659D"/>
    <w:rsid w:val="00516EE5"/>
    <w:rsid w:val="00523B1B"/>
    <w:rsid w:val="00534447"/>
    <w:rsid w:val="00554692"/>
    <w:rsid w:val="00571437"/>
    <w:rsid w:val="00575521"/>
    <w:rsid w:val="00576E8D"/>
    <w:rsid w:val="00580F59"/>
    <w:rsid w:val="005946CA"/>
    <w:rsid w:val="00597B01"/>
    <w:rsid w:val="005A545E"/>
    <w:rsid w:val="005C4378"/>
    <w:rsid w:val="005E1BC8"/>
    <w:rsid w:val="005E2008"/>
    <w:rsid w:val="005E62B9"/>
    <w:rsid w:val="005E7448"/>
    <w:rsid w:val="006440A7"/>
    <w:rsid w:val="00645208"/>
    <w:rsid w:val="006453FA"/>
    <w:rsid w:val="00645ACD"/>
    <w:rsid w:val="00657A67"/>
    <w:rsid w:val="006805CA"/>
    <w:rsid w:val="006816C0"/>
    <w:rsid w:val="00685FF8"/>
    <w:rsid w:val="00693818"/>
    <w:rsid w:val="006C402A"/>
    <w:rsid w:val="006D1442"/>
    <w:rsid w:val="006D433D"/>
    <w:rsid w:val="006E5420"/>
    <w:rsid w:val="006F0F42"/>
    <w:rsid w:val="006F1BDD"/>
    <w:rsid w:val="006F1C62"/>
    <w:rsid w:val="00711B47"/>
    <w:rsid w:val="00726135"/>
    <w:rsid w:val="00731FE8"/>
    <w:rsid w:val="007470C9"/>
    <w:rsid w:val="00752F21"/>
    <w:rsid w:val="00766FC6"/>
    <w:rsid w:val="007677AF"/>
    <w:rsid w:val="007702B1"/>
    <w:rsid w:val="00773074"/>
    <w:rsid w:val="007A2302"/>
    <w:rsid w:val="007B37D3"/>
    <w:rsid w:val="007F2D26"/>
    <w:rsid w:val="0081147F"/>
    <w:rsid w:val="008127F1"/>
    <w:rsid w:val="00817095"/>
    <w:rsid w:val="00821935"/>
    <w:rsid w:val="008219BF"/>
    <w:rsid w:val="008228AA"/>
    <w:rsid w:val="00835B3D"/>
    <w:rsid w:val="00844737"/>
    <w:rsid w:val="00847536"/>
    <w:rsid w:val="00871D9D"/>
    <w:rsid w:val="0088519E"/>
    <w:rsid w:val="008862CA"/>
    <w:rsid w:val="008921C6"/>
    <w:rsid w:val="008A14A0"/>
    <w:rsid w:val="008D51B2"/>
    <w:rsid w:val="008D55C9"/>
    <w:rsid w:val="008D6E82"/>
    <w:rsid w:val="008E1056"/>
    <w:rsid w:val="008E4837"/>
    <w:rsid w:val="009115B3"/>
    <w:rsid w:val="009162E6"/>
    <w:rsid w:val="009220B3"/>
    <w:rsid w:val="009344AF"/>
    <w:rsid w:val="00946ECF"/>
    <w:rsid w:val="009479E0"/>
    <w:rsid w:val="0095318E"/>
    <w:rsid w:val="0096670A"/>
    <w:rsid w:val="00986FE0"/>
    <w:rsid w:val="009B538E"/>
    <w:rsid w:val="009C7AC4"/>
    <w:rsid w:val="009D5D19"/>
    <w:rsid w:val="009F25DB"/>
    <w:rsid w:val="009F415C"/>
    <w:rsid w:val="00A01DA0"/>
    <w:rsid w:val="00A0766F"/>
    <w:rsid w:val="00A40B8B"/>
    <w:rsid w:val="00A43468"/>
    <w:rsid w:val="00A45398"/>
    <w:rsid w:val="00A5394C"/>
    <w:rsid w:val="00A576E3"/>
    <w:rsid w:val="00A63BC7"/>
    <w:rsid w:val="00A76A6B"/>
    <w:rsid w:val="00AA1F9C"/>
    <w:rsid w:val="00AA75F3"/>
    <w:rsid w:val="00AB03A6"/>
    <w:rsid w:val="00AB622D"/>
    <w:rsid w:val="00AC64DF"/>
    <w:rsid w:val="00AD4BC5"/>
    <w:rsid w:val="00B47D46"/>
    <w:rsid w:val="00B61D77"/>
    <w:rsid w:val="00B8568C"/>
    <w:rsid w:val="00B9476C"/>
    <w:rsid w:val="00B96B30"/>
    <w:rsid w:val="00BA2E97"/>
    <w:rsid w:val="00BB49C9"/>
    <w:rsid w:val="00BC0969"/>
    <w:rsid w:val="00BD2126"/>
    <w:rsid w:val="00BE4681"/>
    <w:rsid w:val="00BF2992"/>
    <w:rsid w:val="00C02D1E"/>
    <w:rsid w:val="00C03D23"/>
    <w:rsid w:val="00C10F43"/>
    <w:rsid w:val="00C22FC1"/>
    <w:rsid w:val="00C3109C"/>
    <w:rsid w:val="00C52CEC"/>
    <w:rsid w:val="00C73221"/>
    <w:rsid w:val="00C86403"/>
    <w:rsid w:val="00CC4D72"/>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A65EB"/>
    <w:rsid w:val="00DC2A10"/>
    <w:rsid w:val="00DD73F2"/>
    <w:rsid w:val="00DE5467"/>
    <w:rsid w:val="00E04EF2"/>
    <w:rsid w:val="00E13D57"/>
    <w:rsid w:val="00E372A1"/>
    <w:rsid w:val="00E42301"/>
    <w:rsid w:val="00E70447"/>
    <w:rsid w:val="00E9359C"/>
    <w:rsid w:val="00EA0558"/>
    <w:rsid w:val="00EA4EE3"/>
    <w:rsid w:val="00EA67A4"/>
    <w:rsid w:val="00EB4382"/>
    <w:rsid w:val="00EE3702"/>
    <w:rsid w:val="00F07C51"/>
    <w:rsid w:val="00F1212B"/>
    <w:rsid w:val="00F16E17"/>
    <w:rsid w:val="00F1748F"/>
    <w:rsid w:val="00F24085"/>
    <w:rsid w:val="00F50EB7"/>
    <w:rsid w:val="00F53894"/>
    <w:rsid w:val="00F84845"/>
    <w:rsid w:val="00F853F0"/>
    <w:rsid w:val="00F9622A"/>
    <w:rsid w:val="00FB5FA5"/>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20</Pages>
  <Words>18468</Words>
  <Characters>105274</Characters>
  <Application>Microsoft Macintosh Word</Application>
  <DocSecurity>0</DocSecurity>
  <Lines>877</Lines>
  <Paragraphs>246</Paragraphs>
  <ScaleCrop>false</ScaleCrop>
  <Company>Harvard University</Company>
  <LinksUpToDate>false</LinksUpToDate>
  <CharactersWithSpaces>123496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177</cp:revision>
  <cp:lastPrinted>2017-02-21T20:15:00Z</cp:lastPrinted>
  <dcterms:created xsi:type="dcterms:W3CDTF">2016-12-22T18:17:00Z</dcterms:created>
  <dcterms:modified xsi:type="dcterms:W3CDTF">2017-02-21T21:37:00Z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