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w:t>
      </w:r>
      <w:proofErr w:type="spellStart"/>
      <w:r w:rsidR="0043414A">
        <w:rPr>
          <w:rFonts w:cs="Times New Roman"/>
        </w:rPr>
        <w:t>animacy</w:t>
      </w:r>
      <w:proofErr w:type="spellEnd"/>
      <w:r w:rsidR="0043414A">
        <w:rPr>
          <w:rFonts w:cs="Times New Roman"/>
        </w:rPr>
        <w:t xml:space="preserve"> judgments, </w:t>
      </w:r>
      <w:r w:rsidR="002F15B4">
        <w:rPr>
          <w:rFonts w:cs="Times New Roman"/>
        </w:rPr>
        <w:t xml:space="preserve">suggesting deeper encoding. At retrieval, </w:t>
      </w:r>
      <w:proofErr w:type="spellStart"/>
      <w:proofErr w:type="gramStart"/>
      <w:r w:rsidR="00203449">
        <w:rPr>
          <w:rFonts w:cs="Times New Roman"/>
        </w:rPr>
        <w:t>emory</w:t>
      </w:r>
      <w:proofErr w:type="spellEnd"/>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proofErr w:type="spellStart"/>
      <w:r w:rsidR="000F7235">
        <w:rPr>
          <w:rFonts w:cs="Times New Roman"/>
        </w:rPr>
        <w:t>s</w:t>
      </w:r>
      <w:r w:rsidR="005D1AE0">
        <w:rPr>
          <w:rFonts w:cs="Times New Roman"/>
        </w:rPr>
        <w:t>lasting</w:t>
      </w:r>
      <w:proofErr w:type="spellEnd"/>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proofErr w:type="spellStart"/>
      <w:r w:rsidR="00BB6D64">
        <w:rPr>
          <w:rFonts w:cs="Times New Roman"/>
        </w:rPr>
        <w:t>overgeneral</w:t>
      </w:r>
      <w:proofErr w:type="spellEnd"/>
      <w:r w:rsidR="00BB6D64">
        <w:rPr>
          <w:rFonts w:cs="Times New Roman"/>
        </w:rPr>
        <w:t xml:space="preserve">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w:t>
      </w:r>
      <w:proofErr w:type="spellStart"/>
      <w:r w:rsidR="000A0B95">
        <w:rPr>
          <w:rFonts w:cs="Times New Roman"/>
        </w:rPr>
        <w:t>overgeneral</w:t>
      </w:r>
      <w:proofErr w:type="spellEnd"/>
      <w:r w:rsidR="000A0B95">
        <w:rPr>
          <w:rFonts w:cs="Times New Roman"/>
        </w:rPr>
        <w:t xml:space="preserve">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2DDADC26"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w:t>
      </w:r>
      <w:r w:rsidR="007F0C9A">
        <w:rPr>
          <w:rFonts w:cs="Times New Roman"/>
        </w:rPr>
        <w:t>vs.</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9F7EBF9"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722AEE">
        <w:t xml:space="preserve">Participants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participants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(the accepted cut-off for mild depression), and reported no other Axis I psychopathology with the exception of generalized anxiety, social anxiety, and/or 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w:t>
      </w:r>
      <w:r w:rsidR="00223CE9">
        <w:rPr>
          <w:rFonts w:cs="Times New Roman"/>
        </w:rPr>
        <w:lastRenderedPageBreak/>
        <w:t xml:space="preserve">administering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04B8E07A"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there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xml:space="preserve">. Thus, we expected to find negative relationships between these measures on the 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lastRenderedPageBreak/>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6876A141"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7F0C9A">
        <w:rPr>
          <w:rFonts w:cs="Times New Roman"/>
        </w:rPr>
        <w:lastRenderedPageBreak/>
        <w:t>vs.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E73B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 "plainTextFormattedCitation" : "(Starns &amp; Hicks, 2005)", "previouslyFormattedCitation" : "(Starns &amp; Hicks, 2005)" }, "properties" : { "noteIndex" : 0 }, "schema" : "https://github.com/citation-style-language/schema/raw/master/csl-citation.json" }</w:instrText>
      </w:r>
      <w:r w:rsidR="00FB188D">
        <w:rPr>
          <w:rFonts w:cs="Times New Roman"/>
        </w:rPr>
        <w:fldChar w:fldCharType="separate"/>
      </w:r>
      <w:r w:rsidR="00FB188D" w:rsidRPr="00FB188D">
        <w:rPr>
          <w:rFonts w:cs="Times New Roman"/>
          <w:noProof/>
        </w:rPr>
        <w:t>(Starns &amp; Hicks, 2005)</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DA6CDC">
        <w:rPr>
          <w:rFonts w:cs="Times New Roman"/>
        </w:rPr>
        <w:t>“guess”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1D974803" w:rsidR="003F0C66" w:rsidRPr="003D26D4" w:rsidRDefault="00741E7A" w:rsidP="003F0C66">
      <w:pPr>
        <w:spacing w:line="480" w:lineRule="auto"/>
        <w:ind w:firstLine="720"/>
        <w:rPr>
          <w:rFonts w:eastAsia="Times New Roman" w:cs="Times New Roman"/>
          <w:shd w:val="clear" w:color="auto" w:fill="FFFFFF"/>
        </w:rPr>
      </w:pPr>
      <w:proofErr w:type="gramStart"/>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w:t>
      </w:r>
      <w:proofErr w:type="gramEnd"/>
      <w:r w:rsidR="00FC2986">
        <w:rPr>
          <w:rFonts w:eastAsia="Times New Roman" w:cs="Times New Roman"/>
          <w:shd w:val="clear" w:color="auto" w:fill="FFFFFF"/>
        </w:rPr>
        <w:t xml:space="preserv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proofErr w:type="gramStart"/>
      <w:r w:rsidR="00413742">
        <w:rPr>
          <w:rFonts w:eastAsia="Times New Roman" w:cs="Times New Roman"/>
          <w:shd w:val="clear" w:color="auto" w:fill="FFFFFF"/>
        </w:rPr>
        <w:t>A</w:t>
      </w:r>
      <w:r w:rsidR="00E23312">
        <w:rPr>
          <w:rFonts w:eastAsia="Times New Roman" w:cs="Times New Roman"/>
          <w:shd w:val="clear" w:color="auto" w:fill="FFFFFF"/>
        </w:rPr>
        <w:t xml:space="preserve">nalysis </w:t>
      </w:r>
      <w:r w:rsidR="007F4BC9">
        <w:rPr>
          <w:rFonts w:eastAsia="Times New Roman" w:cs="Times New Roman"/>
          <w:shd w:val="clear" w:color="auto" w:fill="FFFFFF"/>
        </w:rPr>
        <w:t>.</w:t>
      </w:r>
      <w:r w:rsidR="00E23312">
        <w:rPr>
          <w:rFonts w:eastAsia="Times New Roman" w:cs="Times New Roman"/>
          <w:shd w:val="clear" w:color="auto" w:fill="FFFFFF"/>
        </w:rPr>
        <w:t>involved</w:t>
      </w:r>
      <w:proofErr w:type="gramEnd"/>
      <w:r w:rsidR="00E23312">
        <w:rPr>
          <w:rFonts w:eastAsia="Times New Roman" w:cs="Times New Roman"/>
          <w:shd w:val="clear" w:color="auto" w:fill="FFFFFF"/>
        </w:rPr>
        <w:t xml:space="preserve">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8F3024">
        <w:rPr>
          <w:rFonts w:eastAsia="Times New Roman" w:cs="Times New Roman"/>
          <w:i/>
          <w:shd w:val="clear" w:color="auto" w:fill="FFFFFF"/>
        </w:rPr>
        <w:t>afex</w:t>
      </w:r>
      <w:proofErr w:type="spellEnd"/>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lastRenderedPageBreak/>
        <w:t>E</w:t>
      </w:r>
      <w:r w:rsidR="00507588">
        <w:rPr>
          <w:rFonts w:cs="Times New Roman"/>
          <w:b/>
        </w:rPr>
        <w:t>RP</w:t>
      </w:r>
      <w:r>
        <w:rPr>
          <w:rFonts w:cs="Times New Roman"/>
          <w:b/>
        </w:rPr>
        <w:t xml:space="preserve"> Analysis</w:t>
      </w:r>
    </w:p>
    <w:p w14:paraId="2DBD97AA" w14:textId="49B38755"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E0698E">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Dobbins &amp; Wagner, 2005; Han, O\u02bcconnor, Eslick, &amp; Dobbins, n.d.)", "plainTextFormattedCitation" : "(Bergstr\u00f6m et al., 2013; Dobbins &amp; Wagner, 2005; Han, O'connor, Eslick, &amp; Dobbins, n.d.)", "previouslyFormattedCitation" : "(Bergstr\u00f6m et al., 2013; Dobbins &amp; Wagner, 2005; Han, O\u02bcconnor, Eslick, &amp; Dobbins, n.d.)" }, "properties" : { "noteIndex" : 0 }, "schema" : "https://github.com/citation-style-language/schema/raw/master/csl-citation.json" }</w:instrText>
      </w:r>
      <w:r w:rsidR="00E73BC6">
        <w:rPr>
          <w:rFonts w:eastAsia="Times New Roman" w:cs="Times New Roman"/>
          <w:shd w:val="clear" w:color="auto" w:fill="FFFFFF"/>
        </w:rPr>
        <w:fldChar w:fldCharType="separate"/>
      </w:r>
      <w:r w:rsidR="00E73BC6" w:rsidRPr="00D70FDA">
        <w:rPr>
          <w:rFonts w:eastAsia="Times New Roman" w:cs="Times New Roman"/>
          <w:noProof/>
          <w:shd w:val="clear" w:color="auto" w:fill="FFFFFF"/>
        </w:rPr>
        <w:t>(Bergström et al., 2013; Dobbins &amp; Wagner, 2005; Han, Oʼconnor, Eslick, &amp; Dobbins, n.d.)</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7F22355B"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7415E8">
        <w:rPr>
          <w:rFonts w:eastAsia="Times New Roman" w:cs="Times New Roman"/>
          <w:shd w:val="clear" w:color="auto" w:fill="FFFFFF"/>
        </w:rPr>
        <w:t xml:space="preserve">This permitted a test of </w:t>
      </w:r>
      <w:r w:rsidR="00E0698E">
        <w:rPr>
          <w:rFonts w:eastAsia="Times New Roman" w:cs="Times New Roman"/>
          <w:shd w:val="clear" w:color="auto" w:fill="FFFFFF"/>
        </w:rPr>
        <w:t xml:space="preserve">our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show a deficit </w:t>
      </w:r>
      <w:r w:rsidR="007415E8">
        <w:rPr>
          <w:rFonts w:eastAsia="Times New Roman" w:cs="Times New Roman"/>
          <w:shd w:val="clear" w:color="auto" w:fill="FFFFFF"/>
        </w:rPr>
        <w:t>in</w:t>
      </w:r>
      <w:r w:rsidR="00A37DE2">
        <w:rPr>
          <w:rFonts w:eastAsia="Times New Roman" w:cs="Times New Roman"/>
          <w:shd w:val="clear" w:color="auto" w:fill="FFFFFF"/>
        </w:rPr>
        <w:t xml:space="preserve"> conceptual but not perceptual</w:t>
      </w:r>
      <w:r w:rsidR="00E0698E">
        <w:rPr>
          <w:rFonts w:eastAsia="Times New Roman" w:cs="Times New Roman"/>
          <w:shd w:val="clear" w:color="auto" w:fill="FFFFFF"/>
        </w:rPr>
        <w:t xml:space="preserve"> 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only 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w:t>
      </w:r>
      <w:proofErr w:type="spellStart"/>
      <w:r w:rsidR="00E0698E">
        <w:rPr>
          <w:rFonts w:eastAsia="Times New Roman" w:cs="Times New Roman"/>
          <w:shd w:val="clear" w:color="auto" w:fill="FFFFFF"/>
        </w:rPr>
        <w:t>animacy</w:t>
      </w:r>
      <w:proofErr w:type="spellEnd"/>
      <w:r w:rsidR="00E0698E">
        <w:rPr>
          <w:rFonts w:eastAsia="Times New Roman" w:cs="Times New Roman"/>
          <w:shd w:val="clear" w:color="auto" w:fill="FFFFFF"/>
        </w:rPr>
        <w:t xml:space="preserve">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E0698E">
        <w:rPr>
          <w:rFonts w:eastAsia="Times New Roman" w:cs="Times New Roman"/>
          <w:shd w:val="clear" w:color="auto" w:fill="FFFFFF"/>
        </w:rPr>
        <w:t>each encoding task</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xml:space="preserve">, and then we </w:t>
      </w:r>
      <w:r w:rsidR="00A37DE2">
        <w:rPr>
          <w:rFonts w:eastAsia="Times New Roman" w:cs="Times New Roman"/>
          <w:shd w:val="clear" w:color="auto" w:fill="FFFFFF"/>
        </w:rPr>
        <w:lastRenderedPageBreak/>
        <w:t>compared the groups</w:t>
      </w:r>
      <w:r w:rsidR="006252FF">
        <w:rPr>
          <w:rFonts w:eastAsia="Times New Roman" w:cs="Times New Roman"/>
          <w:shd w:val="clear" w:color="auto" w:fill="FFFFFF"/>
        </w:rPr>
        <w:t xml:space="preserve"> to look for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D8698A">
        <w:rPr>
          <w:rFonts w:eastAsia="Times New Roman" w:cs="Times New Roman"/>
          <w:shd w:val="clear" w:color="auto" w:fill="FFFFFF"/>
        </w:rPr>
        <w:t xml:space="preserve">. For both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r w:rsidR="00E0698E">
        <w:rPr>
          <w:rFonts w:cs="Times New Roman"/>
        </w:rPr>
        <w:t>.</w:t>
      </w:r>
      <w:proofErr w:type="spellEnd"/>
      <w:r w:rsidR="00E0698E">
        <w:rPr>
          <w:rFonts w:cs="Times New Roman"/>
        </w:rPr>
        <w:t xml:space="preserve"> </w:t>
      </w:r>
      <w:r w:rsidR="00A37DE2">
        <w:rPr>
          <w:rFonts w:cs="Times New Roman"/>
        </w:rPr>
        <w:t>T</w:t>
      </w:r>
      <w:r w:rsidR="00E0698E">
        <w:rPr>
          <w:rFonts w:cs="Times New Roman"/>
        </w:rPr>
        <w:t xml:space="preserve">he 400-800 </w:t>
      </w:r>
      <w:proofErr w:type="spellStart"/>
      <w:r w:rsidR="00E0698E">
        <w:rPr>
          <w:rFonts w:cs="Times New Roman"/>
        </w:rPr>
        <w:t>ms</w:t>
      </w:r>
      <w:proofErr w:type="spellEnd"/>
      <w:r w:rsidR="00E0698E">
        <w:rPr>
          <w:rFonts w:cs="Times New Roman"/>
        </w:rPr>
        <w:t xml:space="preserve">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A37DE2">
        <w:rPr>
          <w:rFonts w:cs="Times New Roman"/>
        </w:rPr>
        <w:t>selected to</w:t>
      </w:r>
      <w:r w:rsidR="00E0698E">
        <w:rPr>
          <w:rFonts w:cs="Times New Roman"/>
        </w:rPr>
        <w:t xml:space="preserve"> capture </w:t>
      </w:r>
      <w:r w:rsidR="00873C16">
        <w:rPr>
          <w:rFonts w:cs="Times New Roman"/>
        </w:rPr>
        <w:t>(</w:t>
      </w:r>
      <w:r w:rsidR="006252FF">
        <w:rPr>
          <w:rFonts w:cs="Times New Roman"/>
        </w:rPr>
        <w:t>a</w:t>
      </w:r>
      <w:r w:rsidR="00873C16">
        <w:rPr>
          <w:rFonts w:cs="Times New Roman"/>
        </w:rPr>
        <w:t xml:space="preserve">) a </w:t>
      </w:r>
      <w:r w:rsidR="00E0698E">
        <w:rPr>
          <w:rFonts w:cs="Times New Roman"/>
        </w:rPr>
        <w:t xml:space="preserve">late </w:t>
      </w:r>
      <w:r w:rsidR="00873C16">
        <w:rPr>
          <w:rFonts w:cs="Times New Roman"/>
        </w:rPr>
        <w:t xml:space="preserve">posterior negativity (LPN) consistently seen during source recollection </w:t>
      </w:r>
      <w:r w:rsidR="00873C16">
        <w:rPr>
          <w:rFonts w:cs="Times New Roman"/>
        </w:rPr>
        <w:fldChar w:fldCharType="begin" w:fldLock="1"/>
      </w:r>
      <w:r w:rsidR="00873C16">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"mendeley" : { "formattedCitation" : "(Johansson &amp; Mecklinger, 2003)", "plainTextFormattedCitation" : "(Johansson &amp; Mecklinger, 2003)", "previouslyFormattedCitation" : "(Johansson &amp; Mecklinger, 2003)"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(Johansson &amp; Mecklinger, 2003)</w:t>
      </w:r>
      <w:r w:rsidR="00873C16">
        <w:rPr>
          <w:rFonts w:cs="Times New Roman"/>
        </w:rPr>
        <w:fldChar w:fldCharType="end"/>
      </w:r>
      <w:r w:rsidR="00873C16">
        <w:rPr>
          <w:rFonts w:cs="Times New Roman"/>
        </w:rPr>
        <w:t>, and (</w:t>
      </w:r>
      <w:r w:rsidR="006252FF">
        <w:rPr>
          <w:rFonts w:cs="Times New Roman"/>
        </w:rPr>
        <w:t>b</w:t>
      </w:r>
      <w:r w:rsidR="00873C16">
        <w:rPr>
          <w:rFonts w:cs="Times New Roman"/>
        </w:rPr>
        <w:t xml:space="preserve">) a separate late negativity prominent over left frontal scalp regions during conceptual retrieval </w:t>
      </w:r>
      <w:r w:rsidR="00873C16">
        <w:rPr>
          <w:rFonts w:cs="Times New Roman"/>
        </w:rPr>
        <w:fldChar w:fldCharType="begin" w:fldLock="1"/>
      </w:r>
      <w:r w:rsidR="00B951D8">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(Bergström et al., 2013)</w:t>
      </w:r>
      <w:r w:rsidR="00873C16">
        <w:rPr>
          <w:rFonts w:cs="Times New Roman"/>
        </w:rPr>
        <w:fldChar w:fldCharType="end"/>
      </w:r>
      <w:r w:rsidR="009F7337">
        <w:rPr>
          <w:rFonts w:cs="Times New Roman"/>
        </w:rPr>
        <w:t>.</w:t>
      </w:r>
    </w:p>
    <w:p w14:paraId="303D5D59" w14:textId="40A0AA5D" w:rsidR="00681462" w:rsidRDefault="00603E5F" w:rsidP="00135F4D">
      <w:pPr>
        <w:spacing w:line="480" w:lineRule="auto"/>
        <w:ind w:firstLine="720"/>
        <w:rPr>
          <w:rFonts w:cs="Times New Roman"/>
        </w:rPr>
      </w:pPr>
      <w:r>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4E1BC2">
        <w:rPr>
          <w:rFonts w:cs="Times New Roman"/>
        </w:rPr>
        <w:t xml:space="preserve">is sufficient to detect clustered activity in regions where electrodes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3017126B" w:rsidR="009F7337" w:rsidRPr="00681462" w:rsidRDefault="00A37DE2" w:rsidP="00412A94">
      <w:pPr>
        <w:spacing w:line="480" w:lineRule="auto"/>
        <w:ind w:firstLine="720"/>
        <w:rPr>
          <w:rFonts w:eastAsia="Times New Roman" w:cs="Times New Roman"/>
          <w:shd w:val="clear" w:color="auto" w:fill="FFFFFF"/>
        </w:rPr>
      </w:pPr>
      <w:r>
        <w:rPr>
          <w:rFonts w:cs="Times New Roman"/>
        </w:rPr>
        <w:lastRenderedPageBreak/>
        <w:t xml:space="preserve">Across the groups, we used Pearson correlations to examine relationships between source memory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memory </w:t>
      </w:r>
      <w:proofErr w:type="gramStart"/>
      <w:r w:rsidR="005C3343">
        <w:rPr>
          <w:rFonts w:cs="Times New Roman"/>
        </w:rPr>
        <w:t>accuracy</w:t>
      </w:r>
      <w:r w:rsidR="00412A94">
        <w:rPr>
          <w:rFonts w:cs="Times New Roman"/>
        </w:rPr>
        <w:t>,</w:t>
      </w:r>
      <w:proofErr w:type="gramEnd"/>
      <w:r w:rsidR="00412A94">
        <w:rPr>
          <w:rFonts w:cs="Times New Roman"/>
        </w:rPr>
        <w:t xml:space="preserve"> 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2100E08"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3.69,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 xml:space="preserve">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 xml:space="preserve">on </w:t>
      </w:r>
      <w:r w:rsidR="00E36CC7">
        <w:rPr>
          <w:rFonts w:eastAsia="Times New Roman" w:cs="Times New Roman"/>
          <w:shd w:val="clear" w:color="auto" w:fill="FFFFFF"/>
        </w:rPr>
        <w:lastRenderedPageBreak/>
        <w:t xml:space="preserve">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34A72E4F"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 xml:space="preserve">Five participants (two controls, three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D14003">
        <w:rPr>
          <w:rFonts w:eastAsia="Times New Roman" w:cs="Times New Roman"/>
          <w:shd w:val="clear" w:color="auto" w:fill="FFFFFF"/>
        </w:rPr>
        <w:t>11</w:t>
      </w:r>
      <w:r w:rsidR="00EE3EA1">
        <w:rPr>
          <w:rFonts w:eastAsia="Times New Roman" w:cs="Times New Roman"/>
          <w:shd w:val="clear" w:color="auto" w:fill="FFFFFF"/>
        </w:rPr>
        <w:t xml:space="preserve"> controls and </w:t>
      </w:r>
      <w:r w:rsidR="00D14003">
        <w:rPr>
          <w:rFonts w:eastAsia="Times New Roman" w:cs="Times New Roman"/>
          <w:shd w:val="clear" w:color="auto" w:fill="FFFFFF"/>
        </w:rPr>
        <w:t>17</w:t>
      </w:r>
      <w:r w:rsidR="00EE3EA1">
        <w:rPr>
          <w:rFonts w:eastAsia="Times New Roman" w:cs="Times New Roman"/>
          <w:shd w:val="clear" w:color="auto" w:fill="FFFFFF"/>
        </w:rPr>
        <w:t xml:space="preserve"> depressed participants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 xml:space="preserve">this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proofErr w:type="spellStart"/>
      <w:r w:rsidR="00E80C57">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6AD3D25D"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proofErr w:type="spellStart"/>
      <w:r w:rsidR="00A84270">
        <w:rPr>
          <w:rFonts w:eastAsia="Times New Roman" w:cs="Times New Roman"/>
          <w:i/>
          <w:shd w:val="clear" w:color="auto" w:fill="FFFFFF"/>
        </w:rPr>
        <w:t>F</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&lt; 1.83, </w:t>
      </w:r>
      <w:proofErr w:type="spellStart"/>
      <w:r w:rsidR="00A84270">
        <w:rPr>
          <w:rFonts w:eastAsia="Times New Roman" w:cs="Times New Roman"/>
          <w:i/>
          <w:shd w:val="clear" w:color="auto" w:fill="FFFFFF"/>
        </w:rPr>
        <w:t>p</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w:t>
      </w:r>
      <w:r w:rsidR="00E7746B">
        <w:rPr>
          <w:rFonts w:eastAsia="Times New Roman" w:cs="Times New Roman"/>
          <w:shd w:val="clear" w:color="auto" w:fill="FFFFFF"/>
        </w:rPr>
        <w:t xml:space="preserve">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for the mobility task,</w:t>
      </w:r>
      <w:r w:rsidR="00080FA6">
        <w:rPr>
          <w:rFonts w:eastAsia="Times New Roman" w:cs="Times New Roman"/>
          <w:shd w:val="clear" w:color="auto" w:fill="FFFFFF"/>
        </w:rPr>
        <w:t xml:space="preserve"> 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proofErr w:type="gramStart"/>
      <w:r w:rsidR="00E7746B">
        <w:rPr>
          <w:rFonts w:eastAsia="Times New Roman" w:cs="Times New Roman"/>
          <w:i/>
          <w:shd w:val="clear" w:color="auto" w:fill="FFFFFF"/>
        </w:rPr>
        <w:t>t</w:t>
      </w:r>
      <w:r w:rsidR="00E7746B">
        <w:rPr>
          <w:rFonts w:eastAsia="Times New Roman" w:cs="Times New Roman"/>
          <w:shd w:val="clear" w:color="auto" w:fill="FFFFFF"/>
        </w:rPr>
        <w:t>(</w:t>
      </w:r>
      <w:proofErr w:type="gramEnd"/>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 xml:space="preserve">for words from the </w:t>
      </w:r>
      <w:proofErr w:type="spellStart"/>
      <w:r w:rsidR="00EA1919">
        <w:rPr>
          <w:rFonts w:eastAsia="Times New Roman" w:cs="Times New Roman"/>
          <w:shd w:val="clear" w:color="auto" w:fill="FFFFFF"/>
        </w:rPr>
        <w:t>animacy</w:t>
      </w:r>
      <w:proofErr w:type="spellEnd"/>
      <w:r w:rsidR="00EA1919">
        <w:rPr>
          <w:rFonts w:eastAsia="Times New Roman" w:cs="Times New Roman"/>
          <w:shd w:val="clear" w:color="auto" w:fill="FFFFFF"/>
        </w:rPr>
        <w:t xml:space="preserve">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w:t>
      </w:r>
      <w:r w:rsidR="00E7746B">
        <w:rPr>
          <w:rFonts w:eastAsia="Times New Roman" w:cs="Times New Roman"/>
          <w:shd w:val="clear" w:color="auto" w:fill="FFFFFF"/>
        </w:rPr>
        <w:lastRenderedPageBreak/>
        <w:t xml:space="preserve">no </w:t>
      </w:r>
      <w:r w:rsidR="00AF7B01">
        <w:rPr>
          <w:rFonts w:eastAsia="Times New Roman" w:cs="Times New Roman"/>
          <w:shd w:val="clear" w:color="auto" w:fill="FFFFFF"/>
        </w:rPr>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385599">
        <w:rPr>
          <w:rFonts w:eastAsia="Times New Roman" w:cs="Times New Roman"/>
          <w:shd w:val="clear" w:color="auto" w:fill="FFFFFF"/>
        </w:rPr>
        <w:t>in</w:t>
      </w:r>
      <w:r w:rsidR="003A4AEC">
        <w:rPr>
          <w:rFonts w:eastAsia="Times New Roman" w:cs="Times New Roman"/>
          <w:shd w:val="clear" w:color="auto" w:fill="FFFFFF"/>
        </w:rPr>
        <w:t xml:space="preserve">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proofErr w:type="spellStart"/>
      <w:r w:rsidR="00E7746B">
        <w:rPr>
          <w:rFonts w:eastAsia="Times New Roman" w:cs="Times New Roman"/>
          <w:i/>
          <w:shd w:val="clear" w:color="auto" w:fill="FFFFFF"/>
        </w:rPr>
        <w:t>t</w:t>
      </w:r>
      <w:r w:rsidR="00E7746B">
        <w:rPr>
          <w:rFonts w:eastAsia="Times New Roman" w:cs="Times New Roman"/>
          <w:shd w:val="clear" w:color="auto" w:fill="FFFFFF"/>
        </w:rPr>
        <w:t>s</w:t>
      </w:r>
      <w:proofErr w:type="spellEnd"/>
      <w:r w:rsidR="00E7746B">
        <w:rPr>
          <w:rFonts w:eastAsia="Times New Roman" w:cs="Times New Roman"/>
          <w:shd w:val="clear" w:color="auto" w:fill="FFFFFF"/>
        </w:rPr>
        <w:t xml:space="preserve"> &lt; </w:t>
      </w:r>
      <w:r w:rsidR="003A4AEC">
        <w:rPr>
          <w:rFonts w:eastAsia="Times New Roman" w:cs="Times New Roman"/>
          <w:shd w:val="clear" w:color="auto" w:fill="FFFFFF"/>
        </w:rPr>
        <w:t xml:space="preserve">1.33, </w:t>
      </w:r>
      <w:proofErr w:type="spellStart"/>
      <w:r w:rsidR="009E6EAF">
        <w:rPr>
          <w:rFonts w:eastAsia="Times New Roman" w:cs="Times New Roman"/>
          <w:i/>
          <w:shd w:val="clear" w:color="auto" w:fill="FFFFFF"/>
        </w:rPr>
        <w:t>p</w:t>
      </w:r>
      <w:r w:rsidR="009E6EAF">
        <w:rPr>
          <w:rFonts w:eastAsia="Times New Roman" w:cs="Times New Roman"/>
          <w:shd w:val="clear" w:color="auto" w:fill="FFFFFF"/>
        </w:rPr>
        <w:t>s</w:t>
      </w:r>
      <w:proofErr w:type="spellEnd"/>
      <w:r w:rsidR="009E6EAF">
        <w:rPr>
          <w:rFonts w:eastAsia="Times New Roman" w:cs="Times New Roman"/>
          <w:shd w:val="clear" w:color="auto" w:fill="FFFFFF"/>
        </w:rPr>
        <w:t xml:space="preserve">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proofErr w:type="gramStart"/>
      <w:r w:rsidR="009E6EAF">
        <w:rPr>
          <w:rFonts w:eastAsia="Times New Roman" w:cs="Times New Roman"/>
          <w:i/>
          <w:shd w:val="clear" w:color="auto" w:fill="FFFFFF"/>
        </w:rPr>
        <w:t>t</w:t>
      </w:r>
      <w:r w:rsidR="009E6EAF">
        <w:rPr>
          <w:rFonts w:eastAsia="Times New Roman" w:cs="Times New Roman"/>
          <w:shd w:val="clear" w:color="auto" w:fill="FFFFFF"/>
        </w:rPr>
        <w:t>(</w:t>
      </w:r>
      <w:proofErr w:type="gramEnd"/>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summary,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task </w:t>
      </w:r>
      <w:r w:rsidR="007F0C9A">
        <w:rPr>
          <w:rFonts w:eastAsia="Times New Roman" w:cs="Times New Roman"/>
          <w:shd w:val="clear" w:color="auto" w:fill="FFFFFF"/>
        </w:rPr>
        <w:t>vs.</w:t>
      </w:r>
      <w:r w:rsidR="00E80C57">
        <w:rPr>
          <w:rFonts w:eastAsia="Times New Roman" w:cs="Times New Roman"/>
          <w:shd w:val="clear" w:color="auto" w:fill="FFFFFF"/>
        </w:rPr>
        <w:t xml:space="preserve"> the </w:t>
      </w:r>
      <w:proofErr w:type="spellStart"/>
      <w:r w:rsidR="00E80C57">
        <w:rPr>
          <w:rFonts w:eastAsia="Times New Roman" w:cs="Times New Roman"/>
          <w:shd w:val="clear" w:color="auto" w:fill="FFFFFF"/>
        </w:rPr>
        <w:t>animacy</w:t>
      </w:r>
      <w:proofErr w:type="spellEnd"/>
      <w:r w:rsidR="00E80C57">
        <w:rPr>
          <w:rFonts w:eastAsia="Times New Roman" w:cs="Times New Roman"/>
          <w:shd w:val="clear" w:color="auto" w:fill="FFFFFF"/>
        </w:rPr>
        <w:t xml:space="preserve">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w:t>
      </w:r>
      <w:r w:rsidR="007F0C9A">
        <w:rPr>
          <w:rFonts w:eastAsia="Times New Roman" w:cs="Times New Roman"/>
          <w:shd w:val="clear" w:color="auto" w:fill="FFFFFF"/>
        </w:rPr>
        <w:t>vs.</w:t>
      </w:r>
      <w:r w:rsidR="00E80C57">
        <w:rPr>
          <w:rFonts w:eastAsia="Times New Roman" w:cs="Times New Roman"/>
          <w:shd w:val="clear" w:color="auto" w:fill="FFFFFF"/>
        </w:rPr>
        <w:t xml:space="preserve">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w:t>
      </w:r>
      <w:r w:rsidR="00304C25">
        <w:rPr>
          <w:rFonts w:eastAsia="Times New Roman" w:cs="Times New Roman"/>
          <w:shd w:val="clear" w:color="auto" w:fill="FFFFFF"/>
        </w:rPr>
        <w:t>he combination of these factors—</w:t>
      </w:r>
      <w:r w:rsidR="00E66038">
        <w:rPr>
          <w:rFonts w:eastAsia="Times New Roman" w:cs="Times New Roman"/>
          <w:shd w:val="clear" w:color="auto" w:fill="FFFFFF"/>
        </w:rPr>
        <w:t>words from the mobility task pr</w:t>
      </w:r>
      <w:r w:rsidR="00304C25">
        <w:rPr>
          <w:rFonts w:eastAsia="Times New Roman" w:cs="Times New Roman"/>
          <w:shd w:val="clear" w:color="auto" w:fill="FFFFFF"/>
        </w:rPr>
        <w:t>esented under the Question cue—</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w:t>
      </w:r>
      <w:r w:rsidR="00385599">
        <w:rPr>
          <w:rFonts w:eastAsia="Times New Roman" w:cs="Times New Roman"/>
          <w:shd w:val="clear" w:color="auto" w:fill="FFFFFF"/>
        </w:rPr>
        <w:t>particularly</w:t>
      </w:r>
      <w:r w:rsidR="00C31C48">
        <w:rPr>
          <w:rFonts w:eastAsia="Times New Roman" w:cs="Times New Roman"/>
          <w:shd w:val="clear" w:color="auto" w:fill="FFFFFF"/>
        </w:rPr>
        <w:t xml:space="preserve">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2F55931A" w14:textId="1697A755" w:rsidR="005227A7" w:rsidRPr="000C0E34"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C25B97">
        <w:rPr>
          <w:rFonts w:eastAsia="Times New Roman" w:cs="Times New Roman"/>
          <w:shd w:val="clear" w:color="auto" w:fill="FFFFFF"/>
        </w:rPr>
        <w:t xml:space="preserve"> For words from the mobility task, there was a 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interaction, </w:t>
      </w:r>
      <w:proofErr w:type="gramStart"/>
      <w:r w:rsidR="00C25B97">
        <w:rPr>
          <w:rFonts w:eastAsia="Times New Roman" w:cs="Times New Roman"/>
          <w:i/>
          <w:shd w:val="clear" w:color="auto" w:fill="FFFFFF"/>
        </w:rPr>
        <w:t>F</w:t>
      </w:r>
      <w:r w:rsidR="00C25B97">
        <w:rPr>
          <w:rFonts w:eastAsia="Times New Roman" w:cs="Times New Roman"/>
          <w:shd w:val="clear" w:color="auto" w:fill="FFFFFF"/>
        </w:rPr>
        <w:t>(</w:t>
      </w:r>
      <w:proofErr w:type="gramEnd"/>
      <w:r w:rsidR="00C25B97">
        <w:rPr>
          <w:rFonts w:eastAsia="Times New Roman" w:cs="Times New Roman"/>
          <w:shd w:val="clear" w:color="auto" w:fill="FFFFFF"/>
        </w:rPr>
        <w:t xml:space="preserve">1, 46) = 6.45, </w:t>
      </w:r>
      <w:r w:rsidR="00C25B97">
        <w:rPr>
          <w:rFonts w:eastAsia="Times New Roman" w:cs="Times New Roman"/>
          <w:i/>
          <w:shd w:val="clear" w:color="auto" w:fill="FFFFFF"/>
        </w:rPr>
        <w:t>p</w:t>
      </w:r>
      <w:r w:rsidR="00C25B97">
        <w:rPr>
          <w:rFonts w:eastAsia="Times New Roman" w:cs="Times New Roman"/>
          <w:shd w:val="clear" w:color="auto" w:fill="FFFFFF"/>
        </w:rPr>
        <w:t xml:space="preserve"> = 0.01</w:t>
      </w:r>
      <w:r w:rsidR="005227A7">
        <w:rPr>
          <w:rFonts w:eastAsia="Times New Roman" w:cs="Times New Roman"/>
          <w:shd w:val="clear" w:color="auto" w:fill="FFFFFF"/>
        </w:rPr>
        <w:t xml:space="preserve"> (left panel)</w:t>
      </w:r>
      <w:r w:rsidR="00C25B97">
        <w:rPr>
          <w:rFonts w:eastAsia="Times New Roman" w:cs="Times New Roman"/>
          <w:shd w:val="clear" w:color="auto" w:fill="FFFFFF"/>
        </w:rPr>
        <w:t xml:space="preserve">. No such interaction was evident for words from the </w:t>
      </w:r>
      <w:proofErr w:type="spellStart"/>
      <w:r w:rsidR="00C25B97">
        <w:rPr>
          <w:rFonts w:eastAsia="Times New Roman" w:cs="Times New Roman"/>
          <w:shd w:val="clear" w:color="auto" w:fill="FFFFFF"/>
        </w:rPr>
        <w:t>animacy</w:t>
      </w:r>
      <w:proofErr w:type="spellEnd"/>
      <w:r w:rsidR="00C25B97">
        <w:rPr>
          <w:rFonts w:eastAsia="Times New Roman" w:cs="Times New Roman"/>
          <w:shd w:val="clear" w:color="auto" w:fill="FFFFFF"/>
        </w:rPr>
        <w:t xml:space="preserve"> task, </w:t>
      </w:r>
      <w:r w:rsidR="00C25B97">
        <w:rPr>
          <w:rFonts w:eastAsia="Times New Roman" w:cs="Times New Roman"/>
          <w:i/>
          <w:shd w:val="clear" w:color="auto" w:fill="FFFFFF"/>
        </w:rPr>
        <w:t>F</w:t>
      </w:r>
      <w:r w:rsidR="00C25B97">
        <w:rPr>
          <w:rFonts w:eastAsia="Times New Roman" w:cs="Times New Roman"/>
          <w:shd w:val="clear" w:color="auto" w:fill="FFFFFF"/>
        </w:rPr>
        <w:t xml:space="preserve"> &lt; 1, </w:t>
      </w:r>
      <w:r w:rsidR="005227A7">
        <w:rPr>
          <w:rFonts w:eastAsia="Times New Roman" w:cs="Times New Roman"/>
          <w:shd w:val="clear" w:color="auto" w:fill="FFFFFF"/>
        </w:rPr>
        <w:t xml:space="preserve">where accuracy </w:t>
      </w:r>
      <w:r w:rsidR="00C25B97">
        <w:rPr>
          <w:rFonts w:eastAsia="Times New Roman" w:cs="Times New Roman"/>
          <w:shd w:val="clear" w:color="auto" w:fill="FFFFFF"/>
        </w:rPr>
        <w:t xml:space="preserve">was instead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proofErr w:type="gramStart"/>
      <w:r w:rsidR="00C25B97">
        <w:rPr>
          <w:rFonts w:eastAsia="Times New Roman" w:cs="Times New Roman"/>
          <w:i/>
          <w:shd w:val="clear" w:color="auto" w:fill="FFFFFF"/>
        </w:rPr>
        <w:t>F</w:t>
      </w:r>
      <w:r w:rsidR="00B94616">
        <w:rPr>
          <w:rFonts w:eastAsia="Times New Roman" w:cs="Times New Roman"/>
          <w:shd w:val="clear" w:color="auto" w:fill="FFFFFF"/>
        </w:rPr>
        <w:t>(</w:t>
      </w:r>
      <w:proofErr w:type="gramEnd"/>
      <w:r w:rsidR="00B94616">
        <w:rPr>
          <w:rFonts w:eastAsia="Times New Roman" w:cs="Times New Roman"/>
          <w:shd w:val="clear" w:color="auto" w:fill="FFFFFF"/>
        </w:rPr>
        <w:t xml:space="preserve">1, 46) = 35.89,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227A7">
        <w:rPr>
          <w:rFonts w:eastAsia="Times New Roman" w:cs="Times New Roman"/>
          <w:shd w:val="clear" w:color="auto" w:fill="FFFFFF"/>
        </w:rPr>
        <w:t xml:space="preserve"> (right panel)</w:t>
      </w:r>
      <w:r w:rsidR="00400F32">
        <w:rPr>
          <w:rFonts w:eastAsia="Times New Roman" w:cs="Times New Roman"/>
          <w:shd w:val="clear" w:color="auto" w:fill="FFFFFF"/>
        </w:rPr>
        <w:t>.</w:t>
      </w:r>
      <w:r w:rsidR="00400F32">
        <w:rPr>
          <w:rFonts w:eastAsia="Times New Roman" w:cs="Times New Roman"/>
          <w:i/>
          <w:shd w:val="clear" w:color="auto" w:fill="FFFFFF"/>
        </w:rPr>
        <w:t xml:space="preserve"> </w:t>
      </w:r>
      <w:r w:rsidR="005227A7">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sidR="005227A7">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sidR="005227A7">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sidR="005227A7">
        <w:rPr>
          <w:rFonts w:eastAsia="Times New Roman" w:cs="Times New Roman"/>
          <w:shd w:val="clear" w:color="auto" w:fill="FFFFFF"/>
        </w:rPr>
        <w:t xml:space="preserve">For words from the mobility task (left panel), the Question minus Side difference score was greater than zero in the MDD group, </w:t>
      </w:r>
      <w:proofErr w:type="gramStart"/>
      <w:r w:rsidR="005227A7" w:rsidRPr="00F27138">
        <w:rPr>
          <w:rFonts w:eastAsia="Times New Roman" w:cs="Times New Roman"/>
          <w:i/>
          <w:shd w:val="clear" w:color="auto" w:fill="FFFFFF"/>
        </w:rPr>
        <w:t>t</w:t>
      </w:r>
      <w:r w:rsidR="005227A7">
        <w:rPr>
          <w:rFonts w:eastAsia="Times New Roman" w:cs="Times New Roman"/>
          <w:shd w:val="clear" w:color="auto" w:fill="FFFFFF"/>
        </w:rPr>
        <w:t>(</w:t>
      </w:r>
      <w:proofErr w:type="gramEnd"/>
      <w:r w:rsidR="005227A7">
        <w:rPr>
          <w:rFonts w:eastAsia="Times New Roman" w:cs="Times New Roman"/>
          <w:shd w:val="clear" w:color="auto" w:fill="FFFFFF"/>
        </w:rPr>
        <w:t xml:space="preserve">23) = 2.06, </w:t>
      </w:r>
      <w:r w:rsidR="005227A7">
        <w:rPr>
          <w:rFonts w:eastAsia="Times New Roman" w:cs="Times New Roman"/>
          <w:i/>
          <w:shd w:val="clear" w:color="auto" w:fill="FFFFFF"/>
        </w:rPr>
        <w:t>p</w:t>
      </w:r>
      <w:r w:rsidR="005227A7">
        <w:rPr>
          <w:rFonts w:eastAsia="Times New Roman" w:cs="Times New Roman"/>
          <w:shd w:val="clear" w:color="auto" w:fill="FFFFFF"/>
        </w:rPr>
        <w:t xml:space="preserve"> = 0.051, but not the controls, </w:t>
      </w:r>
      <w:r w:rsidR="005227A7">
        <w:rPr>
          <w:rFonts w:eastAsia="Times New Roman" w:cs="Times New Roman"/>
          <w:i/>
          <w:shd w:val="clear" w:color="auto" w:fill="FFFFFF"/>
        </w:rPr>
        <w:t>t</w:t>
      </w:r>
      <w:r w:rsidR="005227A7">
        <w:rPr>
          <w:rFonts w:eastAsia="Times New Roman" w:cs="Times New Roman"/>
          <w:shd w:val="clear" w:color="auto" w:fill="FFFFFF"/>
        </w:rPr>
        <w:t>(23) = -1.49,</w:t>
      </w:r>
      <w:r w:rsidR="005227A7">
        <w:rPr>
          <w:rFonts w:eastAsia="Times New Roman" w:cs="Times New Roman"/>
          <w:i/>
          <w:shd w:val="clear" w:color="auto" w:fill="FFFFFF"/>
        </w:rPr>
        <w:t xml:space="preserve"> p</w:t>
      </w:r>
      <w:r w:rsidR="005227A7">
        <w:rPr>
          <w:rFonts w:eastAsia="Times New Roman" w:cs="Times New Roman"/>
          <w:shd w:val="clear" w:color="auto" w:fill="FFFFFF"/>
        </w:rPr>
        <w:t xml:space="preserve"> = 0.15, and a between-groups </w:t>
      </w:r>
      <w:r w:rsidR="005227A7">
        <w:rPr>
          <w:rFonts w:eastAsia="Times New Roman" w:cs="Times New Roman"/>
          <w:i/>
          <w:shd w:val="clear" w:color="auto" w:fill="FFFFFF"/>
        </w:rPr>
        <w:t>t</w:t>
      </w:r>
      <w:r w:rsidR="005227A7">
        <w:rPr>
          <w:rFonts w:eastAsia="Times New Roman" w:cs="Times New Roman"/>
          <w:shd w:val="clear" w:color="auto" w:fill="FFFFFF"/>
        </w:rPr>
        <w:t xml:space="preserve">-tests revealed more positive difference scores in depressed adults, </w:t>
      </w:r>
      <w:r w:rsidR="005227A7">
        <w:rPr>
          <w:rFonts w:eastAsia="Times New Roman" w:cs="Times New Roman"/>
          <w:i/>
          <w:shd w:val="clear" w:color="auto" w:fill="FFFFFF"/>
        </w:rPr>
        <w:t>t</w:t>
      </w:r>
      <w:r w:rsidR="005227A7">
        <w:rPr>
          <w:rFonts w:eastAsia="Times New Roman" w:cs="Times New Roman"/>
          <w:shd w:val="clear" w:color="auto" w:fill="FFFFFF"/>
        </w:rPr>
        <w:t xml:space="preserve">(46) = 2.54, </w:t>
      </w:r>
      <w:r w:rsidR="005227A7">
        <w:rPr>
          <w:rFonts w:eastAsia="Times New Roman" w:cs="Times New Roman"/>
          <w:i/>
          <w:shd w:val="clear" w:color="auto" w:fill="FFFFFF"/>
        </w:rPr>
        <w:t xml:space="preserve">p </w:t>
      </w:r>
      <w:r w:rsidR="005227A7">
        <w:rPr>
          <w:rFonts w:eastAsia="Times New Roman" w:cs="Times New Roman"/>
          <w:shd w:val="clear" w:color="auto" w:fill="FFFFFF"/>
        </w:rPr>
        <w:t xml:space="preserve">= 0.015, </w:t>
      </w:r>
      <w:r w:rsidR="005227A7">
        <w:rPr>
          <w:rFonts w:eastAsia="Times New Roman" w:cs="Times New Roman"/>
          <w:i/>
          <w:shd w:val="clear" w:color="auto" w:fill="FFFFFF"/>
        </w:rPr>
        <w:t xml:space="preserve">d </w:t>
      </w:r>
      <w:r w:rsidR="005227A7">
        <w:rPr>
          <w:rFonts w:eastAsia="Times New Roman" w:cs="Times New Roman"/>
          <w:shd w:val="clear" w:color="auto" w:fill="FFFFFF"/>
        </w:rPr>
        <w:t xml:space="preserve"> = 0.73. By contrast, for words from the </w:t>
      </w:r>
      <w:proofErr w:type="spellStart"/>
      <w:r w:rsidR="005227A7">
        <w:rPr>
          <w:rFonts w:eastAsia="Times New Roman" w:cs="Times New Roman"/>
          <w:shd w:val="clear" w:color="auto" w:fill="FFFFFF"/>
        </w:rPr>
        <w:t>animacy</w:t>
      </w:r>
      <w:proofErr w:type="spellEnd"/>
      <w:r w:rsidR="005227A7">
        <w:rPr>
          <w:rFonts w:eastAsia="Times New Roman" w:cs="Times New Roman"/>
          <w:shd w:val="clear" w:color="auto" w:fill="FFFFFF"/>
        </w:rPr>
        <w:t xml:space="preserve"> task (right panel), </w:t>
      </w:r>
      <w:r w:rsidR="00320018">
        <w:rPr>
          <w:rFonts w:eastAsia="Times New Roman" w:cs="Times New Roman"/>
          <w:shd w:val="clear" w:color="auto" w:fill="FFFFFF"/>
        </w:rPr>
        <w:t xml:space="preserve">the Question minus Side difference scores were </w:t>
      </w:r>
      <w:r w:rsidR="006318B7">
        <w:rPr>
          <w:rFonts w:eastAsia="Times New Roman" w:cs="Times New Roman"/>
          <w:shd w:val="clear" w:color="auto" w:fill="FFFFFF"/>
        </w:rPr>
        <w:t xml:space="preserve">significantly 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proofErr w:type="spellStart"/>
      <w:r w:rsidR="006318B7">
        <w:rPr>
          <w:rFonts w:eastAsia="Times New Roman" w:cs="Times New Roman"/>
          <w:i/>
          <w:shd w:val="clear" w:color="auto" w:fill="FFFFFF"/>
        </w:rPr>
        <w:t>t</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-4.25, </w:t>
      </w:r>
      <w:proofErr w:type="spellStart"/>
      <w:r w:rsidR="006318B7">
        <w:rPr>
          <w:rFonts w:eastAsia="Times New Roman" w:cs="Times New Roman"/>
          <w:i/>
          <w:shd w:val="clear" w:color="auto" w:fill="FFFFFF"/>
        </w:rPr>
        <w:t>p</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0.001, and there was no group difference, </w:t>
      </w:r>
      <w:proofErr w:type="gramStart"/>
      <w:r w:rsidR="006318B7">
        <w:rPr>
          <w:rFonts w:eastAsia="Times New Roman" w:cs="Times New Roman"/>
          <w:i/>
          <w:shd w:val="clear" w:color="auto" w:fill="FFFFFF"/>
        </w:rPr>
        <w:t>t</w:t>
      </w:r>
      <w:r w:rsidR="000C0E34">
        <w:rPr>
          <w:rFonts w:eastAsia="Times New Roman" w:cs="Times New Roman"/>
          <w:shd w:val="clear" w:color="auto" w:fill="FFFFFF"/>
        </w:rPr>
        <w:t>(</w:t>
      </w:r>
      <w:proofErr w:type="gramEnd"/>
      <w:r w:rsidR="000C0E34">
        <w:rPr>
          <w:rFonts w:eastAsia="Times New Roman" w:cs="Times New Roman"/>
          <w:shd w:val="clear" w:color="auto" w:fill="FFFFFF"/>
        </w:rPr>
        <w:t xml:space="preserve">46) = 1.00, </w:t>
      </w:r>
      <w:r w:rsidR="000C0E34">
        <w:rPr>
          <w:rFonts w:eastAsia="Times New Roman" w:cs="Times New Roman"/>
          <w:i/>
          <w:shd w:val="clear" w:color="auto" w:fill="FFFFFF"/>
        </w:rPr>
        <w:t>p</w:t>
      </w:r>
      <w:r w:rsidR="000C0E34">
        <w:rPr>
          <w:rFonts w:eastAsia="Times New Roman" w:cs="Times New Roman"/>
          <w:shd w:val="clear" w:color="auto" w:fill="FFFFFF"/>
        </w:rPr>
        <w:t xml:space="preserve"> = 0.32, </w:t>
      </w:r>
      <w:r w:rsidR="000C0E34">
        <w:rPr>
          <w:rFonts w:eastAsia="Times New Roman" w:cs="Times New Roman"/>
          <w:i/>
          <w:shd w:val="clear" w:color="auto" w:fill="FFFFFF"/>
        </w:rPr>
        <w:t>d</w:t>
      </w:r>
      <w:r w:rsidR="000C0E34">
        <w:rPr>
          <w:rFonts w:eastAsia="Times New Roman" w:cs="Times New Roman"/>
          <w:shd w:val="clear" w:color="auto" w:fill="FFFFFF"/>
        </w:rPr>
        <w:t xml:space="preserve"> = 0.29.</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7277B4FF"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w:t>
      </w:r>
      <w:r w:rsidR="00CC4B4B">
        <w:rPr>
          <w:rFonts w:eastAsia="Times New Roman" w:cs="Times New Roman"/>
          <w:shd w:val="clear" w:color="auto" w:fill="FFFFFF"/>
        </w:rPr>
        <w:lastRenderedPageBreak/>
        <w:t xml:space="preserve">contrast, the cue effect was stable across groups for words from the </w:t>
      </w:r>
      <w:proofErr w:type="spellStart"/>
      <w:r w:rsidR="00CC4B4B">
        <w:rPr>
          <w:rFonts w:eastAsia="Times New Roman" w:cs="Times New Roman"/>
          <w:shd w:val="clear" w:color="auto" w:fill="FFFFFF"/>
        </w:rPr>
        <w:t>animacy</w:t>
      </w:r>
      <w:proofErr w:type="spellEnd"/>
      <w:r w:rsidR="00CC4B4B">
        <w:rPr>
          <w:rFonts w:eastAsia="Times New Roman" w:cs="Times New Roman"/>
          <w:shd w:val="clear" w:color="auto" w:fill="FFFFFF"/>
        </w:rPr>
        <w:t xml:space="preserve"> task, where accuracy was significantly lower accuracy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63713243"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proofErr w:type="gramStart"/>
      <w:r w:rsidR="00090A39">
        <w:rPr>
          <w:rFonts w:eastAsia="Times New Roman" w:cs="Times New Roman"/>
          <w:i/>
          <w:shd w:val="clear" w:color="auto" w:fill="FFFFFF"/>
        </w:rPr>
        <w:t>F</w:t>
      </w:r>
      <w:r w:rsidR="00090A39">
        <w:rPr>
          <w:rFonts w:eastAsia="Times New Roman" w:cs="Times New Roman"/>
          <w:shd w:val="clear" w:color="auto" w:fill="FFFFFF"/>
        </w:rPr>
        <w:t>(</w:t>
      </w:r>
      <w:proofErr w:type="gramEnd"/>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w:t>
      </w:r>
      <w:proofErr w:type="spellStart"/>
      <w:r w:rsidR="00090A39">
        <w:rPr>
          <w:rFonts w:eastAsia="Times New Roman" w:cs="Times New Roman"/>
          <w:shd w:val="clear" w:color="auto" w:fill="FFFFFF"/>
        </w:rPr>
        <w:t>animacy</w:t>
      </w:r>
      <w:proofErr w:type="spellEnd"/>
      <w:r w:rsidR="00090A39">
        <w:rPr>
          <w:rFonts w:eastAsia="Times New Roman" w:cs="Times New Roman"/>
          <w:shd w:val="clear" w:color="auto" w:fill="FFFFFF"/>
        </w:rPr>
        <w:t xml:space="preserve">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there was no group difference in the percentage of high confidence responses under the Question cue, </w:t>
      </w:r>
      <w:proofErr w:type="gramStart"/>
      <w:r w:rsidR="00044447">
        <w:rPr>
          <w:rFonts w:eastAsia="Times New Roman" w:cs="Times New Roman"/>
          <w:i/>
          <w:shd w:val="clear" w:color="auto" w:fill="FFFFFF"/>
        </w:rPr>
        <w:t>t</w:t>
      </w:r>
      <w:r w:rsidR="00044447">
        <w:rPr>
          <w:rFonts w:eastAsia="Times New Roman" w:cs="Times New Roman"/>
          <w:shd w:val="clear" w:color="auto" w:fill="FFFFFF"/>
        </w:rPr>
        <w:t>(</w:t>
      </w:r>
      <w:proofErr w:type="gramEnd"/>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proofErr w:type="spellStart"/>
      <w:r w:rsidR="00794F18">
        <w:rPr>
          <w:rFonts w:eastAsia="Times New Roman" w:cs="Times New Roman"/>
          <w:shd w:val="clear" w:color="auto" w:fill="FFFFFF"/>
        </w:rPr>
        <w:t>animacy</w:t>
      </w:r>
      <w:proofErr w:type="spellEnd"/>
      <w:r w:rsidR="00794F18">
        <w:rPr>
          <w:rFonts w:eastAsia="Times New Roman" w:cs="Times New Roman"/>
          <w:shd w:val="clear" w:color="auto" w:fill="FFFFFF"/>
        </w:rPr>
        <w:t xml:space="preserve"> task, </w:t>
      </w:r>
      <w:proofErr w:type="gramStart"/>
      <w:r w:rsidR="00794F18">
        <w:rPr>
          <w:rFonts w:eastAsia="Times New Roman" w:cs="Times New Roman"/>
          <w:i/>
          <w:shd w:val="clear" w:color="auto" w:fill="FFFFFF"/>
        </w:rPr>
        <w:t>t</w:t>
      </w:r>
      <w:r w:rsidR="00794F18">
        <w:rPr>
          <w:rFonts w:eastAsia="Times New Roman" w:cs="Times New Roman"/>
          <w:shd w:val="clear" w:color="auto" w:fill="FFFFFF"/>
        </w:rPr>
        <w:t>(</w:t>
      </w:r>
      <w:proofErr w:type="gramEnd"/>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t>
      </w:r>
      <w:r w:rsidR="003776FD">
        <w:rPr>
          <w:rFonts w:eastAsia="Times New Roman" w:cs="Times New Roman"/>
          <w:shd w:val="clear" w:color="auto" w:fill="FFFFFF"/>
        </w:rPr>
        <w:t>the</w:t>
      </w:r>
      <w:r w:rsidR="009F51B8">
        <w:rPr>
          <w:rFonts w:eastAsia="Times New Roman" w:cs="Times New Roman"/>
          <w:shd w:val="clear" w:color="auto" w:fill="FFFFFF"/>
        </w:rPr>
        <w:t xml:space="preserve"> guessing and accuracy</w:t>
      </w:r>
      <w:r w:rsidR="003776FD">
        <w:rPr>
          <w:rFonts w:eastAsia="Times New Roman" w:cs="Times New Roman"/>
          <w:shd w:val="clear" w:color="auto" w:fill="FFFFFF"/>
        </w:rPr>
        <w:t xml:space="preserve"> </w:t>
      </w:r>
      <w:r w:rsidR="00E500CD">
        <w:rPr>
          <w:rFonts w:eastAsia="Times New Roman" w:cs="Times New Roman"/>
          <w:shd w:val="clear" w:color="auto" w:fill="FFFFFF"/>
        </w:rPr>
        <w:t>data</w:t>
      </w:r>
      <w:r w:rsidR="009F51B8">
        <w:rPr>
          <w:rFonts w:eastAsia="Times New Roman" w:cs="Times New Roman"/>
          <w:shd w:val="clear" w:color="auto" w:fill="FFFFFF"/>
        </w:rPr>
        <w:t xml:space="preserve">,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25A080E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 xml:space="preserve">e only significant effect was an </w:t>
      </w:r>
      <w:r w:rsidR="00CB2583">
        <w:rPr>
          <w:rFonts w:eastAsia="Times New Roman" w:cs="Times New Roman"/>
          <w:shd w:val="clear" w:color="auto" w:fill="FFFFFF"/>
        </w:rPr>
        <w:t xml:space="preserve">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proofErr w:type="gramStart"/>
      <w:r w:rsidR="00CB2583">
        <w:rPr>
          <w:rFonts w:eastAsia="Times New Roman" w:cs="Times New Roman"/>
          <w:i/>
          <w:shd w:val="clear" w:color="auto" w:fill="FFFFFF"/>
        </w:rPr>
        <w:t>F</w:t>
      </w:r>
      <w:r w:rsidR="00CB2583">
        <w:rPr>
          <w:rFonts w:eastAsia="Times New Roman" w:cs="Times New Roman"/>
          <w:shd w:val="clear" w:color="auto" w:fill="FFFFFF"/>
        </w:rPr>
        <w:t>(</w:t>
      </w:r>
      <w:proofErr w:type="gramEnd"/>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proofErr w:type="spellStart"/>
      <w:r w:rsidR="00CB2583">
        <w:rPr>
          <w:rFonts w:eastAsia="Times New Roman" w:cs="Times New Roman"/>
          <w:i/>
          <w:shd w:val="clear" w:color="auto" w:fill="FFFFFF"/>
        </w:rPr>
        <w:t>F</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&lt; 2.89, </w:t>
      </w:r>
      <w:proofErr w:type="spellStart"/>
      <w:r w:rsidR="00CB2583">
        <w:rPr>
          <w:rFonts w:eastAsia="Times New Roman" w:cs="Times New Roman"/>
          <w:i/>
          <w:shd w:val="clear" w:color="auto" w:fill="FFFFFF"/>
        </w:rPr>
        <w:t>p</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&gt; 0.09.</w:t>
      </w:r>
    </w:p>
    <w:p w14:paraId="3E5029D3" w14:textId="7EFD2D52" w:rsidR="00671856" w:rsidRPr="008F0ED0" w:rsidRDefault="00671856" w:rsidP="00464F91">
      <w:pPr>
        <w:spacing w:line="480" w:lineRule="auto"/>
        <w:ind w:firstLine="720"/>
        <w:rPr>
          <w:rFonts w:eastAsia="Times New Roman" w:cs="Times New Roman"/>
          <w:b/>
          <w:shd w:val="clear" w:color="auto" w:fill="FFFFFF"/>
        </w:rPr>
      </w:pPr>
      <w:proofErr w:type="gramStart"/>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w:t>
      </w:r>
      <w:proofErr w:type="gramEnd"/>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w:t>
      </w:r>
      <w:proofErr w:type="spellStart"/>
      <w:r w:rsidR="00337C0B">
        <w:rPr>
          <w:rFonts w:eastAsia="Times New Roman" w:cs="Times New Roman"/>
          <w:shd w:val="clear" w:color="auto" w:fill="FFFFFF"/>
        </w:rPr>
        <w:t>animacy</w:t>
      </w:r>
      <w:proofErr w:type="spellEnd"/>
      <w:r w:rsidR="00337C0B">
        <w:rPr>
          <w:rFonts w:eastAsia="Times New Roman" w:cs="Times New Roman"/>
          <w:shd w:val="clear" w:color="auto" w:fill="FFFFFF"/>
        </w:rPr>
        <w:t xml:space="preserve">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w:t>
      </w:r>
      <w:r w:rsidR="001032C1">
        <w:rPr>
          <w:rFonts w:eastAsia="Times New Roman" w:cs="Times New Roman"/>
          <w:shd w:val="clear" w:color="auto" w:fill="FFFFFF"/>
        </w:rPr>
        <w:lastRenderedPageBreak/>
        <w:t xml:space="preserve">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cue </w:t>
      </w:r>
      <w:r w:rsidR="007F0C9A">
        <w:rPr>
          <w:rFonts w:eastAsia="Times New Roman" w:cs="Times New Roman"/>
          <w:shd w:val="clear" w:color="auto" w:fill="FFFFFF"/>
        </w:rPr>
        <w:t>vs.</w:t>
      </w:r>
      <w:r w:rsidR="001032C1">
        <w:rPr>
          <w:rFonts w:eastAsia="Times New Roman" w:cs="Times New Roman"/>
          <w:shd w:val="clear" w:color="auto" w:fill="FFFFFF"/>
        </w:rPr>
        <w:t xml:space="preserve"> the Side cue. This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w:t>
      </w:r>
      <w:proofErr w:type="spellStart"/>
      <w:r w:rsidR="001032C1">
        <w:rPr>
          <w:rFonts w:eastAsia="Times New Roman" w:cs="Times New Roman"/>
          <w:shd w:val="clear" w:color="auto" w:fill="FFFFFF"/>
        </w:rPr>
        <w:t>animacy</w:t>
      </w:r>
      <w:proofErr w:type="spellEnd"/>
      <w:r w:rsidR="001032C1">
        <w:rPr>
          <w:rFonts w:eastAsia="Times New Roman" w:cs="Times New Roman"/>
          <w:shd w:val="clear" w:color="auto" w:fill="FFFFFF"/>
        </w:rPr>
        <w:t xml:space="preserve">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bookmarkStart w:id="0" w:name="_GoBack"/>
      <w:bookmarkEnd w:id="0"/>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C163D5">
        <w:rPr>
          <w:rFonts w:eastAsia="Times New Roman" w:cs="Times New Roman"/>
          <w:shd w:val="clear" w:color="auto" w:fill="FFFFFF"/>
        </w:rPr>
        <w:t>everyone</w:t>
      </w:r>
      <w:r w:rsidR="00493F47">
        <w:rPr>
          <w:rFonts w:eastAsia="Times New Roman" w:cs="Times New Roman"/>
          <w:shd w:val="clear" w:color="auto" w:fill="FFFFFF"/>
        </w:rPr>
        <w:t xml:space="preserve">,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3A47C18C"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“Question minus Odd/Even” and “Side minus Odd/Even” difference waves, collapsed across encoding task as in prior studies. We expected group differences in the former but not the latter contrast, but in fact we found no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3EB341A7"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of the figure, from 400-800 </w:t>
      </w:r>
      <w:proofErr w:type="spellStart"/>
      <w:r w:rsidR="00BD3F17">
        <w:rPr>
          <w:rFonts w:eastAsia="Times New Roman" w:cs="Times New Roman"/>
          <w:shd w:val="clear" w:color="auto" w:fill="FFFFFF"/>
        </w:rPr>
        <w:t>ms</w:t>
      </w:r>
      <w:proofErr w:type="spellEnd"/>
      <w:r w:rsidR="00BD3F17">
        <w:rPr>
          <w:rFonts w:eastAsia="Times New Roman" w:cs="Times New Roman"/>
          <w:shd w:val="clear" w:color="auto" w:fill="FFFFFF"/>
        </w:rPr>
        <w:t xml:space="preserve">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w:t>
      </w:r>
      <w:r w:rsidR="00BD3F17">
        <w:rPr>
          <w:rFonts w:eastAsia="Times New Roman" w:cs="Times New Roman"/>
          <w:shd w:val="clear" w:color="auto" w:fill="FFFFFF"/>
        </w:rPr>
        <w:lastRenderedPageBreak/>
        <w:t xml:space="preserve">and bottom panels of the figure,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and 1400-2000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lasting late posterior negativity (LPN) has been observed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6B45C662" w:rsidR="005A5349"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condition effects were observed from 800-1400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and 1400-2000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B285F">
        <w:rPr>
          <w:rFonts w:eastAsia="Times New Roman" w:cs="Times New Roman"/>
          <w:shd w:val="clear" w:color="auto" w:fill="FFFFFF"/>
        </w:rPr>
        <w:t xml:space="preserve"> </w:t>
      </w:r>
    </w:p>
    <w:p w14:paraId="1481F4E5" w14:textId="5EFD6AB3"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xml:space="preserve">, </w:t>
      </w:r>
      <w:proofErr w:type="spellStart"/>
      <w:r>
        <w:rPr>
          <w:rFonts w:eastAsia="Times New Roman" w:cs="Times New Roman"/>
          <w:b/>
          <w:shd w:val="clear" w:color="auto" w:fill="FFFFFF"/>
        </w:rPr>
        <w:t>animacy</w:t>
      </w:r>
      <w:proofErr w:type="spellEnd"/>
      <w:r>
        <w:rPr>
          <w:rFonts w:eastAsia="Times New Roman" w:cs="Times New Roman"/>
          <w:b/>
          <w:shd w:val="clear" w:color="auto" w:fill="FFFFFF"/>
        </w:rPr>
        <w:t xml:space="preserve"> task</w:t>
      </w:r>
      <w:r>
        <w:rPr>
          <w:rFonts w:eastAsia="Times New Roman" w:cs="Times New Roman"/>
          <w:shd w:val="clear" w:color="auto" w:fill="FFFFFF"/>
        </w:rPr>
        <w:t xml:space="preserve">.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cue relative to the Side cue </w:t>
      </w:r>
      <w:r w:rsidR="00ED48EC">
        <w:rPr>
          <w:rFonts w:eastAsia="Times New Roman" w:cs="Times New Roman"/>
          <w:shd w:val="clear" w:color="auto" w:fill="FFFFFF"/>
        </w:rPr>
        <w:t xml:space="preserve">seen 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w:t>
      </w:r>
      <w:proofErr w:type="spellStart"/>
      <w:r w:rsidR="00423700">
        <w:rPr>
          <w:rFonts w:eastAsia="Times New Roman" w:cs="Times New Roman"/>
          <w:shd w:val="clear" w:color="auto" w:fill="FFFFFF"/>
        </w:rPr>
        <w:t>animacy</w:t>
      </w:r>
      <w:proofErr w:type="spellEnd"/>
      <w:r w:rsidR="00423700">
        <w:rPr>
          <w:rFonts w:eastAsia="Times New Roman" w:cs="Times New Roman"/>
          <w:shd w:val="clear" w:color="auto" w:fill="FFFFFF"/>
        </w:rPr>
        <w:t xml:space="preserve">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As shown, this contrast revealed a broadly distributed negativity that was focused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400-800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dispersed over bilateral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800-1400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and separated into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and right </w:t>
      </w:r>
      <w:proofErr w:type="spellStart"/>
      <w:r w:rsidR="007B285F">
        <w:rPr>
          <w:rFonts w:eastAsia="Times New Roman" w:cs="Times New Roman"/>
          <w:shd w:val="clear" w:color="auto" w:fill="FFFFFF"/>
        </w:rPr>
        <w:t>centro</w:t>
      </w:r>
      <w:proofErr w:type="spellEnd"/>
      <w:r w:rsidR="007B285F">
        <w:rPr>
          <w:rFonts w:eastAsia="Times New Roman" w:cs="Times New Roman"/>
          <w:shd w:val="clear" w:color="auto" w:fill="FFFFFF"/>
        </w:rPr>
        <w:t>-</w:t>
      </w:r>
      <w:r w:rsidR="009D331F">
        <w:rPr>
          <w:rFonts w:eastAsia="Times New Roman" w:cs="Times New Roman"/>
          <w:shd w:val="clear" w:color="auto" w:fill="FFFFFF"/>
        </w:rPr>
        <w:t xml:space="preserve">parietal clusters from 1400-2000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-central scalp</w:t>
      </w:r>
      <w:r w:rsidR="007B285F">
        <w:rPr>
          <w:rFonts w:eastAsia="Times New Roman" w:cs="Times New Roman"/>
          <w:shd w:val="clear" w:color="auto" w:fill="FFFFFF"/>
        </w:rPr>
        <w:softHyphen/>
      </w:r>
      <w:r w:rsidR="009D331F">
        <w:rPr>
          <w:rFonts w:eastAsia="Times New Roman" w:cs="Times New Roman"/>
          <w:shd w:val="clear" w:color="auto" w:fill="FFFFFF"/>
        </w:rPr>
        <w:t>.</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2EC070E0"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lastRenderedPageBreak/>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 xml:space="preserve">or words for the mobility task and compared responses across the two groups. As shown in Figure 9 (see also Table 5), this contrast was associated with group differences over left </w:t>
      </w:r>
      <w:proofErr w:type="spellStart"/>
      <w:r w:rsidR="00C10BF6">
        <w:rPr>
          <w:rFonts w:eastAsia="Times New Roman" w:cs="Times New Roman"/>
          <w:shd w:val="clear" w:color="auto" w:fill="FFFFFF"/>
        </w:rPr>
        <w:t>centro</w:t>
      </w:r>
      <w:proofErr w:type="spellEnd"/>
      <w:r w:rsidR="00C10BF6">
        <w:rPr>
          <w:rFonts w:eastAsia="Times New Roman" w:cs="Times New Roman"/>
          <w:shd w:val="clear" w:color="auto" w:fill="FFFFFF"/>
        </w:rPr>
        <w:t xml:space="preserve">-parietal scalp between 400-800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top) and 800-1400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4413D8">
        <w:rPr>
          <w:rFonts w:eastAsia="Times New Roman" w:cs="Times New Roman"/>
          <w:shd w:val="clear" w:color="auto" w:fill="FFFFFF"/>
        </w:rPr>
        <w:t xml:space="preserve">revealed significant interactions </w:t>
      </w:r>
      <w:r w:rsidR="00D7089D">
        <w:rPr>
          <w:rFonts w:eastAsia="Times New Roman" w:cs="Times New Roman"/>
          <w:shd w:val="clear" w:color="auto" w:fill="FFFFFF"/>
        </w:rPr>
        <w:t xml:space="preserve">in both </w:t>
      </w:r>
      <w:r w:rsidR="007B285F">
        <w:rPr>
          <w:rFonts w:eastAsia="Times New Roman" w:cs="Times New Roman"/>
          <w:shd w:val="clear" w:color="auto" w:fill="FFFFFF"/>
        </w:rPr>
        <w:t xml:space="preserve">time </w:t>
      </w:r>
      <w:r w:rsidR="00D7089D">
        <w:rPr>
          <w:rFonts w:eastAsia="Times New Roman" w:cs="Times New Roman"/>
          <w:shd w:val="clear" w:color="auto" w:fill="FFFFFF"/>
        </w:rPr>
        <w:t xml:space="preserve">windows </w:t>
      </w:r>
      <w:r w:rsidR="004413D8">
        <w:rPr>
          <w:rFonts w:eastAsia="Times New Roman" w:cs="Times New Roman"/>
          <w:shd w:val="clear" w:color="auto" w:fill="FFFFFF"/>
        </w:rPr>
        <w:t>(</w:t>
      </w:r>
      <w:proofErr w:type="spellStart"/>
      <w:r w:rsidR="004413D8">
        <w:rPr>
          <w:rFonts w:eastAsia="Times New Roman" w:cs="Times New Roman"/>
          <w:i/>
          <w:shd w:val="clear" w:color="auto" w:fill="FFFFFF"/>
        </w:rPr>
        <w:t>F</w:t>
      </w:r>
      <w:r w:rsidR="004413D8">
        <w:rPr>
          <w:rFonts w:eastAsia="Times New Roman" w:cs="Times New Roman"/>
          <w:shd w:val="clear" w:color="auto" w:fill="FFFFFF"/>
        </w:rPr>
        <w:t>s</w:t>
      </w:r>
      <w:proofErr w:type="spellEnd"/>
      <w:r w:rsidR="004413D8">
        <w:rPr>
          <w:rFonts w:eastAsia="Times New Roman" w:cs="Times New Roman"/>
          <w:shd w:val="clear" w:color="auto" w:fill="FFFFFF"/>
        </w:rPr>
        <w:t xml:space="preserve"> &gt; </w:t>
      </w:r>
      <w:r w:rsidR="00D7089D">
        <w:rPr>
          <w:rFonts w:eastAsia="Times New Roman" w:cs="Times New Roman"/>
          <w:shd w:val="clear" w:color="auto" w:fill="FFFFFF"/>
        </w:rPr>
        <w:t xml:space="preserve">14, </w:t>
      </w:r>
      <w:proofErr w:type="spellStart"/>
      <w:r w:rsidR="00D7089D">
        <w:rPr>
          <w:rFonts w:eastAsia="Times New Roman" w:cs="Times New Roman"/>
          <w:i/>
          <w:shd w:val="clear" w:color="auto" w:fill="FFFFFF"/>
        </w:rPr>
        <w:t>p</w:t>
      </w:r>
      <w:r w:rsidR="00D7089D">
        <w:rPr>
          <w:rFonts w:eastAsia="Times New Roman" w:cs="Times New Roman"/>
          <w:shd w:val="clear" w:color="auto" w:fill="FFFFFF"/>
        </w:rPr>
        <w:t>s</w:t>
      </w:r>
      <w:proofErr w:type="spellEnd"/>
      <w:r w:rsidR="00D7089D">
        <w:rPr>
          <w:rFonts w:eastAsia="Times New Roman" w:cs="Times New Roman"/>
          <w:shd w:val="clear" w:color="auto" w:fill="FFFFFF"/>
        </w:rPr>
        <w:t xml:space="preserve">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2.2,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0.7,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stronger responses on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3.1,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2.0, </w:t>
      </w:r>
      <w:proofErr w:type="spellStart"/>
      <w:r w:rsidR="00B15E7F">
        <w:rPr>
          <w:rFonts w:eastAsia="Times New Roman" w:cs="Times New Roman"/>
          <w:i/>
          <w:shd w:val="clear" w:color="auto" w:fill="FFFFFF"/>
        </w:rPr>
        <w:t>ps</w:t>
      </w:r>
      <w:proofErr w:type="spellEnd"/>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of ERP effects is 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90C6C37" w:rsidR="00EA2972"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w:t>
      </w:r>
      <w:proofErr w:type="spellStart"/>
      <w:r w:rsidR="00EA2972">
        <w:rPr>
          <w:rFonts w:cs="Times New Roman"/>
        </w:rPr>
        <w:t>centro</w:t>
      </w:r>
      <w:proofErr w:type="spellEnd"/>
      <w:r w:rsidR="00EA2972">
        <w:rPr>
          <w:rFonts w:cs="Times New Roman"/>
        </w:rPr>
        <w:t xml:space="preserve">-parietal “Question minus Side” ERP difference waves for words from the mobility task </w:t>
      </w:r>
      <w:r>
        <w:rPr>
          <w:rFonts w:cs="Times New Roman"/>
        </w:rPr>
        <w:t xml:space="preserve">from </w:t>
      </w:r>
      <w:r w:rsidR="00EA2972">
        <w:rPr>
          <w:rFonts w:cs="Times New Roman"/>
        </w:rPr>
        <w:t xml:space="preserve">400-800 </w:t>
      </w:r>
      <w:proofErr w:type="spellStart"/>
      <w:r w:rsidR="00EA2972">
        <w:rPr>
          <w:rFonts w:cs="Times New Roman"/>
        </w:rPr>
        <w:t>ms</w:t>
      </w:r>
      <w:proofErr w:type="spellEnd"/>
      <w:r w:rsidR="00EA2972">
        <w:rPr>
          <w:rFonts w:cs="Times New Roman"/>
        </w:rPr>
        <w:t xml:space="preserve"> and 800-1400 </w:t>
      </w:r>
      <w:proofErr w:type="spellStart"/>
      <w:r w:rsidR="00EA2972">
        <w:rPr>
          <w:rFonts w:cs="Times New Roman"/>
        </w:rPr>
        <w:t>ms</w:t>
      </w:r>
      <w:proofErr w:type="spellEnd"/>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Moreover, these values were </w:t>
      </w:r>
      <w:r w:rsidR="0026257B">
        <w:rPr>
          <w:rFonts w:cs="Times New Roman"/>
        </w:rPr>
        <w:t xml:space="preserve">positively </w:t>
      </w:r>
      <w:r w:rsidR="00EA2972">
        <w:rPr>
          <w:rFonts w:cs="Times New Roman"/>
        </w:rPr>
        <w:t xml:space="preserve">correlated with “Question minus Side” accuracy difference scores, although the relationships were </w:t>
      </w:r>
      <w:r w:rsidR="00020AB6">
        <w:rPr>
          <w:rFonts w:cs="Times New Roman"/>
        </w:rPr>
        <w:t>modest</w:t>
      </w:r>
      <w:r w:rsidR="00EA2972">
        <w:rPr>
          <w:rFonts w:cs="Times New Roman"/>
        </w:rPr>
        <w:t xml:space="preserve"> (400-800 </w:t>
      </w:r>
      <w:proofErr w:type="spellStart"/>
      <w:r w:rsidR="00EA2972">
        <w:rPr>
          <w:rFonts w:cs="Times New Roman"/>
        </w:rPr>
        <w:t>ms</w:t>
      </w:r>
      <w:proofErr w:type="spellEnd"/>
      <w:r w:rsidR="00EA2972">
        <w:rPr>
          <w:rFonts w:cs="Times New Roman"/>
        </w:rPr>
        <w:t xml:space="preserve">,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 800-1400 </w:t>
      </w:r>
      <w:proofErr w:type="spellStart"/>
      <w:r w:rsidR="00EA2972">
        <w:rPr>
          <w:rFonts w:cs="Times New Roman"/>
        </w:rPr>
        <w:t>ms</w:t>
      </w:r>
      <w:proofErr w:type="spellEnd"/>
      <w:r w:rsidR="00EA2972">
        <w:rPr>
          <w:rFonts w:cs="Times New Roman"/>
        </w:rPr>
        <w:t xml:space="preserve">, </w:t>
      </w:r>
      <w:r w:rsidR="00EA2972">
        <w:rPr>
          <w:rFonts w:cs="Times New Roman"/>
          <w:i/>
        </w:rPr>
        <w:t>r</w:t>
      </w:r>
      <w:r w:rsidR="00EA2972">
        <w:rPr>
          <w:rFonts w:cs="Times New Roman"/>
        </w:rPr>
        <w:t xml:space="preserve"> = 0.28, </w:t>
      </w:r>
      <w:r w:rsidR="00EA2972">
        <w:rPr>
          <w:rFonts w:cs="Times New Roman"/>
          <w:i/>
        </w:rPr>
        <w:t>p</w:t>
      </w:r>
      <w:r w:rsidR="00EA2972">
        <w:rPr>
          <w:rFonts w:cs="Times New Roman"/>
        </w:rPr>
        <w:t xml:space="preserve"> = 0.05).</w:t>
      </w:r>
    </w:p>
    <w:p w14:paraId="2C47BF06" w14:textId="54734CF9" w:rsidR="00691496" w:rsidRDefault="003273D0" w:rsidP="005422CC">
      <w:pPr>
        <w:spacing w:line="480" w:lineRule="auto"/>
        <w:ind w:firstLine="720"/>
        <w:rPr>
          <w:rFonts w:cs="Times New Roman"/>
        </w:rPr>
      </w:pPr>
      <w:r>
        <w:rPr>
          <w:rFonts w:cs="Times New Roman"/>
        </w:rPr>
        <w:lastRenderedPageBreak/>
        <w:t xml:space="preserve">Next, we considered </w:t>
      </w:r>
      <w:r w:rsidR="00691496">
        <w:rPr>
          <w:rFonts w:cs="Times New Roman"/>
        </w:rPr>
        <w:t>individual differences</w:t>
      </w:r>
      <w:r>
        <w:rPr>
          <w:rFonts w:cs="Times New Roman"/>
        </w:rPr>
        <w:t xml:space="preserve"> in the depressed adults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-0.47, </w:t>
      </w:r>
      <w:r w:rsidR="00F901DC">
        <w:rPr>
          <w:rFonts w:cs="Times New Roman"/>
          <w:i/>
        </w:rPr>
        <w:t>p</w:t>
      </w:r>
      <w:r w:rsidR="00F901DC">
        <w:rPr>
          <w:rFonts w:cs="Times New Roman"/>
        </w:rPr>
        <w:t xml:space="preserve"> = 0.02</w:t>
      </w:r>
      <w:r w:rsidR="0067624A">
        <w:rPr>
          <w:rFonts w:cs="Times New Roman"/>
        </w:rPr>
        <w:t>)</w:t>
      </w:r>
      <w:r w:rsidR="00910423">
        <w:rPr>
          <w:rFonts w:cs="Times New Roman"/>
        </w:rPr>
        <w:t xml:space="preserve">; no other </w:t>
      </w:r>
      <w:r w:rsidR="00020AB6">
        <w:rPr>
          <w:rFonts w:cs="Times New Roman"/>
        </w:rPr>
        <w:t>result was</w:t>
      </w:r>
      <w:r w:rsidR="00910423">
        <w:rPr>
          <w:rFonts w:cs="Times New Roman"/>
        </w:rPr>
        <w:t xml:space="preserve"> significant.</w:t>
      </w:r>
    </w:p>
    <w:p w14:paraId="59061AA3" w14:textId="0F607651"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xml:space="preserve">, computed for words from the mobility task.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020AB6">
        <w:rPr>
          <w:rFonts w:cs="Times New Roman"/>
        </w:rPr>
        <w:t xml:space="preserve">condition </w:t>
      </w:r>
      <w:r>
        <w:rPr>
          <w:rFonts w:cs="Times New Roman"/>
        </w:rPr>
        <w:t xml:space="preserve">effects </w:t>
      </w:r>
      <w:r w:rsidR="00201292">
        <w:rPr>
          <w:rFonts w:cs="Times New Roman"/>
        </w:rPr>
        <w:t xml:space="preserve">were evident </w:t>
      </w:r>
      <w:r>
        <w:rPr>
          <w:rFonts w:cs="Times New Roman"/>
        </w:rPr>
        <w:t xml:space="preserve">in all </w:t>
      </w:r>
      <w:proofErr w:type="gramStart"/>
      <w:r>
        <w:rPr>
          <w:rFonts w:cs="Times New Roman"/>
        </w:rPr>
        <w:t>three time</w:t>
      </w:r>
      <w:proofErr w:type="gramEnd"/>
      <w:r>
        <w:rPr>
          <w:rFonts w:cs="Times New Roman"/>
        </w:rPr>
        <w:t xml:space="preserve"> windows (400-800 </w:t>
      </w:r>
      <w:proofErr w:type="spellStart"/>
      <w:r>
        <w:rPr>
          <w:rFonts w:cs="Times New Roman"/>
        </w:rPr>
        <w:t>ms</w:t>
      </w:r>
      <w:proofErr w:type="spellEnd"/>
      <w:r>
        <w:rPr>
          <w:rFonts w:cs="Times New Roman"/>
        </w:rPr>
        <w:t xml:space="preserve">, 800-1400 </w:t>
      </w:r>
      <w:proofErr w:type="spellStart"/>
      <w:r>
        <w:rPr>
          <w:rFonts w:cs="Times New Roman"/>
        </w:rPr>
        <w:t>ms</w:t>
      </w:r>
      <w:proofErr w:type="spellEnd"/>
      <w:r>
        <w:rPr>
          <w:rFonts w:cs="Times New Roman"/>
        </w:rPr>
        <w:t xml:space="preserve">, 1400-2000 </w:t>
      </w:r>
      <w:proofErr w:type="spellStart"/>
      <w:r>
        <w:rPr>
          <w:rFonts w:cs="Times New Roman"/>
        </w:rPr>
        <w:t>ms</w:t>
      </w:r>
      <w:proofErr w:type="spellEnd"/>
      <w:r>
        <w:rPr>
          <w:rFonts w:cs="Times New Roman"/>
        </w:rPr>
        <w:t>).</w:t>
      </w:r>
      <w:r w:rsidR="00FB7A5C">
        <w:rPr>
          <w:rFonts w:cs="Times New Roman"/>
        </w:rPr>
        <w:t xml:space="preserve"> </w:t>
      </w:r>
      <w:r w:rsidR="00B11932">
        <w:rPr>
          <w:rFonts w:cs="Times New Roman"/>
        </w:rPr>
        <w:t xml:space="preserve">The mean </w:t>
      </w:r>
      <w:r w:rsidR="00020AB6">
        <w:rPr>
          <w:rFonts w:cs="Times New Roman"/>
        </w:rPr>
        <w:t xml:space="preserve">ERP </w:t>
      </w:r>
      <w:r w:rsidR="00B11932">
        <w:rPr>
          <w:rFonts w:cs="Times New Roman"/>
        </w:rPr>
        <w:t>amplitude from these electrodes was correlated across the windows (</w:t>
      </w:r>
      <w:proofErr w:type="spellStart"/>
      <w:r w:rsidR="00B11932">
        <w:rPr>
          <w:rFonts w:cs="Times New Roman"/>
          <w:i/>
        </w:rPr>
        <w:t>r</w:t>
      </w:r>
      <w:r w:rsidR="00B11932">
        <w:rPr>
          <w:rFonts w:cs="Times New Roman"/>
        </w:rPr>
        <w:t>s</w:t>
      </w:r>
      <w:proofErr w:type="spellEnd"/>
      <w:r w:rsidR="00B11932">
        <w:rPr>
          <w:rFonts w:cs="Times New Roman"/>
        </w:rPr>
        <w:t xml:space="preserve"> &gt; 0.39, </w:t>
      </w:r>
      <w:proofErr w:type="spellStart"/>
      <w:r w:rsidR="00B11932">
        <w:rPr>
          <w:rFonts w:cs="Times New Roman"/>
          <w:i/>
        </w:rPr>
        <w:t>p</w:t>
      </w:r>
      <w:r w:rsidR="00B11932">
        <w:rPr>
          <w:rFonts w:cs="Times New Roman"/>
        </w:rPr>
        <w:t>s</w:t>
      </w:r>
      <w:proofErr w:type="spellEnd"/>
      <w:r w:rsidR="00B11932">
        <w:rPr>
          <w:rFonts w:cs="Times New Roman"/>
        </w:rPr>
        <w:t xml:space="preserve"> &lt; 0.053), but we </w:t>
      </w:r>
      <w:r w:rsidR="00020AB6">
        <w:rPr>
          <w:rFonts w:cs="Times New Roman"/>
        </w:rPr>
        <w:t xml:space="preserve">found no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in any </w:t>
      </w:r>
      <w:r w:rsidR="00020AB6">
        <w:rPr>
          <w:rFonts w:cs="Times New Roman"/>
        </w:rPr>
        <w:t>interval</w:t>
      </w:r>
      <w:r w:rsidR="00FB7A5C">
        <w:rPr>
          <w:rFonts w:cs="Times New Roman"/>
        </w:rPr>
        <w:t xml:space="preserve"> (|</w:t>
      </w:r>
      <w:proofErr w:type="spellStart"/>
      <w:r w:rsidR="00FB7A5C" w:rsidRPr="00FB7A5C">
        <w:rPr>
          <w:rFonts w:cs="Times New Roman"/>
          <w:i/>
        </w:rPr>
        <w:t>r</w:t>
      </w:r>
      <w:r w:rsidR="00FB7A5C">
        <w:rPr>
          <w:rFonts w:cs="Times New Roman"/>
        </w:rPr>
        <w:t>|</w:t>
      </w:r>
      <w:r w:rsidR="00FB7A5C" w:rsidRPr="00FB7A5C">
        <w:rPr>
          <w:rFonts w:cs="Times New Roman"/>
        </w:rPr>
        <w:t>s</w:t>
      </w:r>
      <w:proofErr w:type="spellEnd"/>
      <w:r w:rsidR="00FB7A5C">
        <w:rPr>
          <w:rFonts w:cs="Times New Roman"/>
        </w:rPr>
        <w:t xml:space="preserve"> &lt; 0.33, </w:t>
      </w:r>
      <w:proofErr w:type="spellStart"/>
      <w:r w:rsidR="00FB7A5C">
        <w:rPr>
          <w:rFonts w:cs="Times New Roman"/>
          <w:i/>
        </w:rPr>
        <w:t>p</w:t>
      </w:r>
      <w:r w:rsidR="00FB7A5C">
        <w:rPr>
          <w:rFonts w:cs="Times New Roman"/>
        </w:rPr>
        <w:t>s</w:t>
      </w:r>
      <w:proofErr w:type="spellEnd"/>
      <w:r w:rsidR="00FB7A5C">
        <w:rPr>
          <w:rFonts w:cs="Times New Roman"/>
        </w:rPr>
        <w:t xml:space="preserve"> &gt; 0.12).</w:t>
      </w:r>
      <w:r w:rsidR="00B11932">
        <w:rPr>
          <w:rFonts w:cs="Times New Roman"/>
        </w:rPr>
        <w:t xml:space="preserve"> Moreover, the ERPs were not </w:t>
      </w:r>
      <w:r w:rsidR="00020AB6">
        <w:rPr>
          <w:rFonts w:cs="Times New Roman"/>
        </w:rPr>
        <w:t xml:space="preserve">related to the </w:t>
      </w:r>
      <w:r w:rsidR="00B11932">
        <w:rPr>
          <w:rFonts w:cs="Times New Roman"/>
        </w:rPr>
        <w:t>self-report measure</w:t>
      </w:r>
      <w:r w:rsidR="00020AB6">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relationships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w:t>
      </w:r>
      <w:proofErr w:type="spellStart"/>
      <w:r w:rsidR="00B11932">
        <w:rPr>
          <w:rFonts w:cs="Times New Roman"/>
        </w:rPr>
        <w:t>ms</w:t>
      </w:r>
      <w:proofErr w:type="spellEnd"/>
      <w:r w:rsidR="00B11932">
        <w:rPr>
          <w:rFonts w:cs="Times New Roman"/>
        </w:rPr>
        <w:t xml:space="preserve">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w:t>
      </w:r>
      <w:proofErr w:type="spellStart"/>
      <w:r w:rsidR="00B11932">
        <w:rPr>
          <w:rFonts w:cs="Times New Roman"/>
        </w:rPr>
        <w:t>ms</w:t>
      </w:r>
      <w:proofErr w:type="spellEnd"/>
      <w:r w:rsidR="00B11932">
        <w:rPr>
          <w:rFonts w:cs="Times New Roman"/>
        </w:rPr>
        <w:t xml:space="preserve">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0D5DFED7" w:rsidR="007F53F6" w:rsidRPr="00265800" w:rsidRDefault="00871F7E" w:rsidP="00B11932">
      <w:pPr>
        <w:spacing w:line="480" w:lineRule="auto"/>
        <w:ind w:firstLine="720"/>
        <w:rPr>
          <w:rFonts w:cs="Times New Roman"/>
        </w:rPr>
      </w:pPr>
      <w:r>
        <w:rPr>
          <w:rFonts w:cs="Times New Roman"/>
        </w:rPr>
        <w:t>To confirm that th</w:t>
      </w:r>
      <w:r w:rsidR="00B11932">
        <w:rPr>
          <w:rFonts w:cs="Times New Roman"/>
        </w:rPr>
        <w:t>is last</w:t>
      </w:r>
      <w:r>
        <w:rPr>
          <w:rFonts w:cs="Times New Roman"/>
        </w:rPr>
        <w:t xml:space="preserve"> result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(400-800 </w:t>
      </w:r>
      <w:proofErr w:type="spellStart"/>
      <w:r>
        <w:rPr>
          <w:rFonts w:cs="Times New Roman"/>
        </w:rPr>
        <w:t>ms</w:t>
      </w:r>
      <w:proofErr w:type="spellEnd"/>
      <w:r>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w:t>
      </w:r>
      <w:r w:rsidR="00265800">
        <w:rPr>
          <w:rFonts w:cs="Times New Roman"/>
        </w:rPr>
        <w:lastRenderedPageBreak/>
        <w:t xml:space="preserve">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 xml:space="preserve">“Question minus Side” </w:t>
      </w:r>
      <w:r w:rsidR="00F51F67">
        <w:rPr>
          <w:rFonts w:cs="Times New Roman"/>
          <w:lang w:val="el-GR"/>
        </w:rPr>
        <w:t xml:space="preserve">ERP amplitude </w:t>
      </w:r>
      <w:r w:rsidR="00813809">
        <w:rPr>
          <w:rFonts w:cs="Times New Roman"/>
          <w:lang w:val="el-GR"/>
        </w:rPr>
        <w:t xml:space="preserve">for words from the mobility task </w:t>
      </w:r>
      <w:r w:rsidR="009A7432">
        <w:rPr>
          <w:rFonts w:cs="Times New Roman"/>
          <w:lang w:val="el-GR"/>
        </w:rPr>
        <w:t xml:space="preserve">was lowest in those depressed adults who reported chronic sleep disruption, and this effect </w:t>
      </w:r>
      <w:r w:rsidR="00A775B3">
        <w:rPr>
          <w:rFonts w:cs="Times New Roman"/>
          <w:lang w:val="el-GR"/>
        </w:rPr>
        <w:t>did not simply reflect</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w:t>
      </w:r>
      <w:proofErr w:type="gramStart"/>
      <w:r>
        <w:rPr>
          <w:rFonts w:cs="Times New Roman"/>
        </w:rPr>
        <w:t>of</w:t>
      </w:r>
      <w:proofErr w:type="gramEnd"/>
      <w:r>
        <w:rPr>
          <w:rFonts w:cs="Times New Roman"/>
        </w:rPr>
        <w:t xml:space="preserve">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w:t>
      </w:r>
      <w:proofErr w:type="spellStart"/>
      <w:r>
        <w:rPr>
          <w:rFonts w:cs="Times New Roman"/>
        </w:rPr>
        <w:t>ms.</w:t>
      </w:r>
      <w:proofErr w:type="spellEnd"/>
      <w:r>
        <w:rPr>
          <w:rFonts w:cs="Times New Roman"/>
        </w:rPr>
        <w:t xml:space="preserve">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w:t>
      </w:r>
      <w:proofErr w:type="spellStart"/>
      <w:r w:rsidR="004F0CAB">
        <w:rPr>
          <w:rFonts w:cs="Times New Roman"/>
        </w:rPr>
        <w:t>animacy</w:t>
      </w:r>
      <w:proofErr w:type="spellEnd"/>
      <w:r w:rsidR="004F0CAB">
        <w:rPr>
          <w:rFonts w:cs="Times New Roman"/>
        </w:rPr>
        <w:t xml:space="preserve">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w:t>
      </w:r>
      <w:r>
        <w:rPr>
          <w:rFonts w:cs="Times New Roman"/>
        </w:rPr>
        <w:lastRenderedPageBreak/>
        <w:t xml:space="preserve">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31FB93F0"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w:t>
      </w:r>
      <w:proofErr w:type="spellStart"/>
      <w:r w:rsidR="008523AB">
        <w:rPr>
          <w:rFonts w:cs="Times New Roman"/>
        </w:rPr>
        <w:t>animacy</w:t>
      </w:r>
      <w:proofErr w:type="spellEnd"/>
      <w:r w:rsidR="008523AB">
        <w:rPr>
          <w:rFonts w:cs="Times New Roman"/>
        </w:rPr>
        <w:t xml:space="preserve"> task were presented under the </w:t>
      </w:r>
      <w:r w:rsidR="00AC12DF">
        <w:rPr>
          <w:rFonts w:cs="Times New Roman"/>
        </w:rPr>
        <w:t xml:space="preserve">Question cue; instead lasting activity over left PFC was seen. </w:t>
      </w:r>
      <w:proofErr w:type="spellStart"/>
      <w:r w:rsidR="00AC12DF">
        <w:rPr>
          <w:rFonts w:cs="Times New Roman"/>
        </w:rPr>
        <w:t>A</w:t>
      </w:r>
      <w:r w:rsidR="008523AB">
        <w:rPr>
          <w:rFonts w:cs="Times New Roman"/>
        </w:rPr>
        <w:t>nimacy</w:t>
      </w:r>
      <w:proofErr w:type="spellEnd"/>
      <w:r w:rsidR="008523AB">
        <w:rPr>
          <w:rFonts w:cs="Times New Roman"/>
        </w:rPr>
        <w:t xml:space="preserve">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w:t>
      </w:r>
      <w:proofErr w:type="spellStart"/>
      <w:r w:rsidR="00AC12DF">
        <w:rPr>
          <w:rFonts w:cs="Times New Roman"/>
        </w:rPr>
        <w:t>animacy</w:t>
      </w:r>
      <w:proofErr w:type="spellEnd"/>
      <w:r w:rsidR="00AC12DF">
        <w:rPr>
          <w:rFonts w:cs="Times New Roman"/>
        </w:rPr>
        <w:t xml:space="preserve"> </w:t>
      </w:r>
      <w:r w:rsidR="007F0C9A">
        <w:rPr>
          <w:rFonts w:cs="Times New Roman"/>
        </w:rPr>
        <w:t>vs.</w:t>
      </w:r>
      <w:r w:rsidR="00AC12DF">
        <w:rPr>
          <w:rFonts w:cs="Times New Roman"/>
        </w:rPr>
        <w:t xml:space="preserve">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 xml:space="preserve">magining future events depends on the same </w:t>
      </w:r>
      <w:proofErr w:type="spellStart"/>
      <w:r w:rsidR="000A2028">
        <w:rPr>
          <w:rFonts w:cs="Times New Roman"/>
        </w:rPr>
        <w:t>parieto</w:t>
      </w:r>
      <w:proofErr w:type="spellEnd"/>
      <w:r w:rsidR="000A2028">
        <w:rPr>
          <w:rFonts w:cs="Times New Roman"/>
        </w:rPr>
        <w:t>-hippocampal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w:t>
      </w:r>
      <w:r w:rsidR="008A4A21">
        <w:rPr>
          <w:rFonts w:cs="Times New Roman"/>
        </w:rPr>
        <w:lastRenderedPageBreak/>
        <w:t>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w:t>
      </w:r>
      <w:proofErr w:type="spellStart"/>
      <w:r w:rsidR="00D708C6">
        <w:rPr>
          <w:rFonts w:cs="Times New Roman"/>
        </w:rPr>
        <w:t>parieto</w:t>
      </w:r>
      <w:proofErr w:type="spellEnd"/>
      <w:r w:rsidR="00D708C6">
        <w:rPr>
          <w:rFonts w:cs="Times New Roman"/>
        </w:rPr>
        <w:t>-hippocampal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w:t>
      </w:r>
      <w:proofErr w:type="spellStart"/>
      <w:r w:rsidR="00374BD9">
        <w:rPr>
          <w:rFonts w:cs="Times New Roman"/>
        </w:rPr>
        <w:t>parieto</w:t>
      </w:r>
      <w:proofErr w:type="spellEnd"/>
      <w:r w:rsidR="00374BD9">
        <w:rPr>
          <w:rFonts w:cs="Times New Roman"/>
        </w:rPr>
        <w:t xml:space="preserve">-hippocampal activity in episodic </w:t>
      </w:r>
      <w:r w:rsidR="009C419F">
        <w:rPr>
          <w:rFonts w:cs="Times New Roman"/>
        </w:rPr>
        <w:t>memory</w:t>
      </w:r>
      <w:r w:rsidR="00374BD9">
        <w:rPr>
          <w:rFonts w:cs="Times New Roman"/>
        </w:rPr>
        <w:t xml:space="preserve"> is</w:t>
      </w:r>
      <w:r w:rsidR="00D70C00">
        <w:rPr>
          <w:rFonts w:cs="Times New Roman"/>
        </w:rPr>
        <w:t xml:space="preserve"> already </w:t>
      </w:r>
      <w:proofErr w:type="gramStart"/>
      <w:r w:rsidR="00D70C00">
        <w:rPr>
          <w:rFonts w:cs="Times New Roman"/>
        </w:rPr>
        <w:t>well</w:t>
      </w:r>
      <w:r w:rsidR="00374BD9">
        <w:rPr>
          <w:rFonts w:cs="Times New Roman"/>
        </w:rPr>
        <w:t>-known</w:t>
      </w:r>
      <w:proofErr w:type="gramEnd"/>
      <w:r w:rsidR="00374BD9">
        <w:rPr>
          <w:rFonts w:cs="Times New Roman"/>
        </w:rPr>
        <w:t xml:space="preserve">.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7CB9F7DD" w14:textId="77777777" w:rsidR="00C97343" w:rsidRDefault="00C97343" w:rsidP="001C515F">
      <w:pPr>
        <w:spacing w:line="480" w:lineRule="auto"/>
        <w:ind w:firstLine="720"/>
        <w:rPr>
          <w:rFonts w:cs="Times New Roman"/>
        </w:rPr>
      </w:pPr>
    </w:p>
    <w:p w14:paraId="4D1107CD" w14:textId="216511B3" w:rsidR="00C97343" w:rsidRDefault="00C97343" w:rsidP="00C97343">
      <w:pPr>
        <w:spacing w:line="480" w:lineRule="auto"/>
        <w:rPr>
          <w:rFonts w:cs="Times New Roman"/>
        </w:rPr>
      </w:pPr>
      <w:r>
        <w:rPr>
          <w:rFonts w:cs="Times New Roman"/>
          <w:u w:val="single"/>
        </w:rPr>
        <w:t>Need to add</w:t>
      </w:r>
    </w:p>
    <w:p w14:paraId="3D64CBC8" w14:textId="5EEA83A2" w:rsidR="00C97343" w:rsidRDefault="00C97343" w:rsidP="00C97343">
      <w:pPr>
        <w:spacing w:line="480" w:lineRule="auto"/>
        <w:rPr>
          <w:rFonts w:cs="Times New Roman"/>
        </w:rPr>
      </w:pPr>
      <w:r>
        <w:rPr>
          <w:rFonts w:cs="Times New Roman"/>
        </w:rPr>
        <w:t>1. Point about lack of new items</w:t>
      </w:r>
    </w:p>
    <w:p w14:paraId="6F442EAC" w14:textId="7F513C0A" w:rsidR="00F33ACC" w:rsidRDefault="00F33ACC" w:rsidP="00C97343">
      <w:pPr>
        <w:spacing w:line="480" w:lineRule="auto"/>
        <w:rPr>
          <w:rFonts w:cs="Times New Roman"/>
        </w:rPr>
      </w:pPr>
      <w:r>
        <w:rPr>
          <w:rFonts w:cs="Times New Roman"/>
        </w:rPr>
        <w:t>2. Fact that in Bergstrom and Simons (2005a,b, 2008), the data are collapsed across encoding tasks, which may mask important effects like those we see.</w:t>
      </w:r>
    </w:p>
    <w:p w14:paraId="713D8A2B" w14:textId="4340F56F" w:rsidR="00282CF3" w:rsidRDefault="00282CF3" w:rsidP="00C97343">
      <w:pPr>
        <w:spacing w:line="480" w:lineRule="auto"/>
        <w:rPr>
          <w:rFonts w:cs="Times New Roman"/>
        </w:rPr>
      </w:pPr>
      <w:r>
        <w:rPr>
          <w:rFonts w:cs="Times New Roman"/>
        </w:rPr>
        <w:t>3. Talk about lower confidence under Side in depression without implying that less evidence is recovered, because there is no MDD &lt; HC difference in Side accuracy (or Question accuracy).</w:t>
      </w:r>
    </w:p>
    <w:p w14:paraId="217548F0" w14:textId="19106AD2" w:rsidR="00B22C01" w:rsidRDefault="00B22C01" w:rsidP="00C97343">
      <w:pPr>
        <w:spacing w:line="480" w:lineRule="auto"/>
        <w:rPr>
          <w:rFonts w:cs="Times New Roman"/>
        </w:rPr>
      </w:pPr>
      <w:r>
        <w:rPr>
          <w:rFonts w:cs="Times New Roman"/>
        </w:rPr>
        <w:t>4. Clarify that RT can be used to index relative depth in two deep tasks, cite D&amp;W (2005)</w:t>
      </w:r>
      <w:r w:rsidR="00656A4C">
        <w:rPr>
          <w:rFonts w:cs="Times New Roman"/>
        </w:rPr>
        <w:t>.</w:t>
      </w:r>
    </w:p>
    <w:p w14:paraId="5F6DF9AE" w14:textId="638093AD" w:rsidR="00656A4C" w:rsidRDefault="00656A4C" w:rsidP="00C97343">
      <w:pPr>
        <w:spacing w:line="480" w:lineRule="auto"/>
        <w:rPr>
          <w:rFonts w:cs="Times New Roman"/>
        </w:rPr>
      </w:pPr>
      <w:r>
        <w:rPr>
          <w:rFonts w:cs="Times New Roman"/>
        </w:rPr>
        <w:t>5. Tone down any strong claims about a tight link b/w left parietal ERPs and disrupted recollection in MDD.</w:t>
      </w:r>
    </w:p>
    <w:p w14:paraId="699A677A" w14:textId="3994C4CD" w:rsidR="00656A4C" w:rsidRDefault="00656A4C" w:rsidP="00C97343">
      <w:pPr>
        <w:spacing w:line="480" w:lineRule="auto"/>
        <w:rPr>
          <w:rFonts w:cs="Times New Roman"/>
        </w:rPr>
      </w:pPr>
      <w:r>
        <w:rPr>
          <w:rFonts w:cs="Times New Roman"/>
        </w:rPr>
        <w:t>6</w:t>
      </w:r>
      <w:r w:rsidR="00B25A2A">
        <w:rPr>
          <w:rFonts w:cs="Times New Roman"/>
        </w:rPr>
        <w:t xml:space="preserve">. In the </w:t>
      </w:r>
      <w:proofErr w:type="gramStart"/>
      <w:r w:rsidR="00B25A2A">
        <w:rPr>
          <w:rFonts w:cs="Times New Roman"/>
        </w:rPr>
        <w:t>Discussion,</w:t>
      </w:r>
      <w:proofErr w:type="gramEnd"/>
      <w:r w:rsidR="00B25A2A">
        <w:rPr>
          <w:rFonts w:cs="Times New Roman"/>
        </w:rPr>
        <w:t xml:space="preserve"> note that the analyses presented in Figures 8 and 9 are exploratory and thus associated with increased risk of Type I error.</w:t>
      </w:r>
    </w:p>
    <w:p w14:paraId="2DF7EF4D" w14:textId="3D471F3C" w:rsidR="006A746A" w:rsidRPr="00C97343" w:rsidRDefault="006A746A" w:rsidP="00C97343">
      <w:pPr>
        <w:spacing w:line="480" w:lineRule="auto"/>
        <w:rPr>
          <w:rFonts w:cs="Times New Roman"/>
        </w:rPr>
      </w:pPr>
      <w:r>
        <w:rPr>
          <w:rFonts w:cs="Times New Roman"/>
        </w:rPr>
        <w:t xml:space="preserve">7. Add references to </w:t>
      </w:r>
      <w:proofErr w:type="spellStart"/>
      <w:r>
        <w:rPr>
          <w:rFonts w:cs="Times New Roman"/>
        </w:rPr>
        <w:t>Starns</w:t>
      </w:r>
      <w:proofErr w:type="spellEnd"/>
      <w:r>
        <w:rPr>
          <w:rFonts w:cs="Times New Roman"/>
        </w:rPr>
        <w:t xml:space="preserve"> &amp; Hicks, including their 2005 multidimensional paper (at least)</w:t>
      </w:r>
    </w:p>
    <w:p w14:paraId="0AF7DD7F" w14:textId="77777777" w:rsidR="005322B3" w:rsidRDefault="005322B3">
      <w:pPr>
        <w:rPr>
          <w:rFonts w:cs="Times New Roman"/>
        </w:rPr>
      </w:pPr>
      <w:r>
        <w:rPr>
          <w:rFonts w:cs="Times New Roman"/>
        </w:rPr>
        <w:lastRenderedPageBreak/>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 xml:space="preserve">The authors gratefully acknowledge Victoria </w:t>
      </w:r>
      <w:proofErr w:type="spellStart"/>
      <w:r w:rsidR="006155BE">
        <w:rPr>
          <w:rFonts w:cs="Times New Roman"/>
          <w:bCs/>
        </w:rPr>
        <w:t>Lawlor</w:t>
      </w:r>
      <w:proofErr w:type="spellEnd"/>
      <w:r w:rsidR="006155BE">
        <w:rPr>
          <w:rFonts w:cs="Times New Roman"/>
          <w:bCs/>
        </w:rPr>
        <w:t xml:space="preserve">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w:t>
      </w:r>
      <w:proofErr w:type="gramStart"/>
      <w:r>
        <w:rPr>
          <w:rFonts w:cs="Times New Roman"/>
        </w:rPr>
        <w:t>Encoding (A) response accuracy and (B) correct response time (RT).</w:t>
      </w:r>
      <w:proofErr w:type="gramEnd"/>
      <w:r>
        <w:rPr>
          <w:rFonts w:cs="Times New Roman"/>
        </w:rPr>
        <w:t xml:space="preserve">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w:t>
      </w:r>
      <w:proofErr w:type="spellStart"/>
      <w:r w:rsidR="00895EF2">
        <w:rPr>
          <w:rFonts w:cs="Times New Roman"/>
        </w:rPr>
        <w:t>animacy</w:t>
      </w:r>
      <w:proofErr w:type="spellEnd"/>
      <w:r w:rsidR="00895EF2">
        <w:rPr>
          <w:rFonts w:cs="Times New Roman"/>
        </w:rPr>
        <w:t xml:space="preserve">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w:t>
      </w:r>
      <w:proofErr w:type="spellStart"/>
      <w:r w:rsidR="002547A1">
        <w:rPr>
          <w:rFonts w:cs="Times New Roman"/>
        </w:rPr>
        <w:t>animacy</w:t>
      </w:r>
      <w:proofErr w:type="spellEnd"/>
      <w:r w:rsidR="002547A1">
        <w:rPr>
          <w:rFonts w:cs="Times New Roman"/>
        </w:rPr>
        <w:t xml:space="preserve">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w:t>
      </w:r>
      <w:r w:rsidR="00E16D6B">
        <w:rPr>
          <w:rFonts w:cs="Times New Roman"/>
        </w:rPr>
        <w:lastRenderedPageBreak/>
        <w:t xml:space="preserve">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w:t>
      </w:r>
      <w:proofErr w:type="spellStart"/>
      <w:r w:rsidR="00220298">
        <w:rPr>
          <w:rFonts w:cs="Times New Roman"/>
        </w:rPr>
        <w:t>animacy</w:t>
      </w:r>
      <w:proofErr w:type="spellEnd"/>
      <w:r w:rsidR="00220298">
        <w:rPr>
          <w:rFonts w:cs="Times New Roman"/>
        </w:rPr>
        <w:t xml:space="preserve">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w:t>
      </w:r>
      <w:proofErr w:type="spellStart"/>
      <w:r w:rsidR="00447BEE">
        <w:rPr>
          <w:rFonts w:cs="Times New Roman"/>
        </w:rPr>
        <w:t>animacy</w:t>
      </w:r>
      <w:proofErr w:type="spellEnd"/>
      <w:r w:rsidR="00447BEE">
        <w:rPr>
          <w:rFonts w:cs="Times New Roman"/>
        </w:rPr>
        <w:t xml:space="preserve">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w:t>
      </w:r>
      <w:proofErr w:type="gramStart"/>
      <w:r>
        <w:rPr>
          <w:rFonts w:cs="Times New Roman"/>
        </w:rPr>
        <w:t>cue</w:t>
      </w:r>
      <w:proofErr w:type="gramEnd"/>
      <w:r>
        <w:rPr>
          <w:rFonts w:cs="Times New Roman"/>
        </w:rPr>
        <w:t xml:space="preserve">, and task. All participants were more </w:t>
      </w:r>
      <w:proofErr w:type="gramStart"/>
      <w:r>
        <w:rPr>
          <w:rFonts w:cs="Times New Roman"/>
        </w:rPr>
        <w:t>confident</w:t>
      </w:r>
      <w:proofErr w:type="gramEnd"/>
      <w:r>
        <w:rPr>
          <w:rFonts w:cs="Times New Roman"/>
        </w:rPr>
        <w:t xml:space="preserve"> when responding to words from the mobility task </w:t>
      </w:r>
      <w:r w:rsidR="00A510D7">
        <w:rPr>
          <w:rFonts w:cs="Times New Roman"/>
        </w:rPr>
        <w:t xml:space="preserve">(left panel) </w:t>
      </w:r>
      <w:r w:rsidR="007F0C9A">
        <w:rPr>
          <w:rFonts w:cs="Times New Roman"/>
        </w:rPr>
        <w:t>vs.</w:t>
      </w:r>
      <w:r>
        <w:rPr>
          <w:rFonts w:cs="Times New Roman"/>
        </w:rPr>
        <w:t xml:space="preserve"> the </w:t>
      </w:r>
      <w:proofErr w:type="spellStart"/>
      <w:r>
        <w:rPr>
          <w:rFonts w:cs="Times New Roman"/>
        </w:rPr>
        <w:t>animacy</w:t>
      </w:r>
      <w:proofErr w:type="spellEnd"/>
      <w:r>
        <w:rPr>
          <w:rFonts w:cs="Times New Roman"/>
        </w:rPr>
        <w:t xml:space="preserve">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proofErr w:type="spellStart"/>
      <w:r w:rsidR="00F668F0">
        <w:rPr>
          <w:rFonts w:cs="Times New Roman"/>
          <w:i/>
        </w:rPr>
        <w:t>p</w:t>
      </w:r>
      <w:r w:rsidR="00F668F0">
        <w:rPr>
          <w:rFonts w:cs="Times New Roman"/>
        </w:rPr>
        <w:t>s</w:t>
      </w:r>
      <w:proofErr w:type="spellEnd"/>
      <w:r w:rsidR="00F668F0">
        <w:rPr>
          <w:rFonts w:cs="Times New Roman"/>
        </w:rPr>
        <w:t xml:space="preserve">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FE5A42">
        <w:rPr>
          <w:rFonts w:cs="Times New Roman"/>
        </w:rPr>
        <w:t xml:space="preserve">The data are collapsed across </w:t>
      </w:r>
      <w:proofErr w:type="gramStart"/>
      <w:r w:rsidR="00FE5A42">
        <w:rPr>
          <w:rFonts w:cs="Times New Roman"/>
        </w:rPr>
        <w:lastRenderedPageBreak/>
        <w:t>groups</w:t>
      </w:r>
      <w:proofErr w:type="gramEnd"/>
      <w:r w:rsidR="00FE5A42">
        <w:rPr>
          <w:rFonts w:cs="Times New Roman"/>
        </w:rPr>
        <w:t xml:space="preserve">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 xml:space="preserve">were found from 400-800 </w:t>
      </w:r>
      <w:proofErr w:type="spellStart"/>
      <w:r>
        <w:rPr>
          <w:rFonts w:cs="Times New Roman"/>
        </w:rPr>
        <w:t>ms.</w:t>
      </w:r>
      <w:proofErr w:type="spellEnd"/>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proofErr w:type="spellStart"/>
      <w:r w:rsidRPr="00EE03F1">
        <w:rPr>
          <w:rFonts w:cs="Times New Roman"/>
        </w:rPr>
        <w:t>animacy</w:t>
      </w:r>
      <w:proofErr w:type="spellEnd"/>
      <w:r>
        <w:rPr>
          <w:rFonts w:cs="Times New Roman"/>
        </w:rPr>
        <w:t xml:space="preserve">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topographies</w:t>
      </w:r>
      <w:r>
        <w:rPr>
          <w:rFonts w:cs="Times New Roman"/>
        </w:rPr>
        <w:t xml:space="preserve">,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w:t>
      </w:r>
      <w:proofErr w:type="spellStart"/>
      <w:r>
        <w:rPr>
          <w:rFonts w:cs="Times New Roman"/>
        </w:rPr>
        <w:t>ms.</w:t>
      </w:r>
      <w:proofErr w:type="spellEnd"/>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and 800-1400 </w:t>
      </w:r>
      <w:proofErr w:type="spellStart"/>
      <w:r>
        <w:rPr>
          <w:rFonts w:cs="Times New Roman"/>
        </w:rPr>
        <w:t>ms</w:t>
      </w:r>
      <w:proofErr w:type="spellEnd"/>
      <w:r>
        <w:rPr>
          <w:rFonts w:cs="Times New Roman"/>
        </w:rPr>
        <w:t xml:space="preserve">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proofErr w:type="gramStart"/>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Group</w:t>
      </w:r>
      <w:proofErr w:type="gramEnd"/>
      <w:r>
        <w:rPr>
          <w:rFonts w:cs="Times New Roman"/>
          <w:i/>
        </w:rPr>
        <w:t xml:space="preserve">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 xml:space="preserve">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w:t>
      </w:r>
      <w:proofErr w:type="spellStart"/>
      <w:r w:rsidR="00AC0D08">
        <w:rPr>
          <w:rFonts w:cs="Times New Roman"/>
        </w:rPr>
        <w:t>ms</w:t>
      </w:r>
      <w:proofErr w:type="spellEnd"/>
      <w:r w:rsidR="00AC0D08">
        <w:rPr>
          <w:rFonts w:cs="Times New Roman"/>
        </w:rPr>
        <w:t xml:space="preserve"> and (E) 800-1400 </w:t>
      </w:r>
      <w:proofErr w:type="spellStart"/>
      <w:r w:rsidR="00AC0D08">
        <w:rPr>
          <w:rFonts w:cs="Times New Roman"/>
        </w:rPr>
        <w:t>ms</w:t>
      </w:r>
      <w:proofErr w:type="spellEnd"/>
      <w:r w:rsidR="00AC0D08">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3776FD" w:rsidRDefault="003776FD" w:rsidP="00722819">
      <w:r>
        <w:separator/>
      </w:r>
    </w:p>
  </w:endnote>
  <w:endnote w:type="continuationSeparator" w:id="0">
    <w:p w14:paraId="357C1BF8" w14:textId="77777777" w:rsidR="003776FD" w:rsidRDefault="003776FD"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3776FD" w:rsidRDefault="003776FD"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3776FD" w:rsidRDefault="003776FD"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3776FD" w:rsidRDefault="003776FD"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C163D5">
      <w:rPr>
        <w:rStyle w:val="PageNumber"/>
        <w:rFonts w:ascii="Times New Roman" w:hAnsi="Times New Roman" w:cs="Times New Roman"/>
        <w:noProof/>
      </w:rPr>
      <w:t>21</w:t>
    </w:r>
    <w:r w:rsidRPr="003B342E">
      <w:rPr>
        <w:rStyle w:val="PageNumber"/>
        <w:rFonts w:ascii="Times New Roman" w:hAnsi="Times New Roman" w:cs="Times New Roman"/>
      </w:rPr>
      <w:fldChar w:fldCharType="end"/>
    </w:r>
  </w:p>
  <w:p w14:paraId="03673DD7" w14:textId="77777777" w:rsidR="003776FD" w:rsidRDefault="003776FD"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3776FD" w:rsidRDefault="003776FD" w:rsidP="00722819">
      <w:r>
        <w:separator/>
      </w:r>
    </w:p>
  </w:footnote>
  <w:footnote w:type="continuationSeparator" w:id="0">
    <w:p w14:paraId="3C0F3974" w14:textId="77777777" w:rsidR="003776FD" w:rsidRDefault="003776FD"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3776FD" w:rsidRDefault="003776FD">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3776FD" w:rsidRDefault="003776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3776FD" w:rsidRPr="007D120A" w:rsidRDefault="003776FD">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3776FD" w:rsidRPr="007D120A" w:rsidRDefault="003776FD">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0AB6"/>
    <w:rsid w:val="000218CA"/>
    <w:rsid w:val="00023569"/>
    <w:rsid w:val="00023794"/>
    <w:rsid w:val="00024B28"/>
    <w:rsid w:val="0002566D"/>
    <w:rsid w:val="0002617C"/>
    <w:rsid w:val="000303AF"/>
    <w:rsid w:val="00030A0F"/>
    <w:rsid w:val="00033A85"/>
    <w:rsid w:val="00041EA1"/>
    <w:rsid w:val="000422CA"/>
    <w:rsid w:val="0004393E"/>
    <w:rsid w:val="00043B11"/>
    <w:rsid w:val="00043C35"/>
    <w:rsid w:val="00043E84"/>
    <w:rsid w:val="00044447"/>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305"/>
    <w:rsid w:val="000B5681"/>
    <w:rsid w:val="000B57E9"/>
    <w:rsid w:val="000B78DC"/>
    <w:rsid w:val="000C0E34"/>
    <w:rsid w:val="000C12BD"/>
    <w:rsid w:val="000C4892"/>
    <w:rsid w:val="000C51A9"/>
    <w:rsid w:val="000C5A45"/>
    <w:rsid w:val="000C7487"/>
    <w:rsid w:val="000C75D6"/>
    <w:rsid w:val="000D15C7"/>
    <w:rsid w:val="000D2F13"/>
    <w:rsid w:val="000D3326"/>
    <w:rsid w:val="000D447B"/>
    <w:rsid w:val="000D6DC8"/>
    <w:rsid w:val="000E1750"/>
    <w:rsid w:val="000E1C7E"/>
    <w:rsid w:val="000E330E"/>
    <w:rsid w:val="000E55CA"/>
    <w:rsid w:val="000E61D9"/>
    <w:rsid w:val="000E6E9A"/>
    <w:rsid w:val="000E72D3"/>
    <w:rsid w:val="000E7FC5"/>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606"/>
    <w:rsid w:val="001C0969"/>
    <w:rsid w:val="001C1034"/>
    <w:rsid w:val="001C14D8"/>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3D0"/>
    <w:rsid w:val="00201292"/>
    <w:rsid w:val="00201338"/>
    <w:rsid w:val="00202753"/>
    <w:rsid w:val="00203449"/>
    <w:rsid w:val="00204481"/>
    <w:rsid w:val="00204800"/>
    <w:rsid w:val="002051E3"/>
    <w:rsid w:val="002058F8"/>
    <w:rsid w:val="00205D2E"/>
    <w:rsid w:val="00206E3D"/>
    <w:rsid w:val="00206FA2"/>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3CE9"/>
    <w:rsid w:val="00224B73"/>
    <w:rsid w:val="0023199E"/>
    <w:rsid w:val="002329C3"/>
    <w:rsid w:val="00233F7F"/>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B4D"/>
    <w:rsid w:val="00273E96"/>
    <w:rsid w:val="00275656"/>
    <w:rsid w:val="00275A51"/>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650C"/>
    <w:rsid w:val="002A224B"/>
    <w:rsid w:val="002A3408"/>
    <w:rsid w:val="002A364E"/>
    <w:rsid w:val="002A597C"/>
    <w:rsid w:val="002B0CD6"/>
    <w:rsid w:val="002B14D3"/>
    <w:rsid w:val="002B1F66"/>
    <w:rsid w:val="002B2765"/>
    <w:rsid w:val="002B42DF"/>
    <w:rsid w:val="002B46EC"/>
    <w:rsid w:val="002B7840"/>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4C25"/>
    <w:rsid w:val="003062B0"/>
    <w:rsid w:val="00306CC7"/>
    <w:rsid w:val="00306E53"/>
    <w:rsid w:val="003107D9"/>
    <w:rsid w:val="003111A1"/>
    <w:rsid w:val="00311F3B"/>
    <w:rsid w:val="003151EC"/>
    <w:rsid w:val="00315462"/>
    <w:rsid w:val="00320018"/>
    <w:rsid w:val="003207DF"/>
    <w:rsid w:val="00321230"/>
    <w:rsid w:val="003223A2"/>
    <w:rsid w:val="00323223"/>
    <w:rsid w:val="003272CE"/>
    <w:rsid w:val="003273D0"/>
    <w:rsid w:val="0033104C"/>
    <w:rsid w:val="003318BE"/>
    <w:rsid w:val="0033552C"/>
    <w:rsid w:val="00336B74"/>
    <w:rsid w:val="00337C0B"/>
    <w:rsid w:val="00340549"/>
    <w:rsid w:val="00341111"/>
    <w:rsid w:val="003422FF"/>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6FD"/>
    <w:rsid w:val="003778CF"/>
    <w:rsid w:val="00377F20"/>
    <w:rsid w:val="00380C21"/>
    <w:rsid w:val="003819ED"/>
    <w:rsid w:val="0038294F"/>
    <w:rsid w:val="003832F4"/>
    <w:rsid w:val="00383964"/>
    <w:rsid w:val="00384CC3"/>
    <w:rsid w:val="00385599"/>
    <w:rsid w:val="00385A48"/>
    <w:rsid w:val="003861A5"/>
    <w:rsid w:val="00392228"/>
    <w:rsid w:val="00392636"/>
    <w:rsid w:val="00392D47"/>
    <w:rsid w:val="00393A84"/>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54BC"/>
    <w:rsid w:val="003F6352"/>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2E23"/>
    <w:rsid w:val="004B2F3E"/>
    <w:rsid w:val="004B37D9"/>
    <w:rsid w:val="004B3DB9"/>
    <w:rsid w:val="004B4FD1"/>
    <w:rsid w:val="004C0638"/>
    <w:rsid w:val="004C0CB4"/>
    <w:rsid w:val="004C151D"/>
    <w:rsid w:val="004C217C"/>
    <w:rsid w:val="004C3795"/>
    <w:rsid w:val="004C43CC"/>
    <w:rsid w:val="004C505B"/>
    <w:rsid w:val="004C7F4B"/>
    <w:rsid w:val="004D2359"/>
    <w:rsid w:val="004D35A5"/>
    <w:rsid w:val="004D38BF"/>
    <w:rsid w:val="004D45C2"/>
    <w:rsid w:val="004D5625"/>
    <w:rsid w:val="004E1BC2"/>
    <w:rsid w:val="004E1F21"/>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32194"/>
    <w:rsid w:val="005322B3"/>
    <w:rsid w:val="00533DD6"/>
    <w:rsid w:val="00534271"/>
    <w:rsid w:val="005350D8"/>
    <w:rsid w:val="0053720E"/>
    <w:rsid w:val="00540DFC"/>
    <w:rsid w:val="00541818"/>
    <w:rsid w:val="005422CC"/>
    <w:rsid w:val="00542BC4"/>
    <w:rsid w:val="00546610"/>
    <w:rsid w:val="00546761"/>
    <w:rsid w:val="0054777E"/>
    <w:rsid w:val="00550101"/>
    <w:rsid w:val="005504E1"/>
    <w:rsid w:val="00551BDC"/>
    <w:rsid w:val="00552795"/>
    <w:rsid w:val="005539C8"/>
    <w:rsid w:val="00557796"/>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97311"/>
    <w:rsid w:val="005A0107"/>
    <w:rsid w:val="005A0C1F"/>
    <w:rsid w:val="005A2DCB"/>
    <w:rsid w:val="005A2DCF"/>
    <w:rsid w:val="005A5349"/>
    <w:rsid w:val="005A62CC"/>
    <w:rsid w:val="005A6E36"/>
    <w:rsid w:val="005B07CC"/>
    <w:rsid w:val="005B0D1E"/>
    <w:rsid w:val="005B15CD"/>
    <w:rsid w:val="005B28F4"/>
    <w:rsid w:val="005B3898"/>
    <w:rsid w:val="005B5E97"/>
    <w:rsid w:val="005B6444"/>
    <w:rsid w:val="005B7859"/>
    <w:rsid w:val="005C03FD"/>
    <w:rsid w:val="005C13EF"/>
    <w:rsid w:val="005C20F5"/>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504"/>
    <w:rsid w:val="00622DCC"/>
    <w:rsid w:val="006239C9"/>
    <w:rsid w:val="00623F8D"/>
    <w:rsid w:val="0062463C"/>
    <w:rsid w:val="006250A5"/>
    <w:rsid w:val="006252FF"/>
    <w:rsid w:val="00625C43"/>
    <w:rsid w:val="006265B2"/>
    <w:rsid w:val="0063088B"/>
    <w:rsid w:val="00630A92"/>
    <w:rsid w:val="00630E41"/>
    <w:rsid w:val="006318B7"/>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6A4C"/>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C6D"/>
    <w:rsid w:val="0067414F"/>
    <w:rsid w:val="0067450A"/>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A111F"/>
    <w:rsid w:val="006A49CD"/>
    <w:rsid w:val="006A5001"/>
    <w:rsid w:val="006A5058"/>
    <w:rsid w:val="006A6BDC"/>
    <w:rsid w:val="006A6EDC"/>
    <w:rsid w:val="006A746A"/>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2AEE"/>
    <w:rsid w:val="007234E0"/>
    <w:rsid w:val="007313C2"/>
    <w:rsid w:val="00732559"/>
    <w:rsid w:val="00733208"/>
    <w:rsid w:val="00733E52"/>
    <w:rsid w:val="00734E58"/>
    <w:rsid w:val="0073641C"/>
    <w:rsid w:val="00737EA6"/>
    <w:rsid w:val="007415E8"/>
    <w:rsid w:val="00741A65"/>
    <w:rsid w:val="00741E7A"/>
    <w:rsid w:val="007420ED"/>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285F"/>
    <w:rsid w:val="007B3B63"/>
    <w:rsid w:val="007B3E29"/>
    <w:rsid w:val="007B56FF"/>
    <w:rsid w:val="007C0B1C"/>
    <w:rsid w:val="007C1338"/>
    <w:rsid w:val="007C1646"/>
    <w:rsid w:val="007C2EB1"/>
    <w:rsid w:val="007C7D67"/>
    <w:rsid w:val="007D120A"/>
    <w:rsid w:val="007D5FBC"/>
    <w:rsid w:val="007D6712"/>
    <w:rsid w:val="007D73C7"/>
    <w:rsid w:val="007E0A2B"/>
    <w:rsid w:val="007E3B2F"/>
    <w:rsid w:val="007E5958"/>
    <w:rsid w:val="007E787C"/>
    <w:rsid w:val="007E7BFF"/>
    <w:rsid w:val="007F08CD"/>
    <w:rsid w:val="007F0AB5"/>
    <w:rsid w:val="007F0C9A"/>
    <w:rsid w:val="007F10C2"/>
    <w:rsid w:val="007F4773"/>
    <w:rsid w:val="007F4BA6"/>
    <w:rsid w:val="007F4BC9"/>
    <w:rsid w:val="007F51A9"/>
    <w:rsid w:val="007F53F6"/>
    <w:rsid w:val="007F5C73"/>
    <w:rsid w:val="007F77DD"/>
    <w:rsid w:val="0080205A"/>
    <w:rsid w:val="00802F52"/>
    <w:rsid w:val="0080655E"/>
    <w:rsid w:val="00810A2B"/>
    <w:rsid w:val="00810C54"/>
    <w:rsid w:val="00813305"/>
    <w:rsid w:val="00813809"/>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3259"/>
    <w:rsid w:val="00873C16"/>
    <w:rsid w:val="00874C38"/>
    <w:rsid w:val="00876795"/>
    <w:rsid w:val="0087692D"/>
    <w:rsid w:val="0088016C"/>
    <w:rsid w:val="00881744"/>
    <w:rsid w:val="00883978"/>
    <w:rsid w:val="00883990"/>
    <w:rsid w:val="00884839"/>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3C0A"/>
    <w:rsid w:val="009B654B"/>
    <w:rsid w:val="009B7363"/>
    <w:rsid w:val="009C151C"/>
    <w:rsid w:val="009C419F"/>
    <w:rsid w:val="009C4AF2"/>
    <w:rsid w:val="009D0305"/>
    <w:rsid w:val="009D2407"/>
    <w:rsid w:val="009D3081"/>
    <w:rsid w:val="009D331F"/>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9F51B8"/>
    <w:rsid w:val="009F7337"/>
    <w:rsid w:val="00A00012"/>
    <w:rsid w:val="00A0076D"/>
    <w:rsid w:val="00A0412E"/>
    <w:rsid w:val="00A0448D"/>
    <w:rsid w:val="00A04C7A"/>
    <w:rsid w:val="00A04C94"/>
    <w:rsid w:val="00A06215"/>
    <w:rsid w:val="00A068B2"/>
    <w:rsid w:val="00A07F6D"/>
    <w:rsid w:val="00A11790"/>
    <w:rsid w:val="00A1243D"/>
    <w:rsid w:val="00A12583"/>
    <w:rsid w:val="00A13D80"/>
    <w:rsid w:val="00A176D4"/>
    <w:rsid w:val="00A21D60"/>
    <w:rsid w:val="00A24B48"/>
    <w:rsid w:val="00A264BD"/>
    <w:rsid w:val="00A27377"/>
    <w:rsid w:val="00A27B5E"/>
    <w:rsid w:val="00A27EA4"/>
    <w:rsid w:val="00A3198B"/>
    <w:rsid w:val="00A3440B"/>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302B"/>
    <w:rsid w:val="00A659CC"/>
    <w:rsid w:val="00A67E36"/>
    <w:rsid w:val="00A70AF1"/>
    <w:rsid w:val="00A743A7"/>
    <w:rsid w:val="00A750C8"/>
    <w:rsid w:val="00A75245"/>
    <w:rsid w:val="00A76B71"/>
    <w:rsid w:val="00A76C66"/>
    <w:rsid w:val="00A775B3"/>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586F"/>
    <w:rsid w:val="00AB663E"/>
    <w:rsid w:val="00AB66BA"/>
    <w:rsid w:val="00AB7188"/>
    <w:rsid w:val="00AB7778"/>
    <w:rsid w:val="00AC02FC"/>
    <w:rsid w:val="00AC0D08"/>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1932"/>
    <w:rsid w:val="00B13A3C"/>
    <w:rsid w:val="00B13B11"/>
    <w:rsid w:val="00B14986"/>
    <w:rsid w:val="00B15E7F"/>
    <w:rsid w:val="00B20056"/>
    <w:rsid w:val="00B21FF5"/>
    <w:rsid w:val="00B22C01"/>
    <w:rsid w:val="00B25359"/>
    <w:rsid w:val="00B25A2A"/>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1B52"/>
    <w:rsid w:val="00B9226A"/>
    <w:rsid w:val="00B93028"/>
    <w:rsid w:val="00B934EC"/>
    <w:rsid w:val="00B94616"/>
    <w:rsid w:val="00B94D7A"/>
    <w:rsid w:val="00B94F2F"/>
    <w:rsid w:val="00B951D8"/>
    <w:rsid w:val="00B95AFA"/>
    <w:rsid w:val="00B96B56"/>
    <w:rsid w:val="00B97C37"/>
    <w:rsid w:val="00BA0F54"/>
    <w:rsid w:val="00BA1FE6"/>
    <w:rsid w:val="00BA4396"/>
    <w:rsid w:val="00BA59CB"/>
    <w:rsid w:val="00BA6A50"/>
    <w:rsid w:val="00BB1815"/>
    <w:rsid w:val="00BB27EE"/>
    <w:rsid w:val="00BB5845"/>
    <w:rsid w:val="00BB6D64"/>
    <w:rsid w:val="00BB722D"/>
    <w:rsid w:val="00BC170F"/>
    <w:rsid w:val="00BC31C9"/>
    <w:rsid w:val="00BC32E8"/>
    <w:rsid w:val="00BC344B"/>
    <w:rsid w:val="00BC450B"/>
    <w:rsid w:val="00BC4FA4"/>
    <w:rsid w:val="00BC608E"/>
    <w:rsid w:val="00BD0452"/>
    <w:rsid w:val="00BD3F17"/>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0BF6"/>
    <w:rsid w:val="00C13B61"/>
    <w:rsid w:val="00C1457F"/>
    <w:rsid w:val="00C14C9A"/>
    <w:rsid w:val="00C16210"/>
    <w:rsid w:val="00C163D5"/>
    <w:rsid w:val="00C16701"/>
    <w:rsid w:val="00C17CE1"/>
    <w:rsid w:val="00C17D0D"/>
    <w:rsid w:val="00C17D91"/>
    <w:rsid w:val="00C211BB"/>
    <w:rsid w:val="00C24D39"/>
    <w:rsid w:val="00C25B97"/>
    <w:rsid w:val="00C2637D"/>
    <w:rsid w:val="00C27D98"/>
    <w:rsid w:val="00C31C4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77B29"/>
    <w:rsid w:val="00C8090E"/>
    <w:rsid w:val="00C8200F"/>
    <w:rsid w:val="00C82AF4"/>
    <w:rsid w:val="00C842E5"/>
    <w:rsid w:val="00C84EA4"/>
    <w:rsid w:val="00C8691B"/>
    <w:rsid w:val="00C90344"/>
    <w:rsid w:val="00C90E95"/>
    <w:rsid w:val="00C9112C"/>
    <w:rsid w:val="00C9553B"/>
    <w:rsid w:val="00C96F3E"/>
    <w:rsid w:val="00C97343"/>
    <w:rsid w:val="00C973E5"/>
    <w:rsid w:val="00CA0BF2"/>
    <w:rsid w:val="00CA2A12"/>
    <w:rsid w:val="00CA442A"/>
    <w:rsid w:val="00CA4FC4"/>
    <w:rsid w:val="00CA670E"/>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A8C"/>
    <w:rsid w:val="00CD62FD"/>
    <w:rsid w:val="00CD7E91"/>
    <w:rsid w:val="00CE32EF"/>
    <w:rsid w:val="00CE381D"/>
    <w:rsid w:val="00CE5684"/>
    <w:rsid w:val="00CE569A"/>
    <w:rsid w:val="00CE7356"/>
    <w:rsid w:val="00CF2B13"/>
    <w:rsid w:val="00CF3067"/>
    <w:rsid w:val="00CF41E5"/>
    <w:rsid w:val="00CF43E8"/>
    <w:rsid w:val="00CF4DA4"/>
    <w:rsid w:val="00D00979"/>
    <w:rsid w:val="00D020B3"/>
    <w:rsid w:val="00D020D9"/>
    <w:rsid w:val="00D02C34"/>
    <w:rsid w:val="00D03751"/>
    <w:rsid w:val="00D04C5E"/>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819"/>
    <w:rsid w:val="00D2468F"/>
    <w:rsid w:val="00D25A43"/>
    <w:rsid w:val="00D26203"/>
    <w:rsid w:val="00D269F6"/>
    <w:rsid w:val="00D27C0B"/>
    <w:rsid w:val="00D3293B"/>
    <w:rsid w:val="00D33081"/>
    <w:rsid w:val="00D34118"/>
    <w:rsid w:val="00D35D2C"/>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70813"/>
    <w:rsid w:val="00D7089D"/>
    <w:rsid w:val="00D708C6"/>
    <w:rsid w:val="00D70C00"/>
    <w:rsid w:val="00D70FDA"/>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A4C51"/>
    <w:rsid w:val="00DA65A2"/>
    <w:rsid w:val="00DA6CDC"/>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396E"/>
    <w:rsid w:val="00DE4676"/>
    <w:rsid w:val="00DE73C7"/>
    <w:rsid w:val="00DE76CB"/>
    <w:rsid w:val="00DF0D4F"/>
    <w:rsid w:val="00DF1615"/>
    <w:rsid w:val="00DF4614"/>
    <w:rsid w:val="00E0162C"/>
    <w:rsid w:val="00E01745"/>
    <w:rsid w:val="00E0209A"/>
    <w:rsid w:val="00E05A00"/>
    <w:rsid w:val="00E0698E"/>
    <w:rsid w:val="00E06AD6"/>
    <w:rsid w:val="00E10DEF"/>
    <w:rsid w:val="00E12707"/>
    <w:rsid w:val="00E129F3"/>
    <w:rsid w:val="00E12E10"/>
    <w:rsid w:val="00E15891"/>
    <w:rsid w:val="00E16D6B"/>
    <w:rsid w:val="00E17443"/>
    <w:rsid w:val="00E174C2"/>
    <w:rsid w:val="00E20963"/>
    <w:rsid w:val="00E21652"/>
    <w:rsid w:val="00E23312"/>
    <w:rsid w:val="00E24A74"/>
    <w:rsid w:val="00E26ECB"/>
    <w:rsid w:val="00E33F4E"/>
    <w:rsid w:val="00E35175"/>
    <w:rsid w:val="00E36CC7"/>
    <w:rsid w:val="00E37D7E"/>
    <w:rsid w:val="00E411C8"/>
    <w:rsid w:val="00E41AC7"/>
    <w:rsid w:val="00E425A3"/>
    <w:rsid w:val="00E44113"/>
    <w:rsid w:val="00E44DB7"/>
    <w:rsid w:val="00E452B3"/>
    <w:rsid w:val="00E47E20"/>
    <w:rsid w:val="00E500CD"/>
    <w:rsid w:val="00E506B4"/>
    <w:rsid w:val="00E5640C"/>
    <w:rsid w:val="00E57650"/>
    <w:rsid w:val="00E57E3E"/>
    <w:rsid w:val="00E620A4"/>
    <w:rsid w:val="00E63768"/>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3CD"/>
    <w:rsid w:val="00EB771E"/>
    <w:rsid w:val="00EC1314"/>
    <w:rsid w:val="00EC5F16"/>
    <w:rsid w:val="00EC687A"/>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3ACC"/>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4C76"/>
    <w:rsid w:val="00F75204"/>
    <w:rsid w:val="00F75D73"/>
    <w:rsid w:val="00F80CE9"/>
    <w:rsid w:val="00F8700F"/>
    <w:rsid w:val="00F870FF"/>
    <w:rsid w:val="00F901DC"/>
    <w:rsid w:val="00F93AA5"/>
    <w:rsid w:val="00F941DB"/>
    <w:rsid w:val="00F96E9D"/>
    <w:rsid w:val="00FA116E"/>
    <w:rsid w:val="00FA24ED"/>
    <w:rsid w:val="00FA30DE"/>
    <w:rsid w:val="00FA3B4C"/>
    <w:rsid w:val="00FA4386"/>
    <w:rsid w:val="00FA5577"/>
    <w:rsid w:val="00FA7507"/>
    <w:rsid w:val="00FA75C0"/>
    <w:rsid w:val="00FB1770"/>
    <w:rsid w:val="00FB188D"/>
    <w:rsid w:val="00FB2D9D"/>
    <w:rsid w:val="00FB3C16"/>
    <w:rsid w:val="00FB3D3D"/>
    <w:rsid w:val="00FB4F97"/>
    <w:rsid w:val="00FB7A5C"/>
    <w:rsid w:val="00FC08C2"/>
    <w:rsid w:val="00FC2986"/>
    <w:rsid w:val="00FC3451"/>
    <w:rsid w:val="00FC3EB9"/>
    <w:rsid w:val="00FC405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E50F4"/>
    <w:rsid w:val="00713FFA"/>
    <w:rsid w:val="00756A85"/>
    <w:rsid w:val="00875C9F"/>
    <w:rsid w:val="00941CD7"/>
    <w:rsid w:val="00960FED"/>
    <w:rsid w:val="009A43F4"/>
    <w:rsid w:val="00A70EDE"/>
    <w:rsid w:val="00AA3F62"/>
    <w:rsid w:val="00B10AE9"/>
    <w:rsid w:val="00B313C0"/>
    <w:rsid w:val="00B8119D"/>
    <w:rsid w:val="00BC7D98"/>
    <w:rsid w:val="00BD1B2A"/>
    <w:rsid w:val="00C945F1"/>
    <w:rsid w:val="00D82970"/>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4194A-1D07-834C-92BC-B7726305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28</Pages>
  <Words>36317</Words>
  <Characters>207013</Characters>
  <Application>Microsoft Macintosh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242845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251</cp:revision>
  <cp:lastPrinted>2017-02-07T15:14:00Z</cp:lastPrinted>
  <dcterms:created xsi:type="dcterms:W3CDTF">2016-12-09T22:04:00Z</dcterms:created>
  <dcterms:modified xsi:type="dcterms:W3CDTF">2017-02-23T16:22:00Z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