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animacy judgments, </w:t>
      </w:r>
      <w:r w:rsidR="002F15B4">
        <w:rPr>
          <w:rFonts w:cs="Times New Roman"/>
        </w:rPr>
        <w:t xml:space="preserve">suggesting deeper encoding. At retrieval, </w:t>
      </w:r>
      <w:r w:rsidR="00203449">
        <w:rPr>
          <w:rFonts w:cs="Times New Roman"/>
        </w:rPr>
        <w:t>emory</w:t>
      </w:r>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ms—was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w:t>
      </w:r>
      <w:r w:rsidR="005D1AE0">
        <w:rPr>
          <w:rFonts w:cs="Times New Roman"/>
        </w:rPr>
        <w:t>lasting</w:t>
      </w:r>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“overgeneral”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r w:rsidR="00BB6D64">
        <w:rPr>
          <w:rFonts w:cs="Times New Roman"/>
        </w:rPr>
        <w:t xml:space="preserve">overgeneral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overgeneral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77777777"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r w:rsidR="00840CA2">
        <w:rPr>
          <w:rFonts w:cs="Times New Roman"/>
        </w:rPr>
        <w:t>parieto-hippocampal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1A46E735"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223CE9">
        <w:t>During a</w:t>
      </w:r>
      <w:r>
        <w:t xml:space="preserve"> screen </w:t>
      </w:r>
      <w:r w:rsidR="00223CE9">
        <w:t xml:space="preserve">administered </w:t>
      </w:r>
      <w:r w:rsidR="00A55C19">
        <w:t>by</w:t>
      </w:r>
      <w:r>
        <w:t xml:space="preserve"> phone or </w:t>
      </w:r>
      <w:r w:rsidR="00306CC7">
        <w:t>online</w:t>
      </w:r>
      <w:r w:rsidR="002E7219">
        <w:t xml:space="preserve">, we assessed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administering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rsidR="00223CE9">
        <w:rPr>
          <w:rFonts w:cs="Times New Roman"/>
          <w:noProof/>
        </w:rPr>
        <w:t xml:space="preserve"> and </w:t>
      </w:r>
      <w:r w:rsidR="002E7219">
        <w:rPr>
          <w:rFonts w:cs="Times New Roman"/>
        </w:rPr>
        <w:t>the Beck Depression Inventory II</w:t>
      </w:r>
      <w:r w:rsidR="00AB586F">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C77693">
        <w:rPr>
          <w:rFonts w:cs="Times New Roman"/>
          <w:noProof/>
        </w:rPr>
        <w:fldChar w:fldCharType="separate"/>
      </w:r>
      <w:r w:rsidR="00AB586F" w:rsidRPr="00AB586F">
        <w:rPr>
          <w:rFonts w:cs="Times New Roman"/>
          <w:noProof/>
        </w:rPr>
        <w:t>(BDI; Beck, Steer, &amp; Brown, 1996)</w:t>
      </w:r>
      <w:r w:rsidR="00C77693">
        <w:rPr>
          <w:rFonts w:cs="Times New Roman"/>
          <w:noProof/>
        </w:rPr>
        <w:fldChar w:fldCharType="end"/>
      </w:r>
      <w:r>
        <w:t xml:space="preserve">. </w:t>
      </w:r>
      <w:r w:rsidR="00A55C19">
        <w:t xml:space="preserve">Controls </w:t>
      </w:r>
      <w:r w:rsidR="008C2D72">
        <w:t xml:space="preserve">had to </w:t>
      </w:r>
      <w:r w:rsidR="00A55C19">
        <w:t>report</w:t>
      </w:r>
      <w:r>
        <w:t xml:space="preserve"> no </w:t>
      </w:r>
      <w:r w:rsidR="00306CC7">
        <w:t xml:space="preserve">current or past psychiatric conditions. </w:t>
      </w:r>
      <w:r w:rsidR="003B0597">
        <w:t>Depressed adults</w:t>
      </w:r>
      <w:r w:rsidR="00306CC7">
        <w:t xml:space="preserve"> </w:t>
      </w:r>
      <w:r w:rsidR="008C2D72">
        <w:t>had to 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and a BDI-II score ≥</w:t>
      </w:r>
      <w:r w:rsidR="002E7219" w:rsidRPr="00097B8A">
        <w:rPr>
          <w:rFonts w:cs="Times New Roman"/>
        </w:rPr>
        <w:t xml:space="preserve"> </w:t>
      </w:r>
      <w:r w:rsidR="002E7219">
        <w:rPr>
          <w:rFonts w:cs="Times New Roman"/>
        </w:rPr>
        <w:t xml:space="preserve">14. </w:t>
      </w:r>
      <w:r w:rsidR="008C2D72">
        <w:t>Thirty-four</w:t>
      </w:r>
      <w:r>
        <w:t xml:space="preserve"> </w:t>
      </w:r>
      <w:r w:rsidR="008C2D72">
        <w:t xml:space="preserve">controls </w:t>
      </w:r>
      <w:r>
        <w:t xml:space="preserve">and </w:t>
      </w:r>
      <w:r w:rsidR="002E7219">
        <w:t>26</w:t>
      </w:r>
      <w:r>
        <w:t xml:space="preserve"> depressed adults </w:t>
      </w:r>
      <w:r>
        <w:lastRenderedPageBreak/>
        <w:t>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50EB3D5B"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MASQ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human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there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xml:space="preserve">. Thus, we expected to find negative relationships between these measures on the one hand and both memory accuracy and ERP indices of successful source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 xml:space="preserve">79.02), </w:t>
      </w:r>
      <w:r w:rsidR="000848CC">
        <w:rPr>
          <w:rFonts w:eastAsia="MS Gothic" w:cs="Times New Roman"/>
          <w:color w:val="000000"/>
        </w:rPr>
        <w:lastRenderedPageBreak/>
        <w:t>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124567A4"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E73B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 "plainTextFormattedCitation" : "(Starns &amp; Hicks, 2005)", "previouslyFormattedCitation" : "(Starns &amp; Hicks, 2005)" }, "properties" : { "noteIndex" : 0 }, "schema" : "https://github.com/citation-style-language/schema/raw/master/csl-citation.json" }</w:instrText>
      </w:r>
      <w:r w:rsidR="00FB188D">
        <w:rPr>
          <w:rFonts w:cs="Times New Roman"/>
        </w:rPr>
        <w:fldChar w:fldCharType="separate"/>
      </w:r>
      <w:r w:rsidR="00FB188D" w:rsidRPr="00FB188D">
        <w:rPr>
          <w:rFonts w:cs="Times New Roman"/>
          <w:noProof/>
        </w:rPr>
        <w:t>(Starns &amp; Hicks, 2005)</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DA6CDC">
        <w:rPr>
          <w:rFonts w:cs="Times New Roman"/>
        </w:rPr>
        <w:t>“guess”</w:t>
      </w:r>
      <w:r w:rsidR="00E23312">
        <w:rPr>
          <w:rFonts w:cs="Times New Roman"/>
        </w:rPr>
        <w:t xml:space="preserve"> </w:t>
      </w:r>
      <w:r w:rsidR="00DD0345">
        <w:rPr>
          <w:rFonts w:cs="Times New Roman"/>
        </w:rPr>
        <w:t xml:space="preserve">when they could not </w:t>
      </w:r>
      <w:r w:rsidR="00DD0345">
        <w:rPr>
          <w:rFonts w:cs="Times New Roman"/>
        </w:rPr>
        <w:lastRenderedPageBreak/>
        <w:t>recover any information favo</w:t>
      </w:r>
      <w:r w:rsidR="00DA6CDC">
        <w:rPr>
          <w:rFonts w:cs="Times New Roman"/>
        </w:rPr>
        <w:t>ring one source over the other;</w:t>
      </w:r>
      <w:r w:rsidR="00E23312">
        <w:rPr>
          <w:rFonts w:cs="Times New Roman"/>
        </w:rPr>
        <w:t xml:space="preserve"> </w:t>
      </w:r>
      <w:r w:rsidR="00EF3E3D">
        <w:rPr>
          <w:rFonts w:cs="Times New Roman"/>
        </w:rPr>
        <w:t>thus</w:t>
      </w:r>
      <w:r w:rsidR="00E23312">
        <w:rPr>
          <w:rFonts w:cs="Times New Roman"/>
        </w:rPr>
        <w:t>,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34CCDBBD"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sidR="00E23312">
        <w:rPr>
          <w:rFonts w:eastAsia="Times New Roman" w:cs="Times New Roman"/>
          <w:shd w:val="clear" w:color="auto" w:fill="FFFFFF"/>
        </w:rPr>
        <w:t>ials, &lt; 2% of retrieval trials).</w:t>
      </w:r>
      <w:r>
        <w:rPr>
          <w:rFonts w:eastAsia="Times New Roman" w:cs="Times New Roman"/>
          <w:shd w:val="clear" w:color="auto" w:fill="FFFFFF"/>
        </w:rPr>
        <w:t xml:space="preserve"> </w:t>
      </w:r>
      <w:r w:rsidR="00E23312">
        <w:rPr>
          <w:rFonts w:eastAsia="Times New Roman" w:cs="Times New Roman"/>
          <w:shd w:val="clear" w:color="auto" w:fill="FFFFFF"/>
        </w:rPr>
        <w:t>The behavior</w:t>
      </w:r>
      <w:r w:rsidR="00275A51">
        <w:rPr>
          <w:rFonts w:eastAsia="Times New Roman" w:cs="Times New Roman"/>
          <w:shd w:val="clear" w:color="auto" w:fill="FFFFFF"/>
        </w:rPr>
        <w:t>al</w:t>
      </w:r>
      <w:r w:rsidR="00E23312">
        <w:rPr>
          <w:rFonts w:eastAsia="Times New Roman" w:cs="Times New Roman"/>
          <w:shd w:val="clear" w:color="auto" w:fill="FFFFFF"/>
        </w:rPr>
        <w:t xml:space="preserve"> analysis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animacy)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49B38755"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w:t>
      </w:r>
      <w:r w:rsidR="0051611D">
        <w:rPr>
          <w:rFonts w:eastAsia="Times New Roman" w:cs="Times New Roman"/>
          <w:shd w:val="clear" w:color="auto" w:fill="FFFFFF"/>
        </w:rPr>
        <w:lastRenderedPageBreak/>
        <w:t xml:space="preserve">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E0698E">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Dobbins &amp; Wagner, 2005; Han, O\u02bcconnor, Eslick, &amp; Dobbins, n.d.)", "plainTextFormattedCitation" : "(Bergstr\u00f6m et al., 2013; Dobbins &amp; Wagner, 2005; Han, O'connor, Eslick, &amp; Dobbins, n.d.)", "previouslyFormattedCitation" : "(Bergstr\u00f6m et al., 2013; Dobbins &amp; Wagner, 2005; Han, O\u02bcconnor, Eslick, &amp; Dobbins, n.d.)" }, "properties" : { "noteIndex" : 0 }, "schema" : "https://github.com/citation-style-language/schema/raw/master/csl-citation.json" }</w:instrText>
      </w:r>
      <w:r w:rsidR="00E73BC6">
        <w:rPr>
          <w:rFonts w:eastAsia="Times New Roman" w:cs="Times New Roman"/>
          <w:shd w:val="clear" w:color="auto" w:fill="FFFFFF"/>
        </w:rPr>
        <w:fldChar w:fldCharType="separate"/>
      </w:r>
      <w:r w:rsidR="00E73BC6" w:rsidRPr="00D70FDA">
        <w:rPr>
          <w:rFonts w:eastAsia="Times New Roman" w:cs="Times New Roman"/>
          <w:noProof/>
          <w:shd w:val="clear" w:color="auto" w:fill="FFFFFF"/>
        </w:rPr>
        <w:t>(Bergström et al., 2013; Dobbins &amp; Wagner, 2005; Han, Oʼconnor, Eslick, &amp; Dobbins, n.d.)</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124AE352"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7415E8">
        <w:rPr>
          <w:rFonts w:eastAsia="Times New Roman" w:cs="Times New Roman"/>
          <w:shd w:val="clear" w:color="auto" w:fill="FFFFFF"/>
        </w:rPr>
        <w:t xml:space="preserve">This permitted a test of </w:t>
      </w:r>
      <w:r w:rsidR="00E0698E">
        <w:rPr>
          <w:rFonts w:eastAsia="Times New Roman" w:cs="Times New Roman"/>
          <w:shd w:val="clear" w:color="auto" w:fill="FFFFFF"/>
        </w:rPr>
        <w:t xml:space="preserve">our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show a deficit </w:t>
      </w:r>
      <w:r w:rsidR="007415E8">
        <w:rPr>
          <w:rFonts w:eastAsia="Times New Roman" w:cs="Times New Roman"/>
          <w:shd w:val="clear" w:color="auto" w:fill="FFFFFF"/>
        </w:rPr>
        <w:t>in</w:t>
      </w:r>
      <w:r w:rsidR="00A37DE2">
        <w:rPr>
          <w:rFonts w:eastAsia="Times New Roman" w:cs="Times New Roman"/>
          <w:shd w:val="clear" w:color="auto" w:fill="FFFFFF"/>
        </w:rPr>
        <w:t xml:space="preserve"> conceptual but not perceptual</w:t>
      </w:r>
      <w:r w:rsidR="00E0698E">
        <w:rPr>
          <w:rFonts w:eastAsia="Times New Roman" w:cs="Times New Roman"/>
          <w:shd w:val="clear" w:color="auto" w:fill="FFFFFF"/>
        </w:rPr>
        <w:t xml:space="preserve"> 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not the animacy task</w:t>
      </w:r>
      <w:r w:rsidR="00681462">
        <w:rPr>
          <w:rFonts w:eastAsia="Times New Roman" w:cs="Times New Roman"/>
          <w:shd w:val="clear" w:color="auto" w:fill="FFFFFF"/>
        </w:rPr>
        <w:t xml:space="preserve">. </w:t>
      </w:r>
      <w:r w:rsidR="00AF5E82">
        <w:rPr>
          <w:rFonts w:eastAsia="Times New Roman" w:cs="Times New Roman"/>
          <w:shd w:val="clear" w:color="auto" w:fill="FFFFFF"/>
        </w:rPr>
        <w:t xml:space="preserve">To identify </w:t>
      </w:r>
      <w:r w:rsidR="00A37DE2">
        <w:rPr>
          <w:rFonts w:eastAsia="Times New Roman" w:cs="Times New Roman"/>
          <w:shd w:val="clear" w:color="auto" w:fill="FFFFFF"/>
        </w:rPr>
        <w:t xml:space="preserve">neural </w:t>
      </w:r>
      <w:r w:rsidR="00AF5E82">
        <w:rPr>
          <w:rFonts w:eastAsia="Times New Roman" w:cs="Times New Roman"/>
          <w:shd w:val="clear" w:color="auto" w:fill="FFFFFF"/>
        </w:rPr>
        <w:t xml:space="preserve">activity </w:t>
      </w:r>
      <w:r w:rsidR="00603E5F">
        <w:rPr>
          <w:rFonts w:eastAsia="Times New Roman" w:cs="Times New Roman"/>
          <w:shd w:val="clear" w:color="auto" w:fill="FFFFFF"/>
        </w:rPr>
        <w:t>mediating</w:t>
      </w:r>
      <w:r w:rsidR="003107D9">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E0698E">
        <w:rPr>
          <w:rFonts w:eastAsia="Times New Roman" w:cs="Times New Roman"/>
          <w:shd w:val="clear" w:color="auto" w:fill="FFFFFF"/>
        </w:rPr>
        <w:t>each encoding task</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D8698A">
        <w:rPr>
          <w:rFonts w:eastAsia="Times New Roman" w:cs="Times New Roman"/>
          <w:shd w:val="clear" w:color="auto" w:fill="FFFFFF"/>
        </w:rPr>
        <w:t xml:space="preserve">. For both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A37DE2">
        <w:rPr>
          <w:rFonts w:cs="Times New Roman"/>
        </w:rPr>
        <w:t>selected to</w:t>
      </w:r>
      <w:r w:rsidR="00E0698E">
        <w:rPr>
          <w:rFonts w:cs="Times New Roman"/>
        </w:rPr>
        <w:t xml:space="preserve"> capture </w:t>
      </w:r>
      <w:r w:rsidR="00873C16">
        <w:rPr>
          <w:rFonts w:cs="Times New Roman"/>
        </w:rPr>
        <w:t>(</w:t>
      </w:r>
      <w:r w:rsidR="00A37DE2">
        <w:rPr>
          <w:rFonts w:cs="Times New Roman"/>
        </w:rPr>
        <w:t>1</w:t>
      </w:r>
      <w:r w:rsidR="00873C16">
        <w:rPr>
          <w:rFonts w:cs="Times New Roman"/>
        </w:rPr>
        <w:t xml:space="preserve">) </w:t>
      </w:r>
      <w:r w:rsidR="00E0698E">
        <w:rPr>
          <w:rFonts w:cs="Times New Roman"/>
        </w:rPr>
        <w:t xml:space="preserve">a long-lasting late </w:t>
      </w:r>
      <w:r w:rsidR="00E0698E">
        <w:rPr>
          <w:rFonts w:cs="Times New Roman"/>
        </w:rPr>
        <w:lastRenderedPageBreak/>
        <w:t xml:space="preserve">positivity frequently observed over right frontal cortex in recollection experiments </w:t>
      </w:r>
      <w:r w:rsidR="00E0698E">
        <w:rPr>
          <w:rFonts w:cs="Times New Roman"/>
        </w:rPr>
        <w:fldChar w:fldCharType="begin" w:fldLock="1"/>
      </w:r>
      <w:r w:rsidR="00873C16">
        <w:rPr>
          <w:rFonts w:cs="Times New Roman"/>
        </w:rPr>
        <w:instrText>ADDIN CSL_CITATION { "citationItems" : [ { "id" : "ITEM-1",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"ITEM-1",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"(Wilding &amp; Rugg, 1996)", "plainTextFormattedCitation" : "(Wilding &amp; Rugg, 1996)", "previouslyFormattedCitation" : "(Wilding &amp; Rugg, 1996)"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(Wilding &amp; Rugg, 1996)</w:t>
      </w:r>
      <w:r w:rsidR="00E0698E">
        <w:rPr>
          <w:rFonts w:cs="Times New Roman"/>
        </w:rPr>
        <w:fldChar w:fldCharType="end"/>
      </w:r>
      <w:r w:rsidR="00E0698E">
        <w:rPr>
          <w:rFonts w:cs="Times New Roman"/>
        </w:rPr>
        <w:t xml:space="preserve">, </w:t>
      </w:r>
      <w:r w:rsidR="00873C16">
        <w:rPr>
          <w:rFonts w:cs="Times New Roman"/>
        </w:rPr>
        <w:t xml:space="preserve">(b) a </w:t>
      </w:r>
      <w:r w:rsidR="00E0698E">
        <w:rPr>
          <w:rFonts w:cs="Times New Roman"/>
        </w:rPr>
        <w:t xml:space="preserve">late </w:t>
      </w:r>
      <w:r w:rsidR="00873C16">
        <w:rPr>
          <w:rFonts w:cs="Times New Roman"/>
        </w:rPr>
        <w:t xml:space="preserve">posterior negativity (LPN) consistently seen during source recollection </w:t>
      </w:r>
      <w:r w:rsidR="00873C16">
        <w:rPr>
          <w:rFonts w:cs="Times New Roman"/>
        </w:rPr>
        <w:fldChar w:fldCharType="begin" w:fldLock="1"/>
      </w:r>
      <w:r w:rsidR="00873C16">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"mendeley" : { "formattedCitation" : "(Johansson &amp; Mecklinger, 2003)", "plainTextFormattedCitation" : "(Johansson &amp; Mecklinger, 2003)", "previouslyFormattedCitation" : "(Johansson &amp; Mecklinger, 2003)"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(Johansson &amp; Mecklinger, 2003)</w:t>
      </w:r>
      <w:r w:rsidR="00873C16">
        <w:rPr>
          <w:rFonts w:cs="Times New Roman"/>
        </w:rPr>
        <w:fldChar w:fldCharType="end"/>
      </w:r>
      <w:r w:rsidR="00873C16">
        <w:rPr>
          <w:rFonts w:cs="Times New Roman"/>
        </w:rPr>
        <w:t xml:space="preserve">, and (c) a separate late negativity prominent over left frontal scalp regions during conceptual retrieval </w:t>
      </w:r>
      <w:r w:rsidR="00873C16">
        <w:rPr>
          <w:rFonts w:cs="Times New Roman"/>
        </w:rPr>
        <w:fldChar w:fldCharType="begin" w:fldLock="1"/>
      </w:r>
      <w:r w:rsidR="00B951D8">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(Bergström et al., 2013)</w:t>
      </w:r>
      <w:r w:rsidR="00873C16">
        <w:rPr>
          <w:rFonts w:cs="Times New Roman"/>
        </w:rPr>
        <w:fldChar w:fldCharType="end"/>
      </w:r>
      <w:r w:rsidR="009F7337">
        <w:rPr>
          <w:rFonts w:cs="Times New Roman"/>
        </w:rPr>
        <w:t>.</w:t>
      </w:r>
    </w:p>
    <w:p w14:paraId="303D5D59" w14:textId="74F95336" w:rsidR="00681462" w:rsidRDefault="00603E5F" w:rsidP="00135F4D">
      <w:pPr>
        <w:spacing w:line="480" w:lineRule="auto"/>
        <w:ind w:firstLine="720"/>
        <w:rPr>
          <w:rFonts w:cs="Times New Roman"/>
        </w:rPr>
      </w:pPr>
      <w:r>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reflects the fact that </w:t>
      </w:r>
      <w:r w:rsidR="00A37DE2">
        <w:rPr>
          <w:rFonts w:cs="Times New Roman"/>
        </w:rPr>
        <w:t>while</w:t>
      </w:r>
      <w:r w:rsidR="007415E8">
        <w:rPr>
          <w:rFonts w:cs="Times New Roman"/>
        </w:rPr>
        <w:t xml:space="preserve"> </w:t>
      </w:r>
      <w:r w:rsidR="00873C16">
        <w:rPr>
          <w:rFonts w:cs="Times New Roman"/>
        </w:rPr>
        <w:t xml:space="preserve">the mean distance between electrodes is </w:t>
      </w:r>
      <w:r w:rsidR="00A37DE2">
        <w:rPr>
          <w:rFonts w:cs="Times New Roman"/>
        </w:rPr>
        <w:t>2.7</w:t>
      </w:r>
      <w:r w:rsidR="00873C16">
        <w:rPr>
          <w:rFonts w:cs="Times New Roman"/>
        </w:rPr>
        <w:t xml:space="preserve"> cm 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7415E8">
        <w:rPr>
          <w:rFonts w:cs="Times New Roman"/>
        </w:rPr>
        <w:t>,</w:t>
      </w:r>
      <w:r w:rsidR="00B951D8">
        <w:rPr>
          <w:rFonts w:cs="Times New Roman"/>
        </w:rPr>
        <w:t xml:space="preserve"> 4 cm is </w:t>
      </w:r>
      <w:r w:rsidR="007415E8">
        <w:rPr>
          <w:rFonts w:cs="Times New Roman"/>
        </w:rPr>
        <w:t>sufficient</w:t>
      </w:r>
      <w:r w:rsidR="00B951D8">
        <w:rPr>
          <w:rFonts w:cs="Times New Roman"/>
        </w:rPr>
        <w:t xml:space="preserve"> to detect clustered activity in regions where electrodes are relatively widely spaced (e.g., over parietal cortex)</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04D08D08"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memory and left parietal ERPs associated with recollection. </w:t>
      </w:r>
      <w:r w:rsidR="005C3343">
        <w:rPr>
          <w:rFonts w:cs="Times New Roman"/>
        </w:rPr>
        <w:t xml:space="preserve">Within the depressed group, we </w:t>
      </w:r>
      <w:r>
        <w:rPr>
          <w:rFonts w:cs="Times New Roman"/>
        </w:rPr>
        <w:t>also</w:t>
      </w:r>
      <w:r w:rsidR="005C3343">
        <w:rPr>
          <w:rFonts w:cs="Times New Roman"/>
        </w:rPr>
        <w:t xml:space="preserve"> examine</w:t>
      </w:r>
      <w:r>
        <w:rPr>
          <w:rFonts w:cs="Times New Roman"/>
        </w:rPr>
        <w:t>d</w:t>
      </w:r>
      <w:r w:rsidR="005C3343">
        <w:rPr>
          <w:rFonts w:cs="Times New Roman"/>
        </w:rPr>
        <w:t xml:space="preserve"> relationships between source memory accuracy</w:t>
      </w:r>
      <w:r w:rsidR="00412A94">
        <w:rPr>
          <w:rFonts w:cs="Times New Roman"/>
        </w:rPr>
        <w:t xml:space="preserve">, left parietal ERPs, and </w:t>
      </w:r>
      <w:r>
        <w:rPr>
          <w:rFonts w:cs="Times New Roman"/>
        </w:rPr>
        <w:t>variation</w:t>
      </w:r>
      <w:r w:rsidR="00412A94">
        <w:rPr>
          <w:rFonts w:cs="Times New Roman"/>
        </w:rPr>
        <w:t xml:space="preserve"> in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992DB0D"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versus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versus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 xml:space="preserve">s &lt; 3.69,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ms</w:t>
      </w:r>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ms</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49BB105B"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 xml:space="preserve">Five participants (two controls, three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D14003">
        <w:rPr>
          <w:rFonts w:eastAsia="Times New Roman" w:cs="Times New Roman"/>
          <w:shd w:val="clear" w:color="auto" w:fill="FFFFFF"/>
        </w:rPr>
        <w:t>11</w:t>
      </w:r>
      <w:r w:rsidR="00EE3EA1">
        <w:rPr>
          <w:rFonts w:eastAsia="Times New Roman" w:cs="Times New Roman"/>
          <w:shd w:val="clear" w:color="auto" w:fill="FFFFFF"/>
        </w:rPr>
        <w:t xml:space="preserve"> controls and </w:t>
      </w:r>
      <w:r w:rsidR="00D14003">
        <w:rPr>
          <w:rFonts w:eastAsia="Times New Roman" w:cs="Times New Roman"/>
          <w:shd w:val="clear" w:color="auto" w:fill="FFFFFF"/>
        </w:rPr>
        <w:t>17</w:t>
      </w:r>
      <w:r w:rsidR="00EE3EA1">
        <w:rPr>
          <w:rFonts w:eastAsia="Times New Roman" w:cs="Times New Roman"/>
          <w:shd w:val="clear" w:color="auto" w:fill="FFFFFF"/>
        </w:rPr>
        <w:t xml:space="preserve"> depressed participants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4E1F21">
        <w:rPr>
          <w:rFonts w:eastAsia="Times New Roman" w:cs="Times New Roman"/>
          <w:shd w:val="clear" w:color="auto" w:fill="FFFFFF"/>
        </w:rPr>
        <w:t>ANOVA (b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this condition was omitted</w:t>
      </w:r>
      <w:r w:rsidR="004E1F21">
        <w:rPr>
          <w:rFonts w:eastAsia="Times New Roman" w:cs="Times New Roman"/>
          <w:shd w:val="clear" w:color="auto" w:fill="FFFFFF"/>
        </w:rPr>
        <w:t>)</w:t>
      </w:r>
      <w:r w:rsidR="006A6BDC">
        <w:rPr>
          <w:rFonts w:eastAsia="Times New Roman" w:cs="Times New Roman"/>
          <w:shd w:val="clear" w:color="auto" w:fill="FFFFFF"/>
        </w:rPr>
        <w:t xml:space="preserve">.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E7BFF">
        <w:rPr>
          <w:rFonts w:eastAsia="Times New Roman" w:cs="Times New Roman"/>
          <w:shd w:val="clear" w:color="auto" w:fill="FFFFFF"/>
        </w:rPr>
        <w:t xml:space="preserve">versus </w:t>
      </w:r>
      <w:r w:rsidR="00E80C57">
        <w:rPr>
          <w:rFonts w:eastAsia="Times New Roman" w:cs="Times New Roman"/>
          <w:shd w:val="clear" w:color="auto" w:fill="FFFFFF"/>
        </w:rPr>
        <w:t>Side</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in response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versus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1493425A"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s &lt; 1.83, </w:t>
      </w:r>
      <w:r w:rsidR="00A84270">
        <w:rPr>
          <w:rFonts w:eastAsia="Times New Roman" w:cs="Times New Roman"/>
          <w:i/>
          <w:shd w:val="clear" w:color="auto" w:fill="FFFFFF"/>
        </w:rPr>
        <w:t>p</w:t>
      </w:r>
      <w:r w:rsidR="00A84270">
        <w:rPr>
          <w:rFonts w:eastAsia="Times New Roman" w:cs="Times New Roman"/>
          <w:shd w:val="clear" w:color="auto" w:fill="FFFFFF"/>
        </w:rPr>
        <w:t>s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xml:space="preserve">, inspection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E7746B">
        <w:rPr>
          <w:rFonts w:eastAsia="Times New Roman" w:cs="Times New Roman"/>
          <w:shd w:val="clear" w:color="auto" w:fill="FFFFFF"/>
        </w:rPr>
        <w:t xml:space="preserve">, </w:t>
      </w:r>
      <w:r w:rsidR="00080FA6">
        <w:rPr>
          <w:rFonts w:eastAsia="Times New Roman" w:cs="Times New Roman"/>
          <w:shd w:val="clear" w:color="auto" w:fill="FFFFFF"/>
        </w:rPr>
        <w:t xml:space="preserve">the effect of cue type on </w:t>
      </w:r>
      <w:r w:rsidR="00E7746B">
        <w:rPr>
          <w:rFonts w:eastAsia="Times New Roman" w:cs="Times New Roman"/>
          <w:shd w:val="clear" w:color="auto" w:fill="FFFFFF"/>
        </w:rPr>
        <w:t xml:space="preserve">guessing was </w:t>
      </w:r>
      <w:r w:rsidR="00080FA6">
        <w:rPr>
          <w:rFonts w:eastAsia="Times New Roman" w:cs="Times New Roman"/>
          <w:shd w:val="clear" w:color="auto" w:fill="FFFFFF"/>
        </w:rPr>
        <w:t xml:space="preserve">pronounced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for the mobility task,</w:t>
      </w:r>
      <w:r w:rsidR="00080FA6">
        <w:rPr>
          <w:rFonts w:eastAsia="Times New Roman" w:cs="Times New Roman"/>
          <w:shd w:val="clear" w:color="auto" w:fill="FFFFFF"/>
        </w:rPr>
        <w:t xml:space="preserve"> depressed participants guessed less fr</w:t>
      </w:r>
      <w:r w:rsidR="00385599">
        <w:rPr>
          <w:rFonts w:eastAsia="Times New Roman" w:cs="Times New Roman"/>
          <w:shd w:val="clear" w:color="auto" w:fill="FFFFFF"/>
        </w:rPr>
        <w:t xml:space="preserve">equently under the Question </w:t>
      </w:r>
      <w:r w:rsidR="00080FA6">
        <w:rPr>
          <w:rFonts w:eastAsia="Times New Roman" w:cs="Times New Roman"/>
          <w:shd w:val="clear" w:color="auto" w:fill="FFFFFF"/>
        </w:rPr>
        <w:t xml:space="preserve">versus the Side cue, </w:t>
      </w:r>
      <w:r w:rsidR="00E7746B">
        <w:rPr>
          <w:rFonts w:eastAsia="Times New Roman" w:cs="Times New Roman"/>
          <w:i/>
          <w:shd w:val="clear" w:color="auto" w:fill="FFFFFF"/>
        </w:rPr>
        <w:t>t</w:t>
      </w:r>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385599">
        <w:rPr>
          <w:rFonts w:eastAsia="Times New Roman" w:cs="Times New Roman"/>
          <w:shd w:val="clear" w:color="auto" w:fill="FFFFFF"/>
        </w:rPr>
        <w:t>;</w:t>
      </w:r>
      <w:r w:rsidR="00C31C48">
        <w:rPr>
          <w:rFonts w:eastAsia="Times New Roman" w:cs="Times New Roman"/>
          <w:shd w:val="clear" w:color="auto" w:fill="FFFFFF"/>
        </w:rPr>
        <w:t xml:space="preserve"> this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the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of cue 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385599">
        <w:rPr>
          <w:rFonts w:eastAsia="Times New Roman" w:cs="Times New Roman"/>
          <w:shd w:val="clear" w:color="auto" w:fill="FFFFFF"/>
        </w:rPr>
        <w:t>in</w:t>
      </w:r>
      <w:r w:rsidR="003A4AEC">
        <w:rPr>
          <w:rFonts w:eastAsia="Times New Roman" w:cs="Times New Roman"/>
          <w:shd w:val="clear" w:color="auto" w:fill="FFFFFF"/>
        </w:rPr>
        <w:t xml:space="preserve">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 xml:space="preserve">s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summary,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in response to words from the mobility task versus the animacy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versus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the combination of these two factors </w:t>
      </w:r>
      <w:r w:rsidR="00C31C48">
        <w:rPr>
          <w:rFonts w:eastAsia="Times New Roman" w:cs="Times New Roman"/>
          <w:shd w:val="clear" w:color="auto" w:fill="FFFFFF"/>
        </w:rPr>
        <w:t>(</w:t>
      </w:r>
      <w:r w:rsidR="00E66038">
        <w:rPr>
          <w:rFonts w:eastAsia="Times New Roman" w:cs="Times New Roman"/>
          <w:shd w:val="clear" w:color="auto" w:fill="FFFFFF"/>
        </w:rPr>
        <w:t xml:space="preserve">words from the mobility task presented under the Question cue) </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w:t>
      </w:r>
      <w:r w:rsidR="00385599">
        <w:rPr>
          <w:rFonts w:eastAsia="Times New Roman" w:cs="Times New Roman"/>
          <w:shd w:val="clear" w:color="auto" w:fill="FFFFFF"/>
        </w:rPr>
        <w:t>particularly</w:t>
      </w:r>
      <w:r w:rsidR="00C31C48">
        <w:rPr>
          <w:rFonts w:eastAsia="Times New Roman" w:cs="Times New Roman"/>
          <w:shd w:val="clear" w:color="auto" w:fill="FFFFFF"/>
        </w:rPr>
        <w:t xml:space="preserve">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2F55931A" w14:textId="29ACCBD7" w:rsidR="005227A7" w:rsidRPr="000C0E34"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C25B97">
        <w:rPr>
          <w:rFonts w:eastAsia="Times New Roman" w:cs="Times New Roman"/>
          <w:shd w:val="clear" w:color="auto" w:fill="FFFFFF"/>
        </w:rPr>
        <w:t xml:space="preserve"> For words from the mobility task, there was a 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interaction,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6.45, </w:t>
      </w:r>
      <w:r w:rsidR="00C25B97">
        <w:rPr>
          <w:rFonts w:eastAsia="Times New Roman" w:cs="Times New Roman"/>
          <w:i/>
          <w:shd w:val="clear" w:color="auto" w:fill="FFFFFF"/>
        </w:rPr>
        <w:t>p</w:t>
      </w:r>
      <w:r w:rsidR="00C25B97">
        <w:rPr>
          <w:rFonts w:eastAsia="Times New Roman" w:cs="Times New Roman"/>
          <w:shd w:val="clear" w:color="auto" w:fill="FFFFFF"/>
        </w:rPr>
        <w:t xml:space="preserve"> = 0.01</w:t>
      </w:r>
      <w:r w:rsidR="005227A7">
        <w:rPr>
          <w:rFonts w:eastAsia="Times New Roman" w:cs="Times New Roman"/>
          <w:shd w:val="clear" w:color="auto" w:fill="FFFFFF"/>
        </w:rPr>
        <w:t xml:space="preserve"> (left panel)</w:t>
      </w:r>
      <w:r w:rsidR="00C25B97">
        <w:rPr>
          <w:rFonts w:eastAsia="Times New Roman" w:cs="Times New Roman"/>
          <w:shd w:val="clear" w:color="auto" w:fill="FFFFFF"/>
        </w:rPr>
        <w:t xml:space="preserve">. No such interaction was evident for words from the animacy task, </w:t>
      </w:r>
      <w:r w:rsidR="00C25B97">
        <w:rPr>
          <w:rFonts w:eastAsia="Times New Roman" w:cs="Times New Roman"/>
          <w:i/>
          <w:shd w:val="clear" w:color="auto" w:fill="FFFFFF"/>
        </w:rPr>
        <w:t>F</w:t>
      </w:r>
      <w:r w:rsidR="00C25B97">
        <w:rPr>
          <w:rFonts w:eastAsia="Times New Roman" w:cs="Times New Roman"/>
          <w:shd w:val="clear" w:color="auto" w:fill="FFFFFF"/>
        </w:rPr>
        <w:t xml:space="preserve"> &lt; 1, </w:t>
      </w:r>
      <w:r w:rsidR="005227A7">
        <w:rPr>
          <w:rFonts w:eastAsia="Times New Roman" w:cs="Times New Roman"/>
          <w:shd w:val="clear" w:color="auto" w:fill="FFFFFF"/>
        </w:rPr>
        <w:t xml:space="preserve">where accuracy </w:t>
      </w:r>
      <w:r w:rsidR="00C25B97">
        <w:rPr>
          <w:rFonts w:eastAsia="Times New Roman" w:cs="Times New Roman"/>
          <w:shd w:val="clear" w:color="auto" w:fill="FFFFFF"/>
        </w:rPr>
        <w:t xml:space="preserve">was instead characterized by a 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35.89,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227A7">
        <w:rPr>
          <w:rFonts w:eastAsia="Times New Roman" w:cs="Times New Roman"/>
          <w:shd w:val="clear" w:color="auto" w:fill="FFFFFF"/>
        </w:rPr>
        <w:t xml:space="preserve"> (right panel)</w:t>
      </w:r>
      <w:r w:rsidR="00400F32">
        <w:rPr>
          <w:rFonts w:eastAsia="Times New Roman" w:cs="Times New Roman"/>
          <w:shd w:val="clear" w:color="auto" w:fill="FFFFFF"/>
        </w:rPr>
        <w:t>.</w:t>
      </w:r>
      <w:r w:rsidR="00400F32">
        <w:rPr>
          <w:rFonts w:eastAsia="Times New Roman" w:cs="Times New Roman"/>
          <w:i/>
          <w:shd w:val="clear" w:color="auto" w:fill="FFFFFF"/>
        </w:rPr>
        <w:t xml:space="preserve"> </w:t>
      </w:r>
      <w:r w:rsidR="005227A7">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sidR="005227A7">
        <w:rPr>
          <w:rFonts w:eastAsia="Times New Roman" w:cs="Times New Roman"/>
          <w:shd w:val="clear" w:color="auto" w:fill="FFFFFF"/>
        </w:rPr>
        <w:t xml:space="preserve"> is </w:t>
      </w:r>
      <w:r w:rsidR="00320018">
        <w:rPr>
          <w:rFonts w:eastAsia="Times New Roman" w:cs="Times New Roman"/>
          <w:shd w:val="clear" w:color="auto" w:fill="FFFFFF"/>
        </w:rPr>
        <w:t xml:space="preserve">further </w:t>
      </w:r>
      <w:r w:rsidR="005227A7">
        <w:rPr>
          <w:rFonts w:eastAsia="Times New Roman" w:cs="Times New Roman"/>
          <w:shd w:val="clear" w:color="auto" w:fill="FFFFFF"/>
        </w:rPr>
        <w:t>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sidR="005227A7">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sidR="005227A7">
        <w:rPr>
          <w:rFonts w:eastAsia="Times New Roman" w:cs="Times New Roman"/>
          <w:shd w:val="clear" w:color="auto" w:fill="FFFFFF"/>
        </w:rPr>
        <w:t xml:space="preserve">For words from the mobility task (left panel), the Question minus Side difference score was greater than zero in the MDD group, </w:t>
      </w:r>
      <w:r w:rsidR="005227A7" w:rsidRPr="00F27138">
        <w:rPr>
          <w:rFonts w:eastAsia="Times New Roman" w:cs="Times New Roman"/>
          <w:i/>
          <w:shd w:val="clear" w:color="auto" w:fill="FFFFFF"/>
        </w:rPr>
        <w:t>t</w:t>
      </w:r>
      <w:r w:rsidR="005227A7">
        <w:rPr>
          <w:rFonts w:eastAsia="Times New Roman" w:cs="Times New Roman"/>
          <w:shd w:val="clear" w:color="auto" w:fill="FFFFFF"/>
        </w:rPr>
        <w:t xml:space="preserve">(23) = 2.06, </w:t>
      </w:r>
      <w:r w:rsidR="005227A7">
        <w:rPr>
          <w:rFonts w:eastAsia="Times New Roman" w:cs="Times New Roman"/>
          <w:i/>
          <w:shd w:val="clear" w:color="auto" w:fill="FFFFFF"/>
        </w:rPr>
        <w:t>p</w:t>
      </w:r>
      <w:r w:rsidR="005227A7">
        <w:rPr>
          <w:rFonts w:eastAsia="Times New Roman" w:cs="Times New Roman"/>
          <w:shd w:val="clear" w:color="auto" w:fill="FFFFFF"/>
        </w:rPr>
        <w:t xml:space="preserve"> = 0.051, but not the controls, </w:t>
      </w:r>
      <w:r w:rsidR="005227A7">
        <w:rPr>
          <w:rFonts w:eastAsia="Times New Roman" w:cs="Times New Roman"/>
          <w:i/>
          <w:shd w:val="clear" w:color="auto" w:fill="FFFFFF"/>
        </w:rPr>
        <w:t>t</w:t>
      </w:r>
      <w:r w:rsidR="005227A7">
        <w:rPr>
          <w:rFonts w:eastAsia="Times New Roman" w:cs="Times New Roman"/>
          <w:shd w:val="clear" w:color="auto" w:fill="FFFFFF"/>
        </w:rPr>
        <w:t>(23) = -1.49,</w:t>
      </w:r>
      <w:r w:rsidR="005227A7">
        <w:rPr>
          <w:rFonts w:eastAsia="Times New Roman" w:cs="Times New Roman"/>
          <w:i/>
          <w:shd w:val="clear" w:color="auto" w:fill="FFFFFF"/>
        </w:rPr>
        <w:t xml:space="preserve"> p</w:t>
      </w:r>
      <w:r w:rsidR="005227A7">
        <w:rPr>
          <w:rFonts w:eastAsia="Times New Roman" w:cs="Times New Roman"/>
          <w:shd w:val="clear" w:color="auto" w:fill="FFFFFF"/>
        </w:rPr>
        <w:t xml:space="preserve"> = 0.15, and a between-groups </w:t>
      </w:r>
      <w:r w:rsidR="005227A7">
        <w:rPr>
          <w:rFonts w:eastAsia="Times New Roman" w:cs="Times New Roman"/>
          <w:i/>
          <w:shd w:val="clear" w:color="auto" w:fill="FFFFFF"/>
        </w:rPr>
        <w:t>t</w:t>
      </w:r>
      <w:r w:rsidR="005227A7">
        <w:rPr>
          <w:rFonts w:eastAsia="Times New Roman" w:cs="Times New Roman"/>
          <w:shd w:val="clear" w:color="auto" w:fill="FFFFFF"/>
        </w:rPr>
        <w:t xml:space="preserve">-tests revealed more positive difference scores in depressed versus healthy adults, </w:t>
      </w:r>
      <w:r w:rsidR="005227A7">
        <w:rPr>
          <w:rFonts w:eastAsia="Times New Roman" w:cs="Times New Roman"/>
          <w:i/>
          <w:shd w:val="clear" w:color="auto" w:fill="FFFFFF"/>
        </w:rPr>
        <w:t>t</w:t>
      </w:r>
      <w:r w:rsidR="005227A7">
        <w:rPr>
          <w:rFonts w:eastAsia="Times New Roman" w:cs="Times New Roman"/>
          <w:shd w:val="clear" w:color="auto" w:fill="FFFFFF"/>
        </w:rPr>
        <w:t xml:space="preserve">(46) = 2.54, </w:t>
      </w:r>
      <w:r w:rsidR="005227A7">
        <w:rPr>
          <w:rFonts w:eastAsia="Times New Roman" w:cs="Times New Roman"/>
          <w:i/>
          <w:shd w:val="clear" w:color="auto" w:fill="FFFFFF"/>
        </w:rPr>
        <w:t xml:space="preserve">p </w:t>
      </w:r>
      <w:r w:rsidR="005227A7">
        <w:rPr>
          <w:rFonts w:eastAsia="Times New Roman" w:cs="Times New Roman"/>
          <w:shd w:val="clear" w:color="auto" w:fill="FFFFFF"/>
        </w:rPr>
        <w:t xml:space="preserve">= 0.015, </w:t>
      </w:r>
      <w:r w:rsidR="005227A7">
        <w:rPr>
          <w:rFonts w:eastAsia="Times New Roman" w:cs="Times New Roman"/>
          <w:i/>
          <w:shd w:val="clear" w:color="auto" w:fill="FFFFFF"/>
        </w:rPr>
        <w:t xml:space="preserve">d </w:t>
      </w:r>
      <w:r w:rsidR="005227A7">
        <w:rPr>
          <w:rFonts w:eastAsia="Times New Roman" w:cs="Times New Roman"/>
          <w:shd w:val="clear" w:color="auto" w:fill="FFFFFF"/>
        </w:rPr>
        <w:t xml:space="preserve"> = 0.73. By contrast, for words from the animacy task (right panel), </w:t>
      </w:r>
      <w:r w:rsidR="00320018">
        <w:rPr>
          <w:rFonts w:eastAsia="Times New Roman" w:cs="Times New Roman"/>
          <w:shd w:val="clear" w:color="auto" w:fill="FFFFFF"/>
        </w:rPr>
        <w:t xml:space="preserve">the Question minus Side difference scores were </w:t>
      </w:r>
      <w:r w:rsidR="006318B7">
        <w:rPr>
          <w:rFonts w:eastAsia="Times New Roman" w:cs="Times New Roman"/>
          <w:shd w:val="clear" w:color="auto" w:fill="FFFFFF"/>
        </w:rPr>
        <w:t xml:space="preserve">significantly 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 xml:space="preserve">s &lt; -4.25,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1.00, </w:t>
      </w:r>
      <w:r w:rsidR="000C0E34">
        <w:rPr>
          <w:rFonts w:eastAsia="Times New Roman" w:cs="Times New Roman"/>
          <w:i/>
          <w:shd w:val="clear" w:color="auto" w:fill="FFFFFF"/>
        </w:rPr>
        <w:t>p</w:t>
      </w:r>
      <w:r w:rsidR="000C0E34">
        <w:rPr>
          <w:rFonts w:eastAsia="Times New Roman" w:cs="Times New Roman"/>
          <w:shd w:val="clear" w:color="auto" w:fill="FFFFFF"/>
        </w:rPr>
        <w:t xml:space="preserve"> = 0.32, </w:t>
      </w:r>
      <w:r w:rsidR="000C0E34">
        <w:rPr>
          <w:rFonts w:eastAsia="Times New Roman" w:cs="Times New Roman"/>
          <w:i/>
          <w:shd w:val="clear" w:color="auto" w:fill="FFFFFF"/>
        </w:rPr>
        <w:t>d</w:t>
      </w:r>
      <w:r w:rsidR="000C0E34">
        <w:rPr>
          <w:rFonts w:eastAsia="Times New Roman" w:cs="Times New Roman"/>
          <w:shd w:val="clear" w:color="auto" w:fill="FFFFFF"/>
        </w:rPr>
        <w:t xml:space="preserve"> = 0.29.</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7D430D32"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F27138">
        <w:rPr>
          <w:rFonts w:eastAsia="Times New Roman" w:cs="Times New Roman"/>
          <w:shd w:val="clear" w:color="auto" w:fill="FFFFFF"/>
        </w:rPr>
        <w:t>versus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t>
      </w:r>
      <w:r w:rsidR="00CC4B4B">
        <w:rPr>
          <w:rFonts w:eastAsia="Times New Roman" w:cs="Times New Roman"/>
          <w:shd w:val="clear" w:color="auto" w:fill="FFFFFF"/>
        </w:rPr>
        <w:t xml:space="preserve">was stable across groups </w:t>
      </w:r>
      <w:r w:rsidR="00CC4B4B">
        <w:rPr>
          <w:rFonts w:eastAsia="Times New Roman" w:cs="Times New Roman"/>
          <w:shd w:val="clear" w:color="auto" w:fill="FFFFFF"/>
        </w:rPr>
        <w:t xml:space="preserve">for words from the animacy task, where accuracy was significantly </w:t>
      </w:r>
      <w:r w:rsidR="00CC4B4B">
        <w:rPr>
          <w:rFonts w:eastAsia="Times New Roman" w:cs="Times New Roman"/>
          <w:shd w:val="clear" w:color="auto" w:fill="FFFFFF"/>
        </w:rPr>
        <w:t>lower accuracy under the Question versus the Side cue</w:t>
      </w:r>
      <w:r w:rsidR="00CC4B4B">
        <w:rPr>
          <w:rFonts w:eastAsia="Times New Roman" w:cs="Times New Roman"/>
          <w:shd w:val="clear" w:color="auto" w:fill="FFFFFF"/>
        </w:rPr>
        <w:t>.</w:t>
      </w:r>
      <w:r w:rsidR="00385A48">
        <w:rPr>
          <w:rFonts w:eastAsia="Times New Roman" w:cs="Times New Roman"/>
          <w:shd w:val="clear" w:color="auto" w:fill="FFFFFF"/>
        </w:rPr>
        <w:t xml:space="preserve"> </w:t>
      </w:r>
      <w:r w:rsidR="00385A48">
        <w:rPr>
          <w:rFonts w:eastAsia="Times New Roman" w:cs="Times New Roman"/>
          <w:b/>
          <w:shd w:val="clear" w:color="auto" w:fill="FFFFFF"/>
        </w:rPr>
        <w:t>STOPPED</w:t>
      </w:r>
      <w:bookmarkStart w:id="0" w:name="_GoBack"/>
      <w:bookmarkEnd w:id="0"/>
    </w:p>
    <w:p w14:paraId="31C43386" w14:textId="5771805A"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versus animacy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because </w:t>
      </w:r>
      <w:r w:rsidR="00A07F6D">
        <w:rPr>
          <w:rFonts w:eastAsia="Times New Roman" w:cs="Times New Roman"/>
          <w:shd w:val="clear" w:color="auto" w:fill="FFFFFF"/>
        </w:rPr>
        <w:t xml:space="preserve">although </w:t>
      </w:r>
      <w:r w:rsidR="00044447">
        <w:rPr>
          <w:rFonts w:eastAsia="Times New Roman" w:cs="Times New Roman"/>
          <w:shd w:val="clear" w:color="auto" w:fill="FFFFFF"/>
        </w:rPr>
        <w:t xml:space="preserve">there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conducted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94471C">
        <w:rPr>
          <w:rFonts w:eastAsia="Times New Roman" w:cs="Times New Roman"/>
          <w:shd w:val="clear" w:color="auto" w:fill="FFFFFF"/>
        </w:rPr>
        <w:t xml:space="preserve"> was higher under the Question versus Side cue</w:t>
      </w:r>
      <w:r w:rsidR="001C518C">
        <w:rPr>
          <w:rFonts w:eastAsia="Times New Roman" w:cs="Times New Roman"/>
          <w:shd w:val="clear" w:color="auto" w:fill="FFFFFF"/>
        </w:rPr>
        <w:t xml:space="preserv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animacy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the effect of cue type on confidence did not vary by en</w:t>
      </w:r>
      <w:r w:rsidR="0094471C">
        <w:rPr>
          <w:rFonts w:eastAsia="Times New Roman" w:cs="Times New Roman"/>
          <w:shd w:val="clear" w:color="auto" w:fill="FFFFFF"/>
        </w:rPr>
        <w:t>coding task in the MDD group. This</w:t>
      </w:r>
      <w:r w:rsidR="001C518C">
        <w:rPr>
          <w:rFonts w:eastAsia="Times New Roman" w:cs="Times New Roman"/>
          <w:shd w:val="clear" w:color="auto" w:fill="FFFFFF"/>
        </w:rPr>
        <w:t xml:space="preserve"> contrast</w:t>
      </w:r>
      <w:r w:rsidR="0094471C">
        <w:rPr>
          <w:rFonts w:eastAsia="Times New Roman" w:cs="Times New Roman"/>
          <w:shd w:val="clear" w:color="auto" w:fill="FFFFFF"/>
        </w:rPr>
        <w:t xml:space="preserve">s with </w:t>
      </w:r>
      <w:r w:rsidR="001C518C">
        <w:rPr>
          <w:rFonts w:eastAsia="Times New Roman" w:cs="Times New Roman"/>
          <w:shd w:val="clear" w:color="auto" w:fill="FFFFFF"/>
        </w:rPr>
        <w:t xml:space="preserve">the accuracy and </w:t>
      </w:r>
      <w:r w:rsidR="00CE32EF">
        <w:rPr>
          <w:rFonts w:eastAsia="Times New Roman" w:cs="Times New Roman"/>
          <w:shd w:val="clear" w:color="auto" w:fill="FFFFFF"/>
        </w:rPr>
        <w:t>guessing data</w:t>
      </w:r>
      <w:r w:rsidR="0094471C">
        <w:rPr>
          <w:rFonts w:eastAsia="Times New Roman" w:cs="Times New Roman"/>
          <w:shd w:val="clear" w:color="auto" w:fill="FFFFFF"/>
        </w:rPr>
        <w:t xml:space="preserve">, where the difference between responses to the Question </w:t>
      </w:r>
      <w:r w:rsidR="001D114C">
        <w:rPr>
          <w:rFonts w:eastAsia="Times New Roman" w:cs="Times New Roman"/>
          <w:shd w:val="clear" w:color="auto" w:fill="FFFFFF"/>
        </w:rPr>
        <w:t>versus Side cue</w:t>
      </w:r>
      <w:r w:rsidR="0094471C">
        <w:rPr>
          <w:rFonts w:eastAsia="Times New Roman" w:cs="Times New Roman"/>
          <w:shd w:val="clear" w:color="auto" w:fill="FFFFFF"/>
        </w:rPr>
        <w:t xml:space="preserve"> was magnified for words from the mobility task </w:t>
      </w:r>
      <w:r w:rsidR="00946DCF">
        <w:rPr>
          <w:rFonts w:eastAsia="Times New Roman" w:cs="Times New Roman"/>
          <w:shd w:val="clear" w:color="auto" w:fill="FFFFFF"/>
        </w:rPr>
        <w:t xml:space="preserve">(not the animacy task) </w:t>
      </w:r>
      <w:r w:rsidR="0094471C">
        <w:rPr>
          <w:rFonts w:eastAsia="Times New Roman" w:cs="Times New Roman"/>
          <w:shd w:val="clear" w:color="auto" w:fill="FFFFFF"/>
        </w:rPr>
        <w:t>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170ECAD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from correct trials are shown in Figure 5B. </w:t>
      </w:r>
      <w:r w:rsidR="00CB2583">
        <w:rPr>
          <w:rFonts w:eastAsia="Times New Roman" w:cs="Times New Roman"/>
          <w:shd w:val="clear" w:color="auto" w:fill="FFFFFF"/>
        </w:rPr>
        <w:t xml:space="preserve">The only significant effect was a main 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CB2583">
        <w:rPr>
          <w:rFonts w:eastAsia="Times New Roman" w:cs="Times New Roman"/>
          <w:shd w:val="clear" w:color="auto" w:fill="FFFFFF"/>
        </w:rPr>
        <w:t xml:space="preserve">the </w:t>
      </w:r>
      <w:r w:rsidR="002E63F0">
        <w:rPr>
          <w:rFonts w:eastAsia="Times New Roman" w:cs="Times New Roman"/>
          <w:shd w:val="clear" w:color="auto" w:fill="FFFFFF"/>
        </w:rPr>
        <w:t>Question</w:t>
      </w:r>
      <w:r w:rsidR="003A2BAD">
        <w:rPr>
          <w:rFonts w:eastAsia="Times New Roman" w:cs="Times New Roman"/>
          <w:shd w:val="clear" w:color="auto" w:fill="FFFFFF"/>
        </w:rPr>
        <w:t xml:space="preserve"> cue versus the</w:t>
      </w:r>
      <w:r w:rsidR="00550101">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The effect of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and neither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2.89, </w:t>
      </w:r>
      <w:r w:rsidR="00CB2583">
        <w:rPr>
          <w:rFonts w:eastAsia="Times New Roman" w:cs="Times New Roman"/>
          <w:i/>
          <w:shd w:val="clear" w:color="auto" w:fill="FFFFFF"/>
        </w:rPr>
        <w:t>p</w:t>
      </w:r>
      <w:r w:rsidR="00CB2583">
        <w:rPr>
          <w:rFonts w:eastAsia="Times New Roman" w:cs="Times New Roman"/>
          <w:shd w:val="clear" w:color="auto" w:fill="FFFFFF"/>
        </w:rPr>
        <w:t>s &gt; 0.09.</w:t>
      </w:r>
    </w:p>
    <w:p w14:paraId="3E5029D3" w14:textId="2F451C7E" w:rsidR="00671856" w:rsidRPr="008F0ED0"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appears to have supported better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versus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 accuracy was better under the Question cue versus the Side cue, </w:t>
      </w:r>
      <w:r w:rsidR="005C647F">
        <w:rPr>
          <w:rFonts w:eastAsia="Times New Roman" w:cs="Times New Roman"/>
          <w:shd w:val="clear" w:color="auto" w:fill="FFFFFF"/>
        </w:rPr>
        <w:t>an effect that was not seen</w:t>
      </w:r>
      <w:r w:rsidR="003A2BAD">
        <w:rPr>
          <w:rFonts w:eastAsia="Times New Roman" w:cs="Times New Roman"/>
          <w:shd w:val="clear" w:color="auto" w:fill="FFFFFF"/>
        </w:rPr>
        <w:t xml:space="preserve"> in the controls</w:t>
      </w:r>
      <w:r w:rsidR="001032C1">
        <w:rPr>
          <w:rFonts w:eastAsia="Times New Roman" w:cs="Times New Roman"/>
          <w:shd w:val="clear" w:color="auto" w:fill="FFFFFF"/>
        </w:rPr>
        <w:t xml:space="preserve">. This pattern differed from </w:t>
      </w:r>
      <w:r w:rsidR="003A2BAD">
        <w:rPr>
          <w:rFonts w:eastAsia="Times New Roman" w:cs="Times New Roman"/>
          <w:shd w:val="clear" w:color="auto" w:fill="FFFFFF"/>
        </w:rPr>
        <w:t>that</w:t>
      </w:r>
      <w:r w:rsidR="00493F47">
        <w:rPr>
          <w:rFonts w:eastAsia="Times New Roman" w:cs="Times New Roman"/>
          <w:shd w:val="clear" w:color="auto" w:fill="FFFFFF"/>
        </w:rPr>
        <w:t xml:space="preserve"> observed with 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uestion cue versus the Side cue. It also differed from the pattern seen for confidence, where the MDD group was less confident than controls when making Side judgments for words from either encoding task.</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supported</w:t>
      </w:r>
      <w:r w:rsidR="00493F47">
        <w:rPr>
          <w:rFonts w:eastAsia="Times New Roman" w:cs="Times New Roman"/>
          <w:shd w:val="clear" w:color="auto" w:fill="FFFFFF"/>
        </w:rPr>
        <w:t xml:space="preserve"> confident responding in all participants,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486D8F">
        <w:rPr>
          <w:rFonts w:eastAsia="Times New Roman" w:cs="Times New Roman"/>
          <w:shd w:val="clear" w:color="auto" w:fill="FFFFFF"/>
        </w:rPr>
        <w:t>interaction</w:t>
      </w:r>
      <w:r w:rsidR="00493F47">
        <w:rPr>
          <w:rFonts w:eastAsia="Times New Roman" w:cs="Times New Roman"/>
          <w:shd w:val="clear" w:color="auto" w:fill="FFFFFF"/>
        </w:rPr>
        <w:t xml:space="preserve"> of these two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5DD3C9EC"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“Question minus Odd/Even” and “Side minus Odd/Even” difference waves, collapsed across encoding task as in several prior studies. We expected group differences in the former but not the latter contrast, but in fact we found no group 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contrasts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3C6CA202"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Figure 6 shows the “Question minus Odd/Even” contrast</w:t>
      </w:r>
      <w:r w:rsidR="003273D0">
        <w:rPr>
          <w:rFonts w:eastAsia="Times New Roman" w:cs="Times New Roman"/>
          <w:shd w:val="clear" w:color="auto" w:fill="FFFFFF"/>
        </w:rPr>
        <w:t xml:space="preserve"> </w:t>
      </w:r>
      <w:r w:rsidR="00293779">
        <w:rPr>
          <w:rFonts w:eastAsia="Times New Roman" w:cs="Times New Roman"/>
          <w:shd w:val="clear" w:color="auto" w:fill="FFFFFF"/>
        </w:rPr>
        <w:t>and Table 2 lists the 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of the figure,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versus Odd/Even hits over right frontal electrodes in this time window. As shown in the middle and bottom panels of the figure,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left frontal result replicates a recent 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lasting late posterior negativity (LPN) has been observed in 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r w:rsidR="00BD3F17">
        <w:rPr>
          <w:rFonts w:eastAsia="Times New Roman" w:cs="Times New Roman"/>
          <w:shd w:val="clear" w:color="auto" w:fill="FFFFFF"/>
        </w:rPr>
        <w:t xml:space="preserve"> </w:t>
      </w:r>
      <w:r w:rsidR="00EC7C7B">
        <w:rPr>
          <w:rFonts w:eastAsia="Times New Roman" w:cs="Times New Roman"/>
          <w:shd w:val="clear" w:color="auto" w:fill="FFFFFF"/>
        </w:rPr>
        <w:t>T</w:t>
      </w:r>
      <w:r w:rsidR="005A5349">
        <w:rPr>
          <w:rFonts w:eastAsia="Times New Roman" w:cs="Times New Roman"/>
          <w:shd w:val="clear" w:color="auto" w:fill="FFFFFF"/>
        </w:rPr>
        <w:t>h</w:t>
      </w:r>
      <w:r w:rsidR="0089429F">
        <w:rPr>
          <w:rFonts w:eastAsia="Times New Roman" w:cs="Times New Roman"/>
          <w:shd w:val="clear" w:color="auto" w:fill="FFFFFF"/>
        </w:rPr>
        <w:t>us, th</w:t>
      </w:r>
      <w:r w:rsidR="005A5349">
        <w:rPr>
          <w:rFonts w:eastAsia="Times New Roman" w:cs="Times New Roman"/>
          <w:shd w:val="clear" w:color="auto" w:fill="FFFFFF"/>
        </w:rPr>
        <w:t>is pattern of results is consistent with prior work.</w:t>
      </w:r>
    </w:p>
    <w:p w14:paraId="7B093543" w14:textId="055B57ED" w:rsidR="005A5349"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Pr>
          <w:rFonts w:eastAsia="Times New Roman" w:cs="Times New Roman"/>
          <w:shd w:val="clear" w:color="auto" w:fill="FFFFFF"/>
        </w:rPr>
        <w:t>, m</w:t>
      </w:r>
      <w:r w:rsidR="007420ED">
        <w:rPr>
          <w:rFonts w:eastAsia="Times New Roman" w:cs="Times New Roman"/>
          <w:shd w:val="clear" w:color="auto" w:fill="FFFFFF"/>
        </w:rPr>
        <w:t xml:space="preserve">ass univariate analysis conducted across the groups revealed no 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conditions from 400-800 ms</w:t>
      </w:r>
      <w:r>
        <w:rPr>
          <w:rFonts w:eastAsia="Times New Roman" w:cs="Times New Roman"/>
          <w:shd w:val="clear" w:color="auto" w:fill="FFFFFF"/>
        </w:rPr>
        <w:t xml:space="preserve"> (see Figure 7 and Table 3)</w:t>
      </w:r>
      <w:r w:rsidR="007420ED">
        <w:rPr>
          <w:rFonts w:eastAsia="Times New Roman" w:cs="Times New Roman"/>
          <w:shd w:val="clear" w:color="auto" w:fill="FFFFFF"/>
        </w:rPr>
        <w:t xml:space="preserve">.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condition effects were observed from 800-1400 ms and 1400-2000 ms. In these windows, a sustained LPN 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from anterior parietal to occipita</w:t>
      </w:r>
      <w:r w:rsidR="005E35D2">
        <w:rPr>
          <w:rFonts w:eastAsia="Times New Roman" w:cs="Times New Roman"/>
          <w:shd w:val="clear" w:color="auto" w:fill="FFFFFF"/>
        </w:rPr>
        <w:t>l sites.</w:t>
      </w:r>
    </w:p>
    <w:p w14:paraId="1481F4E5" w14:textId="75CC6C3C"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animacy task</w:t>
      </w:r>
      <w:r>
        <w:rPr>
          <w:rFonts w:eastAsia="Times New Roman" w:cs="Times New Roman"/>
          <w:shd w:val="clear" w:color="auto" w:fill="FFFFFF"/>
        </w:rPr>
        <w:t xml:space="preserve">.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animacy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cue relative to the Side cue </w:t>
      </w:r>
      <w:r w:rsidR="00ED48EC">
        <w:rPr>
          <w:rFonts w:eastAsia="Times New Roman" w:cs="Times New Roman"/>
          <w:shd w:val="clear" w:color="auto" w:fill="FFFFFF"/>
        </w:rPr>
        <w:t xml:space="preserve">seen 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As shown, this contrast revealed a broadly distributed negativity that was focused over left fronto-central scalp from 400-800 ms, dispersed over bilateral fronto-central scalp from 800-1400 ms, and separated into left fronto-central and right parietal clusters from 1400-2000 ms. Inspection of waveforms revealed a consistent 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with below-baseline activity especially evident over left fronto-central scalp.</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7C51F91D"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4413D8">
        <w:rPr>
          <w:rFonts w:eastAsia="Times New Roman" w:cs="Times New Roman"/>
          <w:shd w:val="clear" w:color="auto" w:fill="FFFFFF"/>
        </w:rPr>
        <w:t xml:space="preserve">revealed significant interactions </w:t>
      </w:r>
      <w:r w:rsidR="00D7089D">
        <w:rPr>
          <w:rFonts w:eastAsia="Times New Roman" w:cs="Times New Roman"/>
          <w:shd w:val="clear" w:color="auto" w:fill="FFFFFF"/>
        </w:rPr>
        <w:t xml:space="preserve">in both windows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 Moreover, the MDD group generated stronger responses on Question versus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 xml:space="preserve">s &lt; 0.006),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versus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903073">
        <w:rPr>
          <w:rFonts w:eastAsia="Times New Roman" w:cs="Times New Roman"/>
          <w:shd w:val="clear" w:color="auto" w:fill="FFFFFF"/>
        </w:rPr>
        <w:t xml:space="preserve"> This pattern of ERP effects is similar to the pattern seen for source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51387555" w:rsidR="00EA2972"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 of the “Question minus Side”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EA2972">
        <w:rPr>
          <w:rFonts w:cs="Times New Roman"/>
        </w:rPr>
        <w:t xml:space="preserve"> &lt; 0.001. These values were also </w:t>
      </w:r>
      <w:r w:rsidR="0026257B">
        <w:rPr>
          <w:rFonts w:cs="Times New Roman"/>
        </w:rPr>
        <w:t xml:space="preserve">positively </w:t>
      </w:r>
      <w:r w:rsidR="00EA2972">
        <w:rPr>
          <w:rFonts w:cs="Times New Roman"/>
        </w:rPr>
        <w:t xml:space="preserve">correlated with “Question minus Side” accuracy difference scores, although the relationships were not very strong (correlation with accuracy: 400-800 ms,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 800-1400 ms, </w:t>
      </w:r>
      <w:r w:rsidR="00EA2972">
        <w:rPr>
          <w:rFonts w:cs="Times New Roman"/>
          <w:i/>
        </w:rPr>
        <w:t>r</w:t>
      </w:r>
      <w:r w:rsidR="00EA2972">
        <w:rPr>
          <w:rFonts w:cs="Times New Roman"/>
        </w:rPr>
        <w:t xml:space="preserve"> = 0.28, </w:t>
      </w:r>
      <w:r w:rsidR="00EA2972">
        <w:rPr>
          <w:rFonts w:cs="Times New Roman"/>
          <w:i/>
        </w:rPr>
        <w:t>p</w:t>
      </w:r>
      <w:r w:rsidR="00EA2972">
        <w:rPr>
          <w:rFonts w:cs="Times New Roman"/>
        </w:rPr>
        <w:t xml:space="preserve"> = 0.05).</w:t>
      </w:r>
    </w:p>
    <w:p w14:paraId="2C47BF06" w14:textId="5CD2344E" w:rsidR="00691496"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depressed adults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to determine</w:t>
      </w:r>
      <w:r w:rsidR="00C973E5">
        <w:rPr>
          <w:rFonts w:cs="Times New Roman"/>
        </w:rPr>
        <w:t xml:space="preserve"> </w:t>
      </w:r>
      <w:r w:rsidR="00F00504">
        <w:rPr>
          <w:rFonts w:cs="Times New Roman"/>
        </w:rPr>
        <w:t>if</w:t>
      </w:r>
      <w:r w:rsidR="00C973E5">
        <w:rPr>
          <w:rFonts w:cs="Times New Roman"/>
        </w:rPr>
        <w:t xml:space="preserve"> </w:t>
      </w:r>
      <w:r w:rsidR="00F901DC">
        <w:rPr>
          <w:rFonts w:cs="Times New Roman"/>
        </w:rPr>
        <w:t xml:space="preserve">there was any association between “Question minus Side” accuracy for words from the </w:t>
      </w:r>
      <w:r w:rsidR="00691496">
        <w:rPr>
          <w:rFonts w:cs="Times New Roman"/>
        </w:rPr>
        <w:t>mobility task</w:t>
      </w:r>
      <w:r w:rsidR="00F901DC">
        <w:rPr>
          <w:rFonts w:cs="Times New Roman"/>
        </w:rPr>
        <w:t xml:space="preserve">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or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source accuracy and </w:t>
      </w:r>
      <w:r w:rsidR="00F901DC">
        <w:rPr>
          <w:rFonts w:cs="Times New Roman"/>
        </w:rPr>
        <w:t>both general 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-0.47, </w:t>
      </w:r>
      <w:r w:rsidR="00F901DC">
        <w:rPr>
          <w:rFonts w:cs="Times New Roman"/>
          <w:i/>
        </w:rPr>
        <w:t>p</w:t>
      </w:r>
      <w:r w:rsidR="00F901DC">
        <w:rPr>
          <w:rFonts w:cs="Times New Roman"/>
        </w:rPr>
        <w:t xml:space="preserve"> = 0.02</w:t>
      </w:r>
      <w:r w:rsidR="0067624A">
        <w:rPr>
          <w:rFonts w:cs="Times New Roman"/>
        </w:rPr>
        <w:t>)</w:t>
      </w:r>
      <w:r w:rsidR="00910423">
        <w:rPr>
          <w:rFonts w:cs="Times New Roman"/>
        </w:rPr>
        <w:t>; no other relationships were significant.</w:t>
      </w:r>
    </w:p>
    <w:p w14:paraId="59061AA3" w14:textId="7266F20C" w:rsidR="005D7F77" w:rsidRDefault="00691496" w:rsidP="00B11932">
      <w:pPr>
        <w:spacing w:line="480" w:lineRule="auto"/>
        <w:ind w:firstLine="720"/>
        <w:rPr>
          <w:rFonts w:cs="Times New Roman"/>
        </w:rPr>
      </w:pPr>
      <w:r>
        <w:rPr>
          <w:rFonts w:cs="Times New Roman"/>
        </w:rPr>
        <w:t xml:space="preserve">Next we examined relationships with ERPs from the “Question minus Side” contrast, computed for words from the mobility task. To maximize sensitivity, we did </w:t>
      </w:r>
      <w:r w:rsidR="00FB7A5C">
        <w:rPr>
          <w:rFonts w:cs="Times New Roman"/>
        </w:rPr>
        <w:t xml:space="preserve">not </w:t>
      </w:r>
      <w:r>
        <w:rPr>
          <w:rFonts w:cs="Times New Roman"/>
        </w:rPr>
        <w:t xml:space="preserve">restrict our analysis to sites that showed between-groups differences (Figure 9), but instead extracted data from electrodes that showed significant </w:t>
      </w:r>
      <w:r w:rsidR="003F54BC">
        <w:rPr>
          <w:rFonts w:cs="Times New Roman"/>
        </w:rPr>
        <w:t xml:space="preserve">condition </w:t>
      </w:r>
      <w:r>
        <w:rPr>
          <w:rFonts w:cs="Times New Roman"/>
        </w:rPr>
        <w:t>effects when the MDD group was considered alone (Figure 10C). These electrodes were predominantly located over left centro-parietal scalp</w:t>
      </w:r>
      <w:r w:rsidR="009B3C0A">
        <w:rPr>
          <w:rFonts w:cs="Times New Roman"/>
        </w:rPr>
        <w:t>,</w:t>
      </w:r>
      <w:r w:rsidR="00201292">
        <w:rPr>
          <w:rFonts w:cs="Times New Roman"/>
        </w:rPr>
        <w:t xml:space="preserve"> and </w:t>
      </w:r>
      <w:r>
        <w:rPr>
          <w:rFonts w:cs="Times New Roman"/>
        </w:rPr>
        <w:t xml:space="preserve">significant effects of condition </w:t>
      </w:r>
      <w:r w:rsidR="00201292">
        <w:rPr>
          <w:rFonts w:cs="Times New Roman"/>
        </w:rPr>
        <w:t xml:space="preserve">were evident </w:t>
      </w:r>
      <w:r>
        <w:rPr>
          <w:rFonts w:cs="Times New Roman"/>
        </w:rPr>
        <w:t>in all three time windows (400-800 ms, 800-1400 ms, 1400-2000 ms).</w:t>
      </w:r>
      <w:r w:rsidR="00FB7A5C">
        <w:rPr>
          <w:rFonts w:cs="Times New Roman"/>
        </w:rPr>
        <w:t xml:space="preserve"> </w:t>
      </w:r>
      <w:r w:rsidR="00B11932">
        <w:rPr>
          <w:rFonts w:cs="Times New Roman"/>
        </w:rPr>
        <w:t>The mean amplitude of ERPs from these electrodes was correlated across the time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FB7A5C">
        <w:rPr>
          <w:rFonts w:cs="Times New Roman"/>
        </w:rPr>
        <w:t xml:space="preserve">did not find a relationship between </w:t>
      </w:r>
      <w:r w:rsidR="00B11932">
        <w:rPr>
          <w:rFonts w:cs="Times New Roman"/>
        </w:rPr>
        <w:t xml:space="preserve">source accuracy and </w:t>
      </w:r>
      <w:r w:rsidR="00FB7A5C">
        <w:rPr>
          <w:rFonts w:cs="Times New Roman"/>
        </w:rPr>
        <w:t>ERP amplitude in any of these intervals (|</w:t>
      </w:r>
      <w:r w:rsidR="00FB7A5C" w:rsidRPr="00FB7A5C">
        <w:rPr>
          <w:rFonts w:cs="Times New Roman"/>
          <w:i/>
        </w:rPr>
        <w:t>r</w:t>
      </w:r>
      <w:r w:rsidR="00FB7A5C">
        <w:rPr>
          <w:rFonts w:cs="Times New Roman"/>
        </w:rPr>
        <w:t>|</w:t>
      </w:r>
      <w:r w:rsidR="00FB7A5C" w:rsidRPr="00FB7A5C">
        <w:rPr>
          <w:rFonts w:cs="Times New Roman"/>
        </w:rPr>
        <w:t>s</w:t>
      </w:r>
      <w:r w:rsidR="00FB7A5C">
        <w:rPr>
          <w:rFonts w:cs="Times New Roman"/>
        </w:rPr>
        <w:t xml:space="preserve"> &lt; 0.33, </w:t>
      </w:r>
      <w:r w:rsidR="00FB7A5C">
        <w:rPr>
          <w:rFonts w:cs="Times New Roman"/>
          <w:i/>
        </w:rPr>
        <w:t>p</w:t>
      </w:r>
      <w:r w:rsidR="00FB7A5C">
        <w:rPr>
          <w:rFonts w:cs="Times New Roman"/>
        </w:rPr>
        <w:t>s &gt; 0.12).</w:t>
      </w:r>
      <w:r w:rsidR="00B11932">
        <w:rPr>
          <w:rFonts w:cs="Times New Roman"/>
        </w:rPr>
        <w:t xml:space="preserve"> Moreover, the ERPs were not reliably related to any self-report measure with one exception: there were negative relationships between the PSQI score and ERP amplitude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5A38BBAD" w:rsidR="007F53F6" w:rsidRPr="00265800" w:rsidRDefault="00871F7E" w:rsidP="00B11932">
      <w:pPr>
        <w:spacing w:line="480" w:lineRule="auto"/>
        <w:ind w:firstLine="720"/>
        <w:rPr>
          <w:rFonts w:cs="Times New Roman"/>
        </w:rPr>
      </w:pPr>
      <w:r>
        <w:rPr>
          <w:rFonts w:cs="Times New Roman"/>
        </w:rPr>
        <w:t>To confirm that th</w:t>
      </w:r>
      <w:r w:rsidR="00B11932">
        <w:rPr>
          <w:rFonts w:cs="Times New Roman"/>
        </w:rPr>
        <w:t>is last</w:t>
      </w:r>
      <w:r>
        <w:rPr>
          <w:rFonts w:cs="Times New Roman"/>
        </w:rPr>
        <w:t xml:space="preserve"> result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 xml:space="preserve">“Question minus Side” </w:t>
      </w:r>
      <w:r w:rsidR="00F51F67">
        <w:rPr>
          <w:rFonts w:cs="Times New Roman"/>
          <w:lang w:val="el-GR"/>
        </w:rPr>
        <w:t xml:space="preserve">ERP amplitude </w:t>
      </w:r>
      <w:r w:rsidR="00813809">
        <w:rPr>
          <w:rFonts w:cs="Times New Roman"/>
          <w:lang w:val="el-GR"/>
        </w:rPr>
        <w:t xml:space="preserve">for words from the mobility task </w:t>
      </w:r>
      <w:r w:rsidR="009A7432">
        <w:rPr>
          <w:rFonts w:cs="Times New Roman"/>
          <w:lang w:val="el-GR"/>
        </w:rPr>
        <w:t xml:space="preserve">was lowest in those depressed adults who reported chronic sleep disruption, and this effect </w:t>
      </w:r>
      <w:r w:rsidR="00953D69">
        <w:rPr>
          <w:rFonts w:cs="Times New Roman"/>
          <w:lang w:val="el-GR"/>
        </w:rPr>
        <w:t>was</w:t>
      </w:r>
      <w:r w:rsidR="00F51F67">
        <w:rPr>
          <w:rFonts w:cs="Times New Roman"/>
          <w:lang w:val="el-GR"/>
        </w:rPr>
        <w:t xml:space="preserve"> not </w:t>
      </w:r>
      <w:r w:rsidR="00953D69">
        <w:rPr>
          <w:rFonts w:cs="Times New Roman"/>
          <w:lang w:val="el-GR"/>
        </w:rPr>
        <w:t>driven by</w:t>
      </w:r>
      <w:r w:rsidR="009A7432">
        <w:rPr>
          <w:rFonts w:cs="Times New Roman"/>
          <w:lang w:val="el-GR"/>
        </w:rPr>
        <w:t xml:space="preserve"> 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of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ms.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animacy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77777777"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animacy task were presented under the </w:t>
      </w:r>
      <w:r w:rsidR="00AC12DF">
        <w:rPr>
          <w:rFonts w:cs="Times New Roman"/>
        </w:rPr>
        <w:t>Question cue; instead lasting activity over left PFC was seen. A</w:t>
      </w:r>
      <w:r w:rsidR="008523AB">
        <w:rPr>
          <w:rFonts w:cs="Times New Roman"/>
        </w:rPr>
        <w:t>nimacy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and accuracy under the Question cue was lower following the animacy versus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magining future events depends on the same parieto-hippocampal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parieto-hippocampal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parieto-hippocampal activity in episodic </w:t>
      </w:r>
      <w:r w:rsidR="009C419F">
        <w:rPr>
          <w:rFonts w:cs="Times New Roman"/>
        </w:rPr>
        <w:t>memory</w:t>
      </w:r>
      <w:r w:rsidR="00374BD9">
        <w:rPr>
          <w:rFonts w:cs="Times New Roman"/>
        </w:rPr>
        <w:t xml:space="preserve"> is</w:t>
      </w:r>
      <w:r w:rsidR="00D70C00">
        <w:rPr>
          <w:rFonts w:cs="Times New Roman"/>
        </w:rPr>
        <w:t xml:space="preserve"> already well</w:t>
      </w:r>
      <w:r w:rsidR="00374BD9">
        <w:rPr>
          <w:rFonts w:cs="Times New Roman"/>
        </w:rPr>
        <w:t xml:space="preserve">-known.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0AF7DD7F" w14:textId="77777777" w:rsidR="005322B3" w:rsidRDefault="005322B3">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The authors gratefully acknowledge Victoria Lawlor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15C05E11"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versus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47219146"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2547A1">
        <w:rPr>
          <w:rFonts w:cs="Times New Roman"/>
        </w:rPr>
        <w:t>versus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2547A1">
        <w:rPr>
          <w:rFonts w:cs="Times New Roman"/>
        </w:rPr>
        <w:t>versus the Side cue</w:t>
      </w:r>
      <w:r w:rsidR="00810C54">
        <w:rPr>
          <w:rFonts w:cs="Times New Roman"/>
        </w:rPr>
        <w:t xml:space="preserve"> (</w:t>
      </w:r>
      <w:r w:rsidR="00E16D6B">
        <w:rPr>
          <w:rFonts w:cs="Times New Roman"/>
        </w:rPr>
        <w:t>green bars</w:t>
      </w:r>
      <w:r w:rsidR="00810C54">
        <w:rPr>
          <w:rFonts w:cs="Times New Roman"/>
        </w:rPr>
        <w:t xml:space="preserve">). </w:t>
      </w:r>
      <w:r w:rsidR="00CC2587">
        <w:rPr>
          <w:rFonts w:cs="Times New Roman"/>
        </w:rPr>
        <w:t>Moreover</w:t>
      </w:r>
      <w:r w:rsidR="00810C54">
        <w:rPr>
          <w:rFonts w:cs="Times New Roman"/>
        </w:rPr>
        <w:t>,</w:t>
      </w:r>
      <w:r w:rsidR="00810C54">
        <w:rPr>
          <w:rFonts w:cs="Times New Roman"/>
          <w:i/>
        </w:rPr>
        <w:t xml:space="preserve"> </w:t>
      </w:r>
      <w:r w:rsidR="00CC2587">
        <w:rPr>
          <w:rFonts w:cs="Times New Roman"/>
        </w:rPr>
        <w:t xml:space="preserve">in the MDD group </w:t>
      </w:r>
      <w:r w:rsidR="00810C54">
        <w:rPr>
          <w:rFonts w:cs="Times New Roman"/>
        </w:rPr>
        <w:t xml:space="preserve">the </w:t>
      </w:r>
      <w:r w:rsidR="00CC2587">
        <w:rPr>
          <w:rFonts w:cs="Times New Roman"/>
        </w:rPr>
        <w:t xml:space="preserve">effect of cues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318B2C5B"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animacy task. </w:t>
      </w:r>
      <w:r w:rsidR="00267008">
        <w:rPr>
          <w:rFonts w:cs="Times New Roman"/>
        </w:rPr>
        <w:t>For the animacy task, both</w:t>
      </w:r>
      <w:r w:rsidR="00220298">
        <w:rPr>
          <w:rFonts w:cs="Times New Roman"/>
        </w:rPr>
        <w:t xml:space="preserve"> groups </w:t>
      </w:r>
      <w:r w:rsidR="00267008">
        <w:rPr>
          <w:rFonts w:cs="Times New Roman"/>
        </w:rPr>
        <w:t xml:space="preserve">show </w:t>
      </w:r>
      <w:r w:rsidR="00220298">
        <w:rPr>
          <w:rFonts w:cs="Times New Roman"/>
        </w:rPr>
        <w:t>lower accu</w:t>
      </w:r>
      <w:r w:rsidR="00267008">
        <w:rPr>
          <w:rFonts w:cs="Times New Roman"/>
        </w:rPr>
        <w:t xml:space="preserve">racy under Question versus Side. By contrast, there was a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 xml:space="preserve">p shows better memory under the </w:t>
      </w:r>
      <w:r w:rsidR="00F139C3">
        <w:rPr>
          <w:rFonts w:cs="Times New Roman"/>
        </w:rPr>
        <w:t xml:space="preserve">Question versus Side </w:t>
      </w:r>
      <w:r w:rsidR="00267008">
        <w:rPr>
          <w:rFonts w:cs="Times New Roman"/>
        </w:rPr>
        <w:t>cue but the controls do not</w:t>
      </w:r>
      <w:r w:rsidR="00F139C3">
        <w:rPr>
          <w:rFonts w:cs="Times New Roman"/>
        </w:rPr>
        <w:t xml:space="preserv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3778F753"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Pr>
          <w:rFonts w:cs="Times New Roman"/>
        </w:rPr>
        <w:t xml:space="preserve">versus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Pr>
          <w:rFonts w:cs="Times New Roman"/>
        </w:rPr>
        <w:t>versus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versus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F668F0">
        <w:rPr>
          <w:rFonts w:cs="Times New Roman"/>
        </w:rPr>
        <w:t>versus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0F9DCDDC" w14:textId="77777777" w:rsidR="000C75D6" w:rsidRDefault="000C75D6" w:rsidP="00B61611">
      <w:pPr>
        <w:spacing w:line="480" w:lineRule="auto"/>
        <w:rPr>
          <w:rFonts w:cs="Times New Roman"/>
        </w:rPr>
      </w:pPr>
    </w:p>
    <w:p w14:paraId="33EF3422" w14:textId="228E9455"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per time window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3535C1C9"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per time window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1F967604" w14:textId="77777777" w:rsidR="00884C97" w:rsidRDefault="00884C97" w:rsidP="00B61611">
      <w:pPr>
        <w:spacing w:line="480" w:lineRule="auto"/>
        <w:rPr>
          <w:rFonts w:cs="Times New Roman"/>
        </w:rPr>
      </w:pPr>
    </w:p>
    <w:p w14:paraId="249081FE" w14:textId="03C99209"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per time window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2E40BDBE" w14:textId="77777777" w:rsidR="00EE03F1" w:rsidRDefault="00EE03F1" w:rsidP="00B61611">
      <w:pPr>
        <w:spacing w:line="480" w:lineRule="auto"/>
        <w:rPr>
          <w:rFonts w:cs="Times New Roman"/>
        </w:rPr>
      </w:pPr>
    </w:p>
    <w:p w14:paraId="637E1087" w14:textId="1867E91B"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per time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Pr>
          <w:rFonts w:cs="Times New Roman"/>
        </w:rPr>
        <w:t>, as depressed participants generated a stronger response for Question versus Side hits while controls show</w:t>
      </w:r>
      <w:r w:rsidR="002B46EC">
        <w:rPr>
          <w:rFonts w:cs="Times New Roman"/>
        </w:rPr>
        <w:t>ed</w:t>
      </w:r>
      <w:r>
        <w:rPr>
          <w:rFonts w:cs="Times New Roman"/>
        </w:rPr>
        <w:t xml:space="preserve"> the opposite pattern.</w:t>
      </w:r>
    </w:p>
    <w:p w14:paraId="091A48A5" w14:textId="77777777" w:rsidR="00EA4139" w:rsidRPr="00EA4139" w:rsidRDefault="00EA4139" w:rsidP="00B61611">
      <w:pPr>
        <w:spacing w:line="480" w:lineRule="auto"/>
        <w:rPr>
          <w:rFonts w:cs="Times New Roman"/>
        </w:rPr>
      </w:pPr>
    </w:p>
    <w:p w14:paraId="6B6EEA2A"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w:t>
      </w:r>
      <w:r w:rsidR="00E425A3">
        <w:rPr>
          <w:rFonts w:cs="Times New Roman"/>
        </w:rPr>
        <w:t xml:space="preserve">the late posterior negativity (LPN) was maximal at </w:t>
      </w:r>
      <w:r w:rsidR="002E4393">
        <w:rPr>
          <w:rFonts w:cs="Times New Roman"/>
        </w:rPr>
        <w:t>the</w:t>
      </w:r>
      <w:r w:rsidR="007A3E6C">
        <w:rPr>
          <w:rFonts w:cs="Times New Roman"/>
        </w:rPr>
        <w:t xml:space="preserve"> midline occipital electrode</w:t>
      </w:r>
      <w:r w:rsidR="002E4393">
        <w:rPr>
          <w:rFonts w:cs="Times New Roman"/>
        </w:rPr>
        <w:t>, Oz</w:t>
      </w:r>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6E7E58">
        <w:rPr>
          <w:rFonts w:cs="Times New Roman"/>
        </w:rPr>
        <w:t>, a</w:t>
      </w:r>
      <w:r w:rsidR="00915C24">
        <w:rPr>
          <w:rFonts w:cs="Times New Roman"/>
        </w:rPr>
        <w:t xml:space="preserve">sterisks </w:t>
      </w:r>
      <w:r w:rsidR="00513850">
        <w:rPr>
          <w:rFonts w:cs="Times New Roman"/>
        </w:rPr>
        <w:t>indicate reduced</w:t>
      </w:r>
      <w:r w:rsidR="007A3E6C">
        <w:rPr>
          <w:rFonts w:cs="Times New Roman"/>
        </w:rPr>
        <w:t xml:space="preserve">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191A4A2A" w14:textId="77777777" w:rsidR="007A3E6C" w:rsidRDefault="007A3E6C" w:rsidP="00B61611">
      <w:pPr>
        <w:spacing w:line="480" w:lineRule="auto"/>
        <w:rPr>
          <w:rFonts w:cs="Times New Roman"/>
        </w:rPr>
      </w:pPr>
    </w:p>
    <w:p w14:paraId="209BFF4E" w14:textId="77777777" w:rsidR="000218CA" w:rsidRDefault="007A3E6C" w:rsidP="00B61611">
      <w:pPr>
        <w:spacing w:line="480" w:lineRule="auto"/>
        <w:rPr>
          <w:rFonts w:cs="Times New Roman"/>
        </w:rPr>
      </w:pPr>
      <w:r>
        <w:rPr>
          <w:rFonts w:cs="Times New Roman"/>
          <w:i/>
        </w:rPr>
        <w:t>Figure 4</w:t>
      </w:r>
      <w:r>
        <w:rPr>
          <w:rFonts w:cs="Times New Roman"/>
        </w:rPr>
        <w:t>. Topographi</w:t>
      </w:r>
      <w:r w:rsidR="002E4393">
        <w:rPr>
          <w:rFonts w:cs="Times New Roman"/>
        </w:rPr>
        <w:t xml:space="preserve">cal maps of </w:t>
      </w:r>
      <w:r w:rsidR="002E4393">
        <w:rPr>
          <w:rFonts w:cs="Times New Roman"/>
          <w:i/>
        </w:rPr>
        <w:t>t</w:t>
      </w:r>
      <w:r w:rsidR="002E4393">
        <w:rPr>
          <w:rFonts w:cs="Times New Roman"/>
        </w:rPr>
        <w:t xml:space="preserve">-values for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sidR="002E4393">
        <w:rPr>
          <w:rFonts w:cs="Times New Roman"/>
        </w:rPr>
        <w:t xml:space="preserve"> (one-sample tests against zero)</w:t>
      </w:r>
      <w:r>
        <w:rPr>
          <w:rFonts w:cs="Times New Roman"/>
        </w:rPr>
        <w:t xml:space="preserve">. </w:t>
      </w:r>
      <w:r w:rsidR="00262CB4">
        <w:rPr>
          <w:rFonts w:cs="Times New Roman"/>
        </w:rPr>
        <w:t xml:space="preserve">Columns correspond to the three time windows analyzed (400-800, 800-1400, 1400-2000 ms). </w:t>
      </w:r>
      <w:r w:rsidR="00153CDB">
        <w:rPr>
          <w:rFonts w:cs="Times New Roman"/>
        </w:rPr>
        <w:t>Electrodes in clusters associated</w:t>
      </w:r>
      <w:r w:rsidR="003719B3">
        <w:rPr>
          <w:rFonts w:cs="Times New Roman"/>
        </w:rPr>
        <w:t xml:space="preserve"> with significant within-group effects </w:t>
      </w:r>
      <w:r w:rsidR="00153CDB">
        <w:rPr>
          <w:rFonts w:cs="Times New Roman"/>
        </w:rPr>
        <w:t>are shown in white. Between-group comparisons revealed no differences.</w:t>
      </w:r>
      <w:r w:rsidR="002E4393">
        <w:rPr>
          <w:rFonts w:cs="Times New Roman"/>
        </w:rPr>
        <w:t xml:space="preserve"> </w:t>
      </w:r>
    </w:p>
    <w:p w14:paraId="1B9E2935" w14:textId="77777777" w:rsidR="00A176D4" w:rsidRDefault="00A176D4" w:rsidP="00B61611">
      <w:pPr>
        <w:spacing w:line="480" w:lineRule="auto"/>
        <w:rPr>
          <w:rFonts w:cs="Times New Roman"/>
        </w:rPr>
      </w:pPr>
    </w:p>
    <w:p w14:paraId="1D9F8FE0" w14:textId="77777777" w:rsidR="00D1152E" w:rsidRDefault="005620AF" w:rsidP="00B61611">
      <w:pPr>
        <w:spacing w:line="480" w:lineRule="auto"/>
        <w:rPr>
          <w:rFonts w:cs="Times New Roman"/>
        </w:rPr>
      </w:pPr>
      <w:r>
        <w:rPr>
          <w:rFonts w:cs="Times New Roman"/>
          <w:i/>
        </w:rPr>
        <w:t>Figure 5</w:t>
      </w:r>
      <w:r>
        <w:rPr>
          <w:rFonts w:cs="Times New Roman"/>
        </w:rPr>
        <w:t xml:space="preserve">. </w:t>
      </w:r>
      <w:r w:rsidR="003C74E5">
        <w:rPr>
          <w:rFonts w:cs="Times New Roman"/>
        </w:rPr>
        <w:t xml:space="preserve">Topographical maps of </w:t>
      </w:r>
      <w:r w:rsidR="003C74E5">
        <w:rPr>
          <w:rFonts w:cs="Times New Roman"/>
          <w:i/>
        </w:rPr>
        <w:t>t</w:t>
      </w:r>
      <w:r w:rsidR="003C74E5">
        <w:rPr>
          <w:rFonts w:cs="Times New Roman"/>
        </w:rPr>
        <w:t>-values for</w:t>
      </w:r>
      <w:r>
        <w:rPr>
          <w:rFonts w:cs="Times New Roman"/>
        </w:rPr>
        <w:t xml:space="preserve"> Question minus Side difference waves, sorted by group and encoding task. Columns correspond to the three time windows analyzed (400-800, 800-1400, 1400-2000 ms).</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w:t>
      </w:r>
      <w:r w:rsidR="006E7E58">
        <w:rPr>
          <w:rFonts w:cs="Times New Roman"/>
        </w:rPr>
        <w:t xml:space="preserve">task </w:t>
      </w:r>
      <w:r w:rsidR="00CE569A">
        <w:rPr>
          <w:rFonts w:cs="Times New Roman"/>
        </w:rPr>
        <w:t>but not the animacy task.</w:t>
      </w:r>
    </w:p>
    <w:p w14:paraId="0D5F5201" w14:textId="77777777" w:rsidR="000218CA" w:rsidRDefault="000218CA" w:rsidP="00B61611">
      <w:pPr>
        <w:spacing w:line="480" w:lineRule="auto"/>
        <w:rPr>
          <w:rFonts w:cs="Times New Roman"/>
        </w:rPr>
      </w:pPr>
    </w:p>
    <w:p w14:paraId="1CD9AABC" w14:textId="7777777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w:t>
      </w:r>
      <w:r w:rsidR="003C74E5">
        <w:rPr>
          <w:rFonts w:cs="Times New Roman"/>
        </w:rPr>
        <w:t xml:space="preserve">sensitive to recollection </w:t>
      </w:r>
      <w:r>
        <w:rPr>
          <w:rFonts w:cs="Times New Roman"/>
        </w:rPr>
        <w:t xml:space="preserve">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negative correlations between sleep disturbance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in the 400-800 (left) and 800-1400 (right)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6318B7" w:rsidRDefault="006318B7" w:rsidP="00722819">
      <w:r>
        <w:separator/>
      </w:r>
    </w:p>
  </w:endnote>
  <w:endnote w:type="continuationSeparator" w:id="0">
    <w:p w14:paraId="357C1BF8" w14:textId="77777777" w:rsidR="006318B7" w:rsidRDefault="006318B7"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6318B7" w:rsidRDefault="006318B7"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6318B7" w:rsidRDefault="006318B7"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6318B7" w:rsidRDefault="006318B7"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385A48">
      <w:rPr>
        <w:rStyle w:val="PageNumber"/>
        <w:rFonts w:ascii="Times New Roman" w:hAnsi="Times New Roman" w:cs="Times New Roman"/>
        <w:noProof/>
      </w:rPr>
      <w:t>14</w:t>
    </w:r>
    <w:r w:rsidRPr="003B342E">
      <w:rPr>
        <w:rStyle w:val="PageNumber"/>
        <w:rFonts w:ascii="Times New Roman" w:hAnsi="Times New Roman" w:cs="Times New Roman"/>
      </w:rPr>
      <w:fldChar w:fldCharType="end"/>
    </w:r>
  </w:p>
  <w:p w14:paraId="03673DD7" w14:textId="77777777" w:rsidR="006318B7" w:rsidRDefault="006318B7"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6318B7" w:rsidRDefault="006318B7" w:rsidP="00722819">
      <w:r>
        <w:separator/>
      </w:r>
    </w:p>
  </w:footnote>
  <w:footnote w:type="continuationSeparator" w:id="0">
    <w:p w14:paraId="3C0F3974" w14:textId="77777777" w:rsidR="006318B7" w:rsidRDefault="006318B7"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6318B7" w:rsidRDefault="006318B7">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6318B7" w:rsidRDefault="006318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6318B7" w:rsidRPr="007D120A" w:rsidRDefault="006318B7">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6318B7" w:rsidRPr="007D120A" w:rsidRDefault="006318B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18CA"/>
    <w:rsid w:val="00023569"/>
    <w:rsid w:val="00023794"/>
    <w:rsid w:val="00024B28"/>
    <w:rsid w:val="0002566D"/>
    <w:rsid w:val="0002617C"/>
    <w:rsid w:val="000303AF"/>
    <w:rsid w:val="00030A0F"/>
    <w:rsid w:val="00033A85"/>
    <w:rsid w:val="00041EA1"/>
    <w:rsid w:val="000422CA"/>
    <w:rsid w:val="0004393E"/>
    <w:rsid w:val="00043B11"/>
    <w:rsid w:val="00043C35"/>
    <w:rsid w:val="00043E84"/>
    <w:rsid w:val="00044447"/>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681"/>
    <w:rsid w:val="000B57E9"/>
    <w:rsid w:val="000B78DC"/>
    <w:rsid w:val="000C0E34"/>
    <w:rsid w:val="000C12BD"/>
    <w:rsid w:val="000C4892"/>
    <w:rsid w:val="000C51A9"/>
    <w:rsid w:val="000C5A45"/>
    <w:rsid w:val="000C7487"/>
    <w:rsid w:val="000C75D6"/>
    <w:rsid w:val="000D15C7"/>
    <w:rsid w:val="000D2F13"/>
    <w:rsid w:val="000D3326"/>
    <w:rsid w:val="000D447B"/>
    <w:rsid w:val="000D6DC8"/>
    <w:rsid w:val="000E1750"/>
    <w:rsid w:val="000E1C7E"/>
    <w:rsid w:val="000E330E"/>
    <w:rsid w:val="000E55CA"/>
    <w:rsid w:val="000E61D9"/>
    <w:rsid w:val="000E6E9A"/>
    <w:rsid w:val="000E72D3"/>
    <w:rsid w:val="000E7FC5"/>
    <w:rsid w:val="000F284E"/>
    <w:rsid w:val="000F4FDE"/>
    <w:rsid w:val="000F7235"/>
    <w:rsid w:val="000F7398"/>
    <w:rsid w:val="000F790D"/>
    <w:rsid w:val="001032C1"/>
    <w:rsid w:val="00103F7E"/>
    <w:rsid w:val="001043E2"/>
    <w:rsid w:val="0010497D"/>
    <w:rsid w:val="00106D8B"/>
    <w:rsid w:val="001104FF"/>
    <w:rsid w:val="00110762"/>
    <w:rsid w:val="00111649"/>
    <w:rsid w:val="00111B2B"/>
    <w:rsid w:val="00115533"/>
    <w:rsid w:val="00115E8A"/>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606"/>
    <w:rsid w:val="001C0969"/>
    <w:rsid w:val="001C1034"/>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3D0"/>
    <w:rsid w:val="00201292"/>
    <w:rsid w:val="00201338"/>
    <w:rsid w:val="00202753"/>
    <w:rsid w:val="00203449"/>
    <w:rsid w:val="00204481"/>
    <w:rsid w:val="00204800"/>
    <w:rsid w:val="002051E3"/>
    <w:rsid w:val="002058F8"/>
    <w:rsid w:val="00205D2E"/>
    <w:rsid w:val="00206E3D"/>
    <w:rsid w:val="00206FA2"/>
    <w:rsid w:val="002101AF"/>
    <w:rsid w:val="00210279"/>
    <w:rsid w:val="00210373"/>
    <w:rsid w:val="00211FD3"/>
    <w:rsid w:val="00212042"/>
    <w:rsid w:val="002142E0"/>
    <w:rsid w:val="00214493"/>
    <w:rsid w:val="00214EAF"/>
    <w:rsid w:val="00215B94"/>
    <w:rsid w:val="00215CDE"/>
    <w:rsid w:val="00220298"/>
    <w:rsid w:val="0022141A"/>
    <w:rsid w:val="0022228C"/>
    <w:rsid w:val="002228CD"/>
    <w:rsid w:val="00223CE9"/>
    <w:rsid w:val="00224B73"/>
    <w:rsid w:val="0023199E"/>
    <w:rsid w:val="002329C3"/>
    <w:rsid w:val="00233F7F"/>
    <w:rsid w:val="00234C1D"/>
    <w:rsid w:val="0023738B"/>
    <w:rsid w:val="002402AB"/>
    <w:rsid w:val="00240682"/>
    <w:rsid w:val="00240DFE"/>
    <w:rsid w:val="002430BF"/>
    <w:rsid w:val="00244832"/>
    <w:rsid w:val="00244F60"/>
    <w:rsid w:val="00245E6D"/>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3E96"/>
    <w:rsid w:val="00275656"/>
    <w:rsid w:val="00275A51"/>
    <w:rsid w:val="002768F4"/>
    <w:rsid w:val="002775DD"/>
    <w:rsid w:val="00277B24"/>
    <w:rsid w:val="00280A6E"/>
    <w:rsid w:val="00280C12"/>
    <w:rsid w:val="002832F5"/>
    <w:rsid w:val="00283750"/>
    <w:rsid w:val="00284FCF"/>
    <w:rsid w:val="002860C1"/>
    <w:rsid w:val="00290014"/>
    <w:rsid w:val="00292064"/>
    <w:rsid w:val="00293779"/>
    <w:rsid w:val="00293929"/>
    <w:rsid w:val="0029576E"/>
    <w:rsid w:val="0029650C"/>
    <w:rsid w:val="002A224B"/>
    <w:rsid w:val="002A3408"/>
    <w:rsid w:val="002A364E"/>
    <w:rsid w:val="002A597C"/>
    <w:rsid w:val="002B0CD6"/>
    <w:rsid w:val="002B14D3"/>
    <w:rsid w:val="002B1F66"/>
    <w:rsid w:val="002B2765"/>
    <w:rsid w:val="002B42DF"/>
    <w:rsid w:val="002B46EC"/>
    <w:rsid w:val="002B7840"/>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2F5141"/>
    <w:rsid w:val="003018BE"/>
    <w:rsid w:val="00303810"/>
    <w:rsid w:val="003038E8"/>
    <w:rsid w:val="003062B0"/>
    <w:rsid w:val="00306CC7"/>
    <w:rsid w:val="00306E53"/>
    <w:rsid w:val="003107D9"/>
    <w:rsid w:val="003111A1"/>
    <w:rsid w:val="00311F3B"/>
    <w:rsid w:val="003151EC"/>
    <w:rsid w:val="00315462"/>
    <w:rsid w:val="00320018"/>
    <w:rsid w:val="003207DF"/>
    <w:rsid w:val="00321230"/>
    <w:rsid w:val="003223A2"/>
    <w:rsid w:val="00323223"/>
    <w:rsid w:val="003272CE"/>
    <w:rsid w:val="003273D0"/>
    <w:rsid w:val="0033104C"/>
    <w:rsid w:val="003318BE"/>
    <w:rsid w:val="0033552C"/>
    <w:rsid w:val="00336B74"/>
    <w:rsid w:val="00337C0B"/>
    <w:rsid w:val="00340549"/>
    <w:rsid w:val="00341111"/>
    <w:rsid w:val="003422FF"/>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8CF"/>
    <w:rsid w:val="00377F20"/>
    <w:rsid w:val="00380C21"/>
    <w:rsid w:val="003819ED"/>
    <w:rsid w:val="0038294F"/>
    <w:rsid w:val="003832F4"/>
    <w:rsid w:val="00383964"/>
    <w:rsid w:val="00384CC3"/>
    <w:rsid w:val="00385599"/>
    <w:rsid w:val="00385A48"/>
    <w:rsid w:val="003861A5"/>
    <w:rsid w:val="00392228"/>
    <w:rsid w:val="00392636"/>
    <w:rsid w:val="00392D47"/>
    <w:rsid w:val="00393A84"/>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54BC"/>
    <w:rsid w:val="003F6352"/>
    <w:rsid w:val="003F7DA9"/>
    <w:rsid w:val="00400F32"/>
    <w:rsid w:val="0040161C"/>
    <w:rsid w:val="00401669"/>
    <w:rsid w:val="0040230E"/>
    <w:rsid w:val="00402470"/>
    <w:rsid w:val="0040521E"/>
    <w:rsid w:val="004068F3"/>
    <w:rsid w:val="00411B58"/>
    <w:rsid w:val="00411FA3"/>
    <w:rsid w:val="0041226A"/>
    <w:rsid w:val="00412A94"/>
    <w:rsid w:val="00414B67"/>
    <w:rsid w:val="00414DD2"/>
    <w:rsid w:val="00415935"/>
    <w:rsid w:val="00416D44"/>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3D2A"/>
    <w:rsid w:val="004A4831"/>
    <w:rsid w:val="004A7C85"/>
    <w:rsid w:val="004B2E23"/>
    <w:rsid w:val="004B2F3E"/>
    <w:rsid w:val="004B37D9"/>
    <w:rsid w:val="004B3DB9"/>
    <w:rsid w:val="004B4FD1"/>
    <w:rsid w:val="004C0638"/>
    <w:rsid w:val="004C151D"/>
    <w:rsid w:val="004C217C"/>
    <w:rsid w:val="004C3795"/>
    <w:rsid w:val="004C43CC"/>
    <w:rsid w:val="004C505B"/>
    <w:rsid w:val="004C7F4B"/>
    <w:rsid w:val="004D2359"/>
    <w:rsid w:val="004D35A5"/>
    <w:rsid w:val="004D38BF"/>
    <w:rsid w:val="004D45C2"/>
    <w:rsid w:val="004D5625"/>
    <w:rsid w:val="004E1F21"/>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32194"/>
    <w:rsid w:val="005322B3"/>
    <w:rsid w:val="00533DD6"/>
    <w:rsid w:val="00534271"/>
    <w:rsid w:val="005350D8"/>
    <w:rsid w:val="0053720E"/>
    <w:rsid w:val="00540DFC"/>
    <w:rsid w:val="00541818"/>
    <w:rsid w:val="005422CC"/>
    <w:rsid w:val="00542BC4"/>
    <w:rsid w:val="00546610"/>
    <w:rsid w:val="00546761"/>
    <w:rsid w:val="0054777E"/>
    <w:rsid w:val="00550101"/>
    <w:rsid w:val="005504E1"/>
    <w:rsid w:val="00551BDC"/>
    <w:rsid w:val="00552795"/>
    <w:rsid w:val="005539C8"/>
    <w:rsid w:val="00557796"/>
    <w:rsid w:val="005577AC"/>
    <w:rsid w:val="0056023A"/>
    <w:rsid w:val="0056113B"/>
    <w:rsid w:val="005620AF"/>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97311"/>
    <w:rsid w:val="005A0107"/>
    <w:rsid w:val="005A0C1F"/>
    <w:rsid w:val="005A2DCB"/>
    <w:rsid w:val="005A2DCF"/>
    <w:rsid w:val="005A5349"/>
    <w:rsid w:val="005A62CC"/>
    <w:rsid w:val="005A6E36"/>
    <w:rsid w:val="005B07CC"/>
    <w:rsid w:val="005B0D1E"/>
    <w:rsid w:val="005B15CD"/>
    <w:rsid w:val="005B28F4"/>
    <w:rsid w:val="005B3898"/>
    <w:rsid w:val="005B5E97"/>
    <w:rsid w:val="005B6444"/>
    <w:rsid w:val="005B7859"/>
    <w:rsid w:val="005C03FD"/>
    <w:rsid w:val="005C13EF"/>
    <w:rsid w:val="005C20F5"/>
    <w:rsid w:val="005C30F1"/>
    <w:rsid w:val="005C3343"/>
    <w:rsid w:val="005C4974"/>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1024C"/>
    <w:rsid w:val="00612A3C"/>
    <w:rsid w:val="00613B17"/>
    <w:rsid w:val="006155BE"/>
    <w:rsid w:val="006218D1"/>
    <w:rsid w:val="00622504"/>
    <w:rsid w:val="00622DCC"/>
    <w:rsid w:val="006239C9"/>
    <w:rsid w:val="00623F8D"/>
    <w:rsid w:val="0062463C"/>
    <w:rsid w:val="006250A5"/>
    <w:rsid w:val="00625C43"/>
    <w:rsid w:val="006265B2"/>
    <w:rsid w:val="0063088B"/>
    <w:rsid w:val="00630A92"/>
    <w:rsid w:val="00630E41"/>
    <w:rsid w:val="006318B7"/>
    <w:rsid w:val="00631BBC"/>
    <w:rsid w:val="00632AE2"/>
    <w:rsid w:val="00633E95"/>
    <w:rsid w:val="00634B0D"/>
    <w:rsid w:val="00634E2E"/>
    <w:rsid w:val="00634FF0"/>
    <w:rsid w:val="00635475"/>
    <w:rsid w:val="00636531"/>
    <w:rsid w:val="006414C1"/>
    <w:rsid w:val="00643475"/>
    <w:rsid w:val="00644AE8"/>
    <w:rsid w:val="00644E94"/>
    <w:rsid w:val="006454C5"/>
    <w:rsid w:val="00651543"/>
    <w:rsid w:val="006531A9"/>
    <w:rsid w:val="006542AA"/>
    <w:rsid w:val="00654E74"/>
    <w:rsid w:val="006560C8"/>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C6D"/>
    <w:rsid w:val="0067414F"/>
    <w:rsid w:val="0067450A"/>
    <w:rsid w:val="0067624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A111F"/>
    <w:rsid w:val="006A49CD"/>
    <w:rsid w:val="006A5001"/>
    <w:rsid w:val="006A5058"/>
    <w:rsid w:val="006A6BDC"/>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BE5"/>
    <w:rsid w:val="00717B5D"/>
    <w:rsid w:val="00721206"/>
    <w:rsid w:val="00722819"/>
    <w:rsid w:val="007234E0"/>
    <w:rsid w:val="007313C2"/>
    <w:rsid w:val="00732559"/>
    <w:rsid w:val="00733208"/>
    <w:rsid w:val="00733E52"/>
    <w:rsid w:val="00734E58"/>
    <w:rsid w:val="0073641C"/>
    <w:rsid w:val="00737EA6"/>
    <w:rsid w:val="007415E8"/>
    <w:rsid w:val="00741A65"/>
    <w:rsid w:val="00741E7A"/>
    <w:rsid w:val="007420ED"/>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4F18"/>
    <w:rsid w:val="00795C46"/>
    <w:rsid w:val="007A1321"/>
    <w:rsid w:val="007A1B09"/>
    <w:rsid w:val="007A1F3B"/>
    <w:rsid w:val="007A2E63"/>
    <w:rsid w:val="007A30D8"/>
    <w:rsid w:val="007A3E6C"/>
    <w:rsid w:val="007A603F"/>
    <w:rsid w:val="007A6F2A"/>
    <w:rsid w:val="007B0550"/>
    <w:rsid w:val="007B0BAC"/>
    <w:rsid w:val="007B1A06"/>
    <w:rsid w:val="007B3B63"/>
    <w:rsid w:val="007B3E29"/>
    <w:rsid w:val="007B56FF"/>
    <w:rsid w:val="007C0B1C"/>
    <w:rsid w:val="007C1338"/>
    <w:rsid w:val="007C1646"/>
    <w:rsid w:val="007C2EB1"/>
    <w:rsid w:val="007C7D67"/>
    <w:rsid w:val="007D120A"/>
    <w:rsid w:val="007D5FBC"/>
    <w:rsid w:val="007D6712"/>
    <w:rsid w:val="007D73C7"/>
    <w:rsid w:val="007E0A2B"/>
    <w:rsid w:val="007E5958"/>
    <w:rsid w:val="007E787C"/>
    <w:rsid w:val="007E7BFF"/>
    <w:rsid w:val="007F08CD"/>
    <w:rsid w:val="007F0AB5"/>
    <w:rsid w:val="007F10C2"/>
    <w:rsid w:val="007F4773"/>
    <w:rsid w:val="007F4BA6"/>
    <w:rsid w:val="007F51A9"/>
    <w:rsid w:val="007F53F6"/>
    <w:rsid w:val="007F5C73"/>
    <w:rsid w:val="007F77DD"/>
    <w:rsid w:val="0080205A"/>
    <w:rsid w:val="00802F52"/>
    <w:rsid w:val="0080655E"/>
    <w:rsid w:val="00810A2B"/>
    <w:rsid w:val="00810C54"/>
    <w:rsid w:val="00813305"/>
    <w:rsid w:val="00813809"/>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704F"/>
    <w:rsid w:val="0086063F"/>
    <w:rsid w:val="0086182A"/>
    <w:rsid w:val="00861B03"/>
    <w:rsid w:val="00867935"/>
    <w:rsid w:val="0087062F"/>
    <w:rsid w:val="00871F7E"/>
    <w:rsid w:val="00873259"/>
    <w:rsid w:val="00873C16"/>
    <w:rsid w:val="00874C38"/>
    <w:rsid w:val="00876795"/>
    <w:rsid w:val="0087692D"/>
    <w:rsid w:val="0088016C"/>
    <w:rsid w:val="00881744"/>
    <w:rsid w:val="00883978"/>
    <w:rsid w:val="00883990"/>
    <w:rsid w:val="00884839"/>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3C0A"/>
    <w:rsid w:val="009B654B"/>
    <w:rsid w:val="009B7363"/>
    <w:rsid w:val="009C151C"/>
    <w:rsid w:val="009C419F"/>
    <w:rsid w:val="009C4AF2"/>
    <w:rsid w:val="009D0305"/>
    <w:rsid w:val="009D2407"/>
    <w:rsid w:val="009D3081"/>
    <w:rsid w:val="009D331F"/>
    <w:rsid w:val="009D4E9A"/>
    <w:rsid w:val="009D5E71"/>
    <w:rsid w:val="009D61F4"/>
    <w:rsid w:val="009E0939"/>
    <w:rsid w:val="009E1600"/>
    <w:rsid w:val="009E330C"/>
    <w:rsid w:val="009E4720"/>
    <w:rsid w:val="009E5B80"/>
    <w:rsid w:val="009E667C"/>
    <w:rsid w:val="009E6EAF"/>
    <w:rsid w:val="009E7804"/>
    <w:rsid w:val="009E7FC8"/>
    <w:rsid w:val="009F2F6C"/>
    <w:rsid w:val="009F41E5"/>
    <w:rsid w:val="009F44F0"/>
    <w:rsid w:val="009F7337"/>
    <w:rsid w:val="00A00012"/>
    <w:rsid w:val="00A0076D"/>
    <w:rsid w:val="00A0412E"/>
    <w:rsid w:val="00A0448D"/>
    <w:rsid w:val="00A04C7A"/>
    <w:rsid w:val="00A04C94"/>
    <w:rsid w:val="00A06215"/>
    <w:rsid w:val="00A068B2"/>
    <w:rsid w:val="00A07F6D"/>
    <w:rsid w:val="00A11790"/>
    <w:rsid w:val="00A12583"/>
    <w:rsid w:val="00A13D80"/>
    <w:rsid w:val="00A176D4"/>
    <w:rsid w:val="00A21D60"/>
    <w:rsid w:val="00A24B48"/>
    <w:rsid w:val="00A264BD"/>
    <w:rsid w:val="00A27377"/>
    <w:rsid w:val="00A27B5E"/>
    <w:rsid w:val="00A27EA4"/>
    <w:rsid w:val="00A3198B"/>
    <w:rsid w:val="00A3440B"/>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302B"/>
    <w:rsid w:val="00A659CC"/>
    <w:rsid w:val="00A67E36"/>
    <w:rsid w:val="00A70AF1"/>
    <w:rsid w:val="00A743A7"/>
    <w:rsid w:val="00A750C8"/>
    <w:rsid w:val="00A75245"/>
    <w:rsid w:val="00A76B71"/>
    <w:rsid w:val="00A76C66"/>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B21"/>
    <w:rsid w:val="00AB586F"/>
    <w:rsid w:val="00AB663E"/>
    <w:rsid w:val="00AB66BA"/>
    <w:rsid w:val="00AB7188"/>
    <w:rsid w:val="00AB7778"/>
    <w:rsid w:val="00AC02FC"/>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1932"/>
    <w:rsid w:val="00B13A3C"/>
    <w:rsid w:val="00B13B11"/>
    <w:rsid w:val="00B14986"/>
    <w:rsid w:val="00B15E7F"/>
    <w:rsid w:val="00B20056"/>
    <w:rsid w:val="00B21FF5"/>
    <w:rsid w:val="00B25359"/>
    <w:rsid w:val="00B26503"/>
    <w:rsid w:val="00B26AAD"/>
    <w:rsid w:val="00B30BDA"/>
    <w:rsid w:val="00B31F4C"/>
    <w:rsid w:val="00B323DC"/>
    <w:rsid w:val="00B32ED7"/>
    <w:rsid w:val="00B33395"/>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169"/>
    <w:rsid w:val="00B71D53"/>
    <w:rsid w:val="00B7353B"/>
    <w:rsid w:val="00B740C1"/>
    <w:rsid w:val="00B76564"/>
    <w:rsid w:val="00B801C1"/>
    <w:rsid w:val="00B8185E"/>
    <w:rsid w:val="00B81CC3"/>
    <w:rsid w:val="00B82E8E"/>
    <w:rsid w:val="00B8301F"/>
    <w:rsid w:val="00B85674"/>
    <w:rsid w:val="00B877FE"/>
    <w:rsid w:val="00B87C4A"/>
    <w:rsid w:val="00B9226A"/>
    <w:rsid w:val="00B93028"/>
    <w:rsid w:val="00B934EC"/>
    <w:rsid w:val="00B94616"/>
    <w:rsid w:val="00B94D7A"/>
    <w:rsid w:val="00B94F2F"/>
    <w:rsid w:val="00B951D8"/>
    <w:rsid w:val="00B95AFA"/>
    <w:rsid w:val="00B96B56"/>
    <w:rsid w:val="00B97C37"/>
    <w:rsid w:val="00BA1FE6"/>
    <w:rsid w:val="00BA4396"/>
    <w:rsid w:val="00BA59CB"/>
    <w:rsid w:val="00BA6A50"/>
    <w:rsid w:val="00BB1815"/>
    <w:rsid w:val="00BB27EE"/>
    <w:rsid w:val="00BB5845"/>
    <w:rsid w:val="00BB6D64"/>
    <w:rsid w:val="00BB722D"/>
    <w:rsid w:val="00BC170F"/>
    <w:rsid w:val="00BC31C9"/>
    <w:rsid w:val="00BC32E8"/>
    <w:rsid w:val="00BC344B"/>
    <w:rsid w:val="00BC450B"/>
    <w:rsid w:val="00BC4FA4"/>
    <w:rsid w:val="00BC608E"/>
    <w:rsid w:val="00BD0452"/>
    <w:rsid w:val="00BD3F17"/>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0BF6"/>
    <w:rsid w:val="00C13B61"/>
    <w:rsid w:val="00C1457F"/>
    <w:rsid w:val="00C14C9A"/>
    <w:rsid w:val="00C16210"/>
    <w:rsid w:val="00C16701"/>
    <w:rsid w:val="00C17CE1"/>
    <w:rsid w:val="00C17D0D"/>
    <w:rsid w:val="00C17D91"/>
    <w:rsid w:val="00C211BB"/>
    <w:rsid w:val="00C24D39"/>
    <w:rsid w:val="00C25B97"/>
    <w:rsid w:val="00C2637D"/>
    <w:rsid w:val="00C27D98"/>
    <w:rsid w:val="00C31C4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9EA"/>
    <w:rsid w:val="00C75AEF"/>
    <w:rsid w:val="00C77693"/>
    <w:rsid w:val="00C77B29"/>
    <w:rsid w:val="00C8090E"/>
    <w:rsid w:val="00C8200F"/>
    <w:rsid w:val="00C82AF4"/>
    <w:rsid w:val="00C842E5"/>
    <w:rsid w:val="00C84EA4"/>
    <w:rsid w:val="00C8691B"/>
    <w:rsid w:val="00C90344"/>
    <w:rsid w:val="00C90E95"/>
    <w:rsid w:val="00C9112C"/>
    <w:rsid w:val="00C9553B"/>
    <w:rsid w:val="00C96F3E"/>
    <w:rsid w:val="00C973E5"/>
    <w:rsid w:val="00CA0BF2"/>
    <w:rsid w:val="00CA2A12"/>
    <w:rsid w:val="00CA442A"/>
    <w:rsid w:val="00CA4FC4"/>
    <w:rsid w:val="00CA670E"/>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C3"/>
    <w:rsid w:val="00CD3488"/>
    <w:rsid w:val="00CD3A8D"/>
    <w:rsid w:val="00CD491A"/>
    <w:rsid w:val="00CD4EB1"/>
    <w:rsid w:val="00CD52A7"/>
    <w:rsid w:val="00CD5A8C"/>
    <w:rsid w:val="00CD62FD"/>
    <w:rsid w:val="00CD7E91"/>
    <w:rsid w:val="00CE32EF"/>
    <w:rsid w:val="00CE381D"/>
    <w:rsid w:val="00CE5684"/>
    <w:rsid w:val="00CE569A"/>
    <w:rsid w:val="00CE7356"/>
    <w:rsid w:val="00CF2B13"/>
    <w:rsid w:val="00CF3067"/>
    <w:rsid w:val="00CF41E5"/>
    <w:rsid w:val="00CF43E8"/>
    <w:rsid w:val="00CF4DA4"/>
    <w:rsid w:val="00D00979"/>
    <w:rsid w:val="00D020B3"/>
    <w:rsid w:val="00D020D9"/>
    <w:rsid w:val="00D02C34"/>
    <w:rsid w:val="00D03751"/>
    <w:rsid w:val="00D04C5E"/>
    <w:rsid w:val="00D05BFF"/>
    <w:rsid w:val="00D05C08"/>
    <w:rsid w:val="00D0740B"/>
    <w:rsid w:val="00D11321"/>
    <w:rsid w:val="00D1152E"/>
    <w:rsid w:val="00D14003"/>
    <w:rsid w:val="00D14124"/>
    <w:rsid w:val="00D16827"/>
    <w:rsid w:val="00D17DDA"/>
    <w:rsid w:val="00D17E32"/>
    <w:rsid w:val="00D20938"/>
    <w:rsid w:val="00D21A24"/>
    <w:rsid w:val="00D21C1F"/>
    <w:rsid w:val="00D22819"/>
    <w:rsid w:val="00D2468F"/>
    <w:rsid w:val="00D25A43"/>
    <w:rsid w:val="00D26203"/>
    <w:rsid w:val="00D269F6"/>
    <w:rsid w:val="00D27C0B"/>
    <w:rsid w:val="00D3293B"/>
    <w:rsid w:val="00D33081"/>
    <w:rsid w:val="00D34118"/>
    <w:rsid w:val="00D35D2C"/>
    <w:rsid w:val="00D4096D"/>
    <w:rsid w:val="00D433D9"/>
    <w:rsid w:val="00D434E0"/>
    <w:rsid w:val="00D440C3"/>
    <w:rsid w:val="00D445B5"/>
    <w:rsid w:val="00D46A59"/>
    <w:rsid w:val="00D46C02"/>
    <w:rsid w:val="00D5059E"/>
    <w:rsid w:val="00D514E5"/>
    <w:rsid w:val="00D5331F"/>
    <w:rsid w:val="00D53738"/>
    <w:rsid w:val="00D54BBE"/>
    <w:rsid w:val="00D54F2C"/>
    <w:rsid w:val="00D56755"/>
    <w:rsid w:val="00D60D4B"/>
    <w:rsid w:val="00D62932"/>
    <w:rsid w:val="00D70813"/>
    <w:rsid w:val="00D7089D"/>
    <w:rsid w:val="00D708C6"/>
    <w:rsid w:val="00D70C00"/>
    <w:rsid w:val="00D70FDA"/>
    <w:rsid w:val="00D75A2D"/>
    <w:rsid w:val="00D76E37"/>
    <w:rsid w:val="00D800DB"/>
    <w:rsid w:val="00D80494"/>
    <w:rsid w:val="00D80C72"/>
    <w:rsid w:val="00D81243"/>
    <w:rsid w:val="00D83BCB"/>
    <w:rsid w:val="00D851A9"/>
    <w:rsid w:val="00D85C1C"/>
    <w:rsid w:val="00D8698A"/>
    <w:rsid w:val="00D87537"/>
    <w:rsid w:val="00D91652"/>
    <w:rsid w:val="00D92F8B"/>
    <w:rsid w:val="00D93138"/>
    <w:rsid w:val="00DA4C51"/>
    <w:rsid w:val="00DA65A2"/>
    <w:rsid w:val="00DA6CDC"/>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396E"/>
    <w:rsid w:val="00DE4676"/>
    <w:rsid w:val="00DE73C7"/>
    <w:rsid w:val="00DE76CB"/>
    <w:rsid w:val="00DF0D4F"/>
    <w:rsid w:val="00DF1615"/>
    <w:rsid w:val="00DF4614"/>
    <w:rsid w:val="00E0162C"/>
    <w:rsid w:val="00E01745"/>
    <w:rsid w:val="00E0209A"/>
    <w:rsid w:val="00E05A00"/>
    <w:rsid w:val="00E0698E"/>
    <w:rsid w:val="00E06AD6"/>
    <w:rsid w:val="00E10DEF"/>
    <w:rsid w:val="00E12707"/>
    <w:rsid w:val="00E129F3"/>
    <w:rsid w:val="00E12E10"/>
    <w:rsid w:val="00E15891"/>
    <w:rsid w:val="00E16D6B"/>
    <w:rsid w:val="00E17443"/>
    <w:rsid w:val="00E174C2"/>
    <w:rsid w:val="00E20963"/>
    <w:rsid w:val="00E21652"/>
    <w:rsid w:val="00E23312"/>
    <w:rsid w:val="00E24A74"/>
    <w:rsid w:val="00E26ECB"/>
    <w:rsid w:val="00E33F4E"/>
    <w:rsid w:val="00E35175"/>
    <w:rsid w:val="00E36CC7"/>
    <w:rsid w:val="00E37D7E"/>
    <w:rsid w:val="00E411C8"/>
    <w:rsid w:val="00E41AC7"/>
    <w:rsid w:val="00E425A3"/>
    <w:rsid w:val="00E44113"/>
    <w:rsid w:val="00E44DB7"/>
    <w:rsid w:val="00E452B3"/>
    <w:rsid w:val="00E47E20"/>
    <w:rsid w:val="00E506B4"/>
    <w:rsid w:val="00E5640C"/>
    <w:rsid w:val="00E57650"/>
    <w:rsid w:val="00E57E3E"/>
    <w:rsid w:val="00E620A4"/>
    <w:rsid w:val="00E63768"/>
    <w:rsid w:val="00E65BB2"/>
    <w:rsid w:val="00E65EF4"/>
    <w:rsid w:val="00E65FB1"/>
    <w:rsid w:val="00E66038"/>
    <w:rsid w:val="00E67331"/>
    <w:rsid w:val="00E67C28"/>
    <w:rsid w:val="00E72DE4"/>
    <w:rsid w:val="00E72EB6"/>
    <w:rsid w:val="00E73635"/>
    <w:rsid w:val="00E73BC6"/>
    <w:rsid w:val="00E73C43"/>
    <w:rsid w:val="00E74077"/>
    <w:rsid w:val="00E75647"/>
    <w:rsid w:val="00E768D9"/>
    <w:rsid w:val="00E7746B"/>
    <w:rsid w:val="00E80C57"/>
    <w:rsid w:val="00E81843"/>
    <w:rsid w:val="00E81A31"/>
    <w:rsid w:val="00E81C82"/>
    <w:rsid w:val="00E82783"/>
    <w:rsid w:val="00E82AF1"/>
    <w:rsid w:val="00E8385C"/>
    <w:rsid w:val="00E8404C"/>
    <w:rsid w:val="00E84A16"/>
    <w:rsid w:val="00E855B6"/>
    <w:rsid w:val="00E85EBD"/>
    <w:rsid w:val="00E86F41"/>
    <w:rsid w:val="00E87F3C"/>
    <w:rsid w:val="00E909BB"/>
    <w:rsid w:val="00E95ABA"/>
    <w:rsid w:val="00E95EB7"/>
    <w:rsid w:val="00E968B1"/>
    <w:rsid w:val="00E96E6A"/>
    <w:rsid w:val="00E977D4"/>
    <w:rsid w:val="00EA0F0F"/>
    <w:rsid w:val="00EA14BF"/>
    <w:rsid w:val="00EA1919"/>
    <w:rsid w:val="00EA2972"/>
    <w:rsid w:val="00EA2C9B"/>
    <w:rsid w:val="00EA4139"/>
    <w:rsid w:val="00EA44D1"/>
    <w:rsid w:val="00EB13D6"/>
    <w:rsid w:val="00EB3D95"/>
    <w:rsid w:val="00EB538E"/>
    <w:rsid w:val="00EB6F63"/>
    <w:rsid w:val="00EB73CD"/>
    <w:rsid w:val="00EB771E"/>
    <w:rsid w:val="00EC1314"/>
    <w:rsid w:val="00EC5F16"/>
    <w:rsid w:val="00EC687A"/>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4C76"/>
    <w:rsid w:val="00F75204"/>
    <w:rsid w:val="00F75D73"/>
    <w:rsid w:val="00F80CE9"/>
    <w:rsid w:val="00F8700F"/>
    <w:rsid w:val="00F870FF"/>
    <w:rsid w:val="00F901DC"/>
    <w:rsid w:val="00F93AA5"/>
    <w:rsid w:val="00F941DB"/>
    <w:rsid w:val="00F96E9D"/>
    <w:rsid w:val="00FA116E"/>
    <w:rsid w:val="00FA24ED"/>
    <w:rsid w:val="00FA30DE"/>
    <w:rsid w:val="00FA3B4C"/>
    <w:rsid w:val="00FA4386"/>
    <w:rsid w:val="00FA5577"/>
    <w:rsid w:val="00FA7507"/>
    <w:rsid w:val="00FA75C0"/>
    <w:rsid w:val="00FB1770"/>
    <w:rsid w:val="00FB188D"/>
    <w:rsid w:val="00FB2D9D"/>
    <w:rsid w:val="00FB3C16"/>
    <w:rsid w:val="00FB3D3D"/>
    <w:rsid w:val="00FB4F97"/>
    <w:rsid w:val="00FB7A5C"/>
    <w:rsid w:val="00FC08C2"/>
    <w:rsid w:val="00FC2986"/>
    <w:rsid w:val="00FC3EB9"/>
    <w:rsid w:val="00FC405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A3D7B"/>
    <w:rsid w:val="004C55D2"/>
    <w:rsid w:val="004D0D57"/>
    <w:rsid w:val="005023F6"/>
    <w:rsid w:val="00572CD3"/>
    <w:rsid w:val="00595033"/>
    <w:rsid w:val="005E45B0"/>
    <w:rsid w:val="005E67D8"/>
    <w:rsid w:val="006E50F4"/>
    <w:rsid w:val="00713FFA"/>
    <w:rsid w:val="00756A85"/>
    <w:rsid w:val="00875C9F"/>
    <w:rsid w:val="00941CD7"/>
    <w:rsid w:val="00960FED"/>
    <w:rsid w:val="009A43F4"/>
    <w:rsid w:val="00A70EDE"/>
    <w:rsid w:val="00AA3F62"/>
    <w:rsid w:val="00B313C0"/>
    <w:rsid w:val="00B8119D"/>
    <w:rsid w:val="00BC7D98"/>
    <w:rsid w:val="00BD1B2A"/>
    <w:rsid w:val="00C945F1"/>
    <w:rsid w:val="00D85430"/>
    <w:rsid w:val="00DB4360"/>
    <w:rsid w:val="00E017EC"/>
    <w:rsid w:val="00E432E1"/>
    <w:rsid w:val="00EA56A7"/>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0F2DF-A209-0047-BF30-667E4C1A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28</Pages>
  <Words>36765</Words>
  <Characters>209561</Characters>
  <Application>Microsoft Macintosh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245835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220</cp:revision>
  <cp:lastPrinted>2017-02-07T15:14:00Z</cp:lastPrinted>
  <dcterms:created xsi:type="dcterms:W3CDTF">2016-12-09T22:04:00Z</dcterms:created>
  <dcterms:modified xsi:type="dcterms:W3CDTF">2017-02-16T00:19:00Z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