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124C51D1" w14:textId="77777777" w:rsidR="00CF41E5" w:rsidRDefault="00CF41E5" w:rsidP="0029576E">
      <w:pPr>
        <w:spacing w:line="480" w:lineRule="auto"/>
        <w:jc w:val="center"/>
        <w:rPr>
          <w:rFonts w:cs="Times New Roman"/>
        </w:rPr>
      </w:pPr>
    </w:p>
    <w:p w14:paraId="0216A583" w14:textId="77777777" w:rsidR="00B877FE" w:rsidRDefault="00B877FE" w:rsidP="00BE12ED">
      <w:pPr>
        <w:pStyle w:val="HTMLPreformatted"/>
        <w:spacing w:line="340" w:lineRule="exact"/>
        <w:rPr>
          <w:rFonts w:ascii="Times New Roman" w:hAnsi="Times New Roman"/>
          <w:sz w:val="24"/>
          <w:szCs w:val="24"/>
          <w:u w:val="single"/>
          <w:lang w:val="en-GB"/>
        </w:rPr>
      </w:pPr>
    </w:p>
    <w:p w14:paraId="39D84578" w14:textId="77777777" w:rsidR="00B877FE" w:rsidRDefault="00B877FE" w:rsidP="00BE12ED">
      <w:pPr>
        <w:pStyle w:val="HTMLPreformatted"/>
        <w:spacing w:line="340" w:lineRule="exact"/>
        <w:rPr>
          <w:rFonts w:ascii="Times New Roman" w:hAnsi="Times New Roman"/>
          <w:sz w:val="24"/>
          <w:szCs w:val="24"/>
          <w:u w:val="single"/>
          <w:lang w:val="en-GB"/>
        </w:rPr>
      </w:pPr>
    </w:p>
    <w:p w14:paraId="38EDCCE3" w14:textId="77777777" w:rsidR="00B877FE" w:rsidRDefault="00B877FE" w:rsidP="00BE12ED">
      <w:pPr>
        <w:pStyle w:val="HTMLPreformatted"/>
        <w:spacing w:line="340" w:lineRule="exact"/>
        <w:rPr>
          <w:rFonts w:ascii="Times New Roman" w:hAnsi="Times New Roman"/>
          <w:sz w:val="24"/>
          <w:szCs w:val="24"/>
          <w:u w:val="single"/>
          <w:lang w:val="en-GB"/>
        </w:rPr>
      </w:pPr>
    </w:p>
    <w:p w14:paraId="15D9E51A" w14:textId="77777777" w:rsidR="00B877FE" w:rsidRDefault="00B877FE" w:rsidP="00BE12ED">
      <w:pPr>
        <w:pStyle w:val="HTMLPreformatted"/>
        <w:spacing w:line="340" w:lineRule="exact"/>
        <w:rPr>
          <w:rFonts w:ascii="Times New Roman" w:hAnsi="Times New Roman"/>
          <w:sz w:val="24"/>
          <w:szCs w:val="24"/>
          <w:u w:val="single"/>
          <w:lang w:val="en-GB"/>
        </w:rPr>
      </w:pPr>
    </w:p>
    <w:p w14:paraId="6336D89B" w14:textId="77777777" w:rsidR="00B877FE" w:rsidRDefault="00B877FE" w:rsidP="00BE12ED">
      <w:pPr>
        <w:pStyle w:val="HTMLPreformatted"/>
        <w:spacing w:line="340" w:lineRule="exact"/>
        <w:rPr>
          <w:rFonts w:ascii="Times New Roman" w:hAnsi="Times New Roman"/>
          <w:sz w:val="24"/>
          <w:szCs w:val="24"/>
          <w:u w:val="single"/>
          <w:lang w:val="en-GB"/>
        </w:rPr>
      </w:pPr>
    </w:p>
    <w:p w14:paraId="4A209B0F" w14:textId="77777777" w:rsidR="00B877FE" w:rsidRDefault="00B877FE" w:rsidP="00BE12ED">
      <w:pPr>
        <w:pStyle w:val="HTMLPreformatted"/>
        <w:spacing w:line="340" w:lineRule="exact"/>
        <w:rPr>
          <w:rFonts w:ascii="Times New Roman" w:hAnsi="Times New Roman"/>
          <w:sz w:val="24"/>
          <w:szCs w:val="24"/>
          <w:u w:val="single"/>
          <w:lang w:val="en-GB"/>
        </w:rPr>
      </w:pPr>
    </w:p>
    <w:p w14:paraId="5FE965BD" w14:textId="77777777" w:rsidR="00B877FE" w:rsidRDefault="00B877FE" w:rsidP="00BE12ED">
      <w:pPr>
        <w:pStyle w:val="HTMLPreformatted"/>
        <w:spacing w:line="340" w:lineRule="exact"/>
        <w:rPr>
          <w:rFonts w:ascii="Times New Roman" w:hAnsi="Times New Roman"/>
          <w:sz w:val="24"/>
          <w:szCs w:val="24"/>
          <w:u w:val="single"/>
          <w:lang w:val="en-GB"/>
        </w:rPr>
      </w:pPr>
    </w:p>
    <w:p w14:paraId="17F0F4F4" w14:textId="77777777" w:rsidR="00B877FE" w:rsidRDefault="00B877FE" w:rsidP="00BE12ED">
      <w:pPr>
        <w:pStyle w:val="HTMLPreformatted"/>
        <w:spacing w:line="340" w:lineRule="exact"/>
        <w:rPr>
          <w:rFonts w:ascii="Times New Roman" w:hAnsi="Times New Roman"/>
          <w:sz w:val="24"/>
          <w:szCs w:val="24"/>
          <w:u w:val="single"/>
          <w:lang w:val="en-GB"/>
        </w:rPr>
      </w:pPr>
    </w:p>
    <w:p w14:paraId="11F200B2" w14:textId="77777777" w:rsidR="00B877FE" w:rsidRDefault="00B877FE" w:rsidP="00BE12ED">
      <w:pPr>
        <w:pStyle w:val="HTMLPreformatted"/>
        <w:spacing w:line="340" w:lineRule="exact"/>
        <w:rPr>
          <w:rFonts w:ascii="Times New Roman" w:hAnsi="Times New Roman"/>
          <w:sz w:val="24"/>
          <w:szCs w:val="24"/>
          <w:u w:val="single"/>
          <w:lang w:val="en-GB"/>
        </w:rPr>
      </w:pPr>
    </w:p>
    <w:p w14:paraId="0C116E28" w14:textId="77777777" w:rsidR="00B877FE" w:rsidRDefault="00B877FE" w:rsidP="00BE12ED">
      <w:pPr>
        <w:pStyle w:val="HTMLPreformatted"/>
        <w:spacing w:line="340" w:lineRule="exact"/>
        <w:rPr>
          <w:rFonts w:ascii="Times New Roman" w:hAnsi="Times New Roman"/>
          <w:sz w:val="24"/>
          <w:szCs w:val="24"/>
          <w:u w:val="single"/>
          <w:lang w:val="en-GB"/>
        </w:rPr>
      </w:pPr>
    </w:p>
    <w:p w14:paraId="13BB9E92" w14:textId="77777777" w:rsidR="00B877FE" w:rsidRDefault="00B877FE" w:rsidP="00BE12ED">
      <w:pPr>
        <w:pStyle w:val="HTMLPreformatted"/>
        <w:spacing w:line="340" w:lineRule="exact"/>
        <w:rPr>
          <w:rFonts w:ascii="Times New Roman" w:hAnsi="Times New Roman"/>
          <w:sz w:val="24"/>
          <w:szCs w:val="24"/>
          <w:u w:val="single"/>
          <w:lang w:val="en-GB"/>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2C729B5A" w14:textId="5626E7DC"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7F8C23C2"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hippocampal volume loss and hypofrontality</w:t>
      </w:r>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 xml:space="preserve">nt-related potentials (ERPs) to </w:t>
      </w:r>
      <w:r w:rsidR="0007490E">
        <w:rPr>
          <w:rFonts w:cs="Times New Roman"/>
        </w:rPr>
        <w:t>investigate</w:t>
      </w:r>
      <w:r w:rsidR="00ED2897">
        <w:rPr>
          <w:rFonts w:cs="Times New Roman"/>
        </w:rPr>
        <w:t xml:space="preserve">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3BE31DD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7490E">
        <w:rPr>
          <w:rFonts w:cs="Times New Roman"/>
        </w:rPr>
        <w:t>Memory in d</w:t>
      </w:r>
      <w:r w:rsidR="00A743A7">
        <w:rPr>
          <w:rFonts w:cs="Times New Roman"/>
        </w:rPr>
        <w:t>epressed adults</w:t>
      </w:r>
      <w:r w:rsidR="00001895">
        <w:rPr>
          <w:rFonts w:cs="Times New Roman"/>
        </w:rPr>
        <w:t xml:space="preserve"> w</w:t>
      </w:r>
      <w:r w:rsidR="0007490E">
        <w:rPr>
          <w:rFonts w:cs="Times New Roman"/>
        </w:rPr>
        <w:t>as</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w:t>
      </w:r>
      <w:r w:rsidR="0007490E">
        <w:rPr>
          <w:rFonts w:cs="Times New Roman"/>
        </w:rPr>
        <w:t xml:space="preserve">in </w:t>
      </w:r>
      <w:r w:rsidR="00024B28">
        <w:rPr>
          <w:rFonts w:cs="Times New Roman"/>
        </w:rPr>
        <w:t xml:space="preserve">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40BC4A79" w:rsidR="007A1321" w:rsidRDefault="00D60D4B" w:rsidP="002556E7">
      <w:pPr>
        <w:spacing w:line="480" w:lineRule="auto"/>
      </w:pPr>
      <w:r>
        <w:rPr>
          <w:rFonts w:cs="Times New Roman"/>
          <w:b/>
        </w:rPr>
        <w:tab/>
      </w:r>
      <w:r w:rsidR="002F3005">
        <w:rPr>
          <w:rFonts w:cs="Times New Roman"/>
        </w:rPr>
        <w:t>Participants were recruited from</w:t>
      </w:r>
      <w:r w:rsidR="004D35A5">
        <w:rPr>
          <w:rFonts w:cs="Times New Roman"/>
        </w:rPr>
        <w:t xml:space="preserve"> the community and compensated $25/hour</w:t>
      </w:r>
      <w:r w:rsidR="002F3005">
        <w:rPr>
          <w:rFonts w:cs="Times New Roman"/>
        </w:rPr>
        <w:t xml:space="preserve">. </w:t>
      </w:r>
      <w:r w:rsidR="00644E94">
        <w:rPr>
          <w:rFonts w:cs="Times New Roman"/>
        </w:rPr>
        <w:t xml:space="preserve">All were 18-62 years old, right-handed, </w:t>
      </w:r>
      <w:r w:rsidR="004D35A5">
        <w:rPr>
          <w:rFonts w:cs="Times New Roman"/>
        </w:rPr>
        <w:t>with</w:t>
      </w:r>
      <w:r w:rsidR="00644E94">
        <w:rPr>
          <w:rFonts w:cs="Times New Roman"/>
        </w:rPr>
        <w:t xml:space="preserve">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718EFC99"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Pr>
          <w:rFonts w:cs="Times New Roman"/>
        </w:rPr>
        <w:t>psychiatric history</w:t>
      </w:r>
      <w:r w:rsidR="00224B73">
        <w:rPr>
          <w:rFonts w:cs="Times New Roman"/>
        </w:rPr>
        <w:t xml:space="preserve"> </w:t>
      </w:r>
      <w:r w:rsidR="004D35A5">
        <w:rPr>
          <w:rFonts w:cs="Times New Roman"/>
        </w:rPr>
        <w:t xml:space="preserve">was assessed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D35A5">
        <w:rPr>
          <w:rFonts w:cs="Times New Roman"/>
        </w:rPr>
        <w:t xml:space="preserve"> was administered</w:t>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  </w:t>
      </w:r>
      <w:r w:rsidR="00D03751">
        <w:rPr>
          <w:rFonts w:ascii="Times" w:hAnsi="Times" w:cs="Times New Roman"/>
        </w:rPr>
        <w:t>Finally,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6247F85C"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556FF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 judgment</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p>
    <w:p w14:paraId="7E6D2798" w14:textId="108D8870"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78C554B4" w14:textId="10731AD7"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“Side?” </w:t>
      </w:r>
      <w:r w:rsidR="00254AE6">
        <w:rPr>
          <w:rFonts w:cs="Times New Roman"/>
        </w:rPr>
        <w:t xml:space="preserve">or </w:t>
      </w:r>
      <w:r w:rsidR="00A4246E">
        <w:rPr>
          <w:rFonts w:cs="Times New Roman"/>
        </w:rPr>
        <w:t>“</w:t>
      </w:r>
      <w:r w:rsidR="00254AE6">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of the screen did this word appear?”) and conceptual (“What question did I answer for this word?’) </w:t>
      </w:r>
      <w:r w:rsidR="00D05C08">
        <w:rPr>
          <w:rFonts w:cs="Times New Roman"/>
        </w:rPr>
        <w:t>sources</w:t>
      </w:r>
      <w:r w:rsidR="00767091">
        <w:rPr>
          <w:rFonts w:cs="Times New Roman"/>
        </w:rPr>
        <w:t xml:space="preserve">, respectively. </w:t>
      </w:r>
      <w:r w:rsidR="00E96E6A">
        <w:rPr>
          <w:rFonts w:cs="Times New Roman"/>
        </w:rPr>
        <w:t xml:space="preserve">On the remaining 16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 xml:space="preserve">The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the cue, interpret it, and retrieve information from memory before responding, </w:t>
      </w:r>
      <w:r w:rsidR="00E411C8">
        <w:rPr>
          <w:rFonts w:cs="Times New Roman"/>
        </w:rPr>
        <w:t>but—in contrast to the “Side?” and “Question?” cues—</w:t>
      </w:r>
      <w:r w:rsidR="006F2228">
        <w:rPr>
          <w:rFonts w:cs="Times New Roman"/>
        </w:rPr>
        <w:t>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E411C8">
        <w:rPr>
          <w:rFonts w:cs="Times New Roman"/>
        </w:rPr>
        <w:t xml:space="preserve">ERP data from </w:t>
      </w:r>
      <w:r w:rsidR="00910CBA">
        <w:rPr>
          <w:rFonts w:cs="Times New Roman"/>
        </w:rPr>
        <w:t>“Sid</w:t>
      </w:r>
      <w:r w:rsidR="006560C8">
        <w:rPr>
          <w:rFonts w:cs="Times New Roman"/>
        </w:rPr>
        <w:t xml:space="preserve">e?” and “Question?” </w:t>
      </w:r>
      <w:r w:rsidR="00E411C8">
        <w:rPr>
          <w:rFonts w:cs="Times New Roman"/>
        </w:rPr>
        <w:t xml:space="preserve">trials relative to </w:t>
      </w:r>
      <w:r w:rsidR="006560C8">
        <w:rPr>
          <w:rFonts w:cs="Times New Roman"/>
        </w:rPr>
        <w:t xml:space="preserve">“Odd/Even?” </w:t>
      </w:r>
      <w:r w:rsidR="00E411C8">
        <w:rPr>
          <w:rFonts w:cs="Times New Roman"/>
        </w:rPr>
        <w:t>trials</w:t>
      </w:r>
      <w:r w:rsidR="006560C8">
        <w:rPr>
          <w:rFonts w:cs="Times New Roman"/>
        </w:rPr>
        <w:t xml:space="preserve"> should isolate activity specific to episodic retrieval.</w:t>
      </w:r>
      <w:r w:rsidR="00894254">
        <w:rPr>
          <w:rFonts w:cs="Times New Roman"/>
        </w:rPr>
        <w:t xml:space="preserve"> Cues were p</w:t>
      </w:r>
      <w:r w:rsidR="00A867A1">
        <w:rPr>
          <w:rFonts w:cs="Times New Roman"/>
        </w:rPr>
        <w:t>rinted directly above the words, and the presen</w:t>
      </w:r>
      <w:r w:rsidR="00E411C8">
        <w:rPr>
          <w:rFonts w:cs="Times New Roman"/>
        </w:rPr>
        <w:t xml:space="preserve">tation order of </w:t>
      </w:r>
      <w:r w:rsidR="00A867A1">
        <w:rPr>
          <w:rFonts w:cs="Times New Roman"/>
        </w:rPr>
        <w:t>the words and cues was randomized.</w:t>
      </w:r>
    </w:p>
    <w:p w14:paraId="68B34691" w14:textId="55915691"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Labels indicating the meaning of each response were printed below the numbers.</w:t>
      </w:r>
      <w:r w:rsidR="00767091">
        <w:rPr>
          <w:rFonts w:cs="Times New Roman"/>
        </w:rPr>
        <w:t xml:space="preserve"> Partici</w:t>
      </w:r>
      <w:r w:rsidR="00850179">
        <w:rPr>
          <w:rFonts w:cs="Times New Roman"/>
        </w:rPr>
        <w:t xml:space="preserve">pants were instructed to select “guess” </w:t>
      </w:r>
      <w:r w:rsidR="00767091">
        <w:rPr>
          <w:rFonts w:cs="Times New Roman"/>
        </w:rPr>
        <w:t>when they were unable to retrieve any information.</w:t>
      </w:r>
    </w:p>
    <w:p w14:paraId="0EB4E061" w14:textId="62854A0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 jittered inter-trial interval (500</w:t>
      </w:r>
      <w:r w:rsidR="00867935">
        <w:rPr>
          <w:rFonts w:cs="Times New Roman"/>
        </w:rPr>
        <w:t>-2000 ms) separated the trials.</w:t>
      </w:r>
    </w:p>
    <w:p w14:paraId="63857827" w14:textId="72BCD359"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four “Side?” four “Question?” and two “Odd/Even?”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37306D"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391EB66D"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E01745">
        <w:rPr>
          <w:rFonts w:eastAsia="Times New Roman" w:cs="Times New Roman"/>
          <w:shd w:val="clear" w:color="auto" w:fill="FFFFFF"/>
        </w:rPr>
        <w:t>one must</w:t>
      </w:r>
      <w:r>
        <w:rPr>
          <w:rFonts w:eastAsia="Times New Roman" w:cs="Times New Roman"/>
          <w:shd w:val="clear" w:color="auto" w:fill="FFFFFF"/>
        </w:rPr>
        <w:t xml:space="preserve">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5E9F9DA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F04523">
        <w:rPr>
          <w:rFonts w:eastAsia="ＭＳ ゴシック" w:cs="Times New Roman"/>
          <w:color w:val="000000"/>
        </w:rPr>
        <w:t>droppe</w:t>
      </w:r>
      <w:r w:rsidR="00AB663E">
        <w:rPr>
          <w:rFonts w:eastAsia="ＭＳ ゴシック" w:cs="Times New Roman"/>
          <w:color w:val="000000"/>
        </w:rPr>
        <w:t>d</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“Odd/E</w:t>
      </w:r>
      <w:r w:rsidR="00673C6D">
        <w:rPr>
          <w:rFonts w:eastAsia="ＭＳ ゴシック" w:cs="Times New Roman"/>
          <w:color w:val="000000"/>
        </w:rPr>
        <w:t>ven?” trials</w:t>
      </w:r>
      <w:r w:rsidR="00F04523">
        <w:rPr>
          <w:rFonts w:eastAsia="ＭＳ ゴシック" w:cs="Times New Roman"/>
          <w:color w:val="000000"/>
        </w:rPr>
        <w:t>, which</w:t>
      </w:r>
      <w:r w:rsidR="00673C6D">
        <w:rPr>
          <w:rFonts w:eastAsia="ＭＳ ゴシック" w:cs="Times New Roman"/>
          <w:color w:val="000000"/>
        </w:rPr>
        <w:t xml:space="preserve"> </w:t>
      </w:r>
      <w:r w:rsidR="00F04523">
        <w:rPr>
          <w:rFonts w:eastAsia="ＭＳ ゴシック" w:cs="Times New Roman"/>
          <w:color w:val="000000"/>
        </w:rPr>
        <w:t xml:space="preserve">were </w:t>
      </w:r>
      <w:r w:rsidR="001B2CC6">
        <w:rPr>
          <w:rFonts w:eastAsia="ＭＳ ゴシック" w:cs="Times New Roman"/>
          <w:color w:val="000000"/>
        </w:rPr>
        <w:t xml:space="preserve">only </w:t>
      </w:r>
      <w:r w:rsidR="00673C6D">
        <w:rPr>
          <w:rFonts w:eastAsia="ＭＳ ゴシック" w:cs="Times New Roman"/>
          <w:color w:val="000000"/>
        </w:rPr>
        <w:t xml:space="preserve">included </w:t>
      </w:r>
      <w:r w:rsidR="00F04523">
        <w:rPr>
          <w:rFonts w:eastAsia="ＭＳ ゴシック" w:cs="Times New Roman"/>
          <w:color w:val="000000"/>
        </w:rPr>
        <w:t>to serve as</w:t>
      </w:r>
      <w:r w:rsidR="00673C6D">
        <w:rPr>
          <w:rFonts w:eastAsia="ＭＳ ゴシック" w:cs="Times New Roman"/>
          <w:color w:val="000000"/>
        </w:rPr>
        <w:t xml:space="preserve"> a control </w:t>
      </w:r>
      <w:r w:rsidR="00D0740B">
        <w:rPr>
          <w:rFonts w:eastAsia="ＭＳ ゴシック" w:cs="Times New Roman"/>
          <w:color w:val="000000"/>
        </w:rPr>
        <w:t>c</w:t>
      </w:r>
      <w:r w:rsidR="00F04523">
        <w:rPr>
          <w:rFonts w:eastAsia="ＭＳ ゴシック" w:cs="Times New Roman"/>
          <w:color w:val="000000"/>
        </w:rPr>
        <w:t>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“Odd/Even?”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depression did not affect performance in this </w:t>
      </w:r>
      <w:r w:rsidR="00660445">
        <w:rPr>
          <w:rFonts w:eastAsia="ＭＳ ゴシック" w:cs="Times New Roman"/>
          <w:color w:val="000000"/>
        </w:rPr>
        <w:t>condition</w:t>
      </w:r>
      <w:r w:rsidR="00EA14BF">
        <w:rPr>
          <w:rFonts w:eastAsia="ＭＳ ゴシック" w:cs="Times New Roman"/>
          <w:color w:val="000000"/>
        </w:rPr>
        <w:t xml:space="preserve"> and underscoring its suitability as a control</w:t>
      </w:r>
      <w:r w:rsidR="00660445">
        <w:rPr>
          <w:rFonts w:eastAsia="ＭＳ ゴシック" w:cs="Times New Roman"/>
          <w:color w:val="000000"/>
        </w:rPr>
        <w:t>.</w:t>
      </w:r>
    </w:p>
    <w:p w14:paraId="1674373A" w14:textId="749ABF99"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69495B">
        <w:rPr>
          <w:rFonts w:eastAsia="ＭＳ ゴシック" w:cs="Times New Roman"/>
          <w:color w:val="000000"/>
        </w:rPr>
        <w:t xml:space="preserve"> f</w:t>
      </w:r>
      <w:r w:rsidR="0080655E">
        <w:rPr>
          <w:rFonts w:eastAsia="ＭＳ ゴシック" w:cs="Times New Roman"/>
          <w:color w:val="000000"/>
        </w:rPr>
        <w:t>or RT</w:t>
      </w:r>
      <w:r w:rsidR="0069495B">
        <w:rPr>
          <w:rFonts w:eastAsia="ＭＳ ゴシック" w:cs="Times New Roman"/>
          <w:color w:val="000000"/>
        </w:rPr>
        <w:t xml:space="preserve"> </w:t>
      </w:r>
      <w:r w:rsidR="008247B4">
        <w:rPr>
          <w:rFonts w:eastAsia="ＭＳ ゴシック" w:cs="Times New Roman"/>
          <w:color w:val="000000"/>
        </w:rPr>
        <w:t>on correct trials.</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48BFF96D"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EEG data from t</w:t>
      </w:r>
      <w:r w:rsidR="001B17DA">
        <w:rPr>
          <w:rFonts w:eastAsia="Times New Roman" w:cs="Times New Roman"/>
          <w:shd w:val="clear" w:color="auto" w:fill="FFFFFF"/>
        </w:rPr>
        <w:t xml:space="preserve">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8D5E6C">
        <w:rPr>
          <w:rFonts w:eastAsia="Times New Roman" w:cs="Times New Roman"/>
          <w:shd w:val="clear" w:color="auto" w:fill="FFFFFF"/>
        </w:rPr>
        <w:t>A</w:t>
      </w:r>
      <w:r w:rsidR="00BF6F62">
        <w:rPr>
          <w:rFonts w:eastAsia="Times New Roman" w:cs="Times New Roman"/>
          <w:shd w:val="clear" w:color="auto" w:fill="FFFFFF"/>
        </w:rPr>
        <w:t xml:space="preserve">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 xml:space="preserve">Finally, the data were visually inspected to ensure that all artifacts </w:t>
      </w:r>
      <w:r w:rsidR="008D5E6C">
        <w:rPr>
          <w:rFonts w:eastAsia="Times New Roman" w:cs="Times New Roman"/>
          <w:shd w:val="clear" w:color="auto" w:fill="FFFFFF"/>
        </w:rPr>
        <w:t>were</w:t>
      </w:r>
      <w:r w:rsidR="005F1E78">
        <w:rPr>
          <w:rFonts w:eastAsia="Times New Roman" w:cs="Times New Roman"/>
          <w:shd w:val="clear" w:color="auto" w:fill="FFFFFF"/>
        </w:rPr>
        <w:t xml:space="preserve"> marked, and then the artifacts were rejected.</w:t>
      </w:r>
      <w:r w:rsidR="00FF1F9A">
        <w:rPr>
          <w:rFonts w:eastAsia="Times New Roman" w:cs="Times New Roman"/>
          <w:shd w:val="clear" w:color="auto" w:fill="FFFFFF"/>
        </w:rPr>
        <w:t xml:space="preserve">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recognition accuracy (e.g., encoded on left + animacy judgment + Side cue + recognition hit).</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62288DC"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r w:rsidR="007B0550">
        <w:rPr>
          <w:rFonts w:eastAsia="Times New Roman" w:cs="Times New Roman"/>
          <w:shd w:val="clear" w:color="auto" w:fill="FFFFFF"/>
        </w:rPr>
        <w:t>animacy judgment</w:t>
      </w:r>
      <w:r w:rsidR="006414C1">
        <w:rPr>
          <w:rFonts w:eastAsia="Times New Roman" w:cs="Times New Roman"/>
          <w:shd w:val="clear" w:color="auto" w:fill="FFFFFF"/>
        </w:rPr>
        <w:t xml:space="preserve">. This was evident </w:t>
      </w:r>
      <w:r w:rsidR="00244832">
        <w:rPr>
          <w:rFonts w:eastAsia="Times New Roman" w:cs="Times New Roman"/>
          <w:shd w:val="clear" w:color="auto" w:fill="FFFFFF"/>
        </w:rPr>
        <w:t xml:space="preserve">in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 xml:space="preserve">at encoding </w:t>
      </w:r>
      <w:r w:rsidR="006250A5">
        <w:rPr>
          <w:rFonts w:eastAsia="Times New Roman" w:cs="Times New Roman"/>
          <w:shd w:val="clear" w:color="auto" w:fill="FFFFFF"/>
        </w:rPr>
        <w:t xml:space="preserve">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more difficult than the animacy judgment.</w:t>
      </w:r>
    </w:p>
    <w:p w14:paraId="71865A23" w14:textId="6D88253E"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B40ABB">
        <w:rPr>
          <w:rFonts w:eastAsia="Times New Roman" w:cs="Times New Roman"/>
          <w:shd w:val="clear" w:color="auto" w:fill="FFFFFF"/>
        </w:rPr>
        <w:t>The percentages of responses of each type (hit, miss, guess) as a function of retrieval cue, encoding task, and group are given in Table 2.</w:t>
      </w:r>
      <w:r w:rsidR="00AE3687">
        <w:rPr>
          <w:rFonts w:eastAsia="Times New Roman" w:cs="Times New Roman"/>
          <w:b/>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5C7BF5F0"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734E58">
        <w:rPr>
          <w:rFonts w:eastAsia="Times New Roman" w:cs="Times New Roman"/>
          <w:shd w:val="clear" w:color="auto" w:fill="FFFFFF"/>
        </w:rPr>
        <w:t xml:space="preserve"> = 0.57, as both groups were able to retrieve side information equally well for words from both encoding tasks.</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1B09A5D9"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1 </w:t>
      </w:r>
      <w:r w:rsidR="00B40ABB">
        <w:rPr>
          <w:rFonts w:eastAsia="Times New Roman" w:cs="Times New Roman"/>
          <w:shd w:val="clear" w:color="auto" w:fill="FFFFFF"/>
        </w:rPr>
        <w:t xml:space="preserve">AND TABLE 2 </w:t>
      </w:r>
      <w:bookmarkStart w:id="0" w:name="_GoBack"/>
      <w:bookmarkEnd w:id="0"/>
      <w:r>
        <w:rPr>
          <w:rFonts w:eastAsia="Times New Roman" w:cs="Times New Roman"/>
          <w:shd w:val="clear" w:color="auto" w:fill="FFFFFF"/>
        </w:rPr>
        <w:t>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01E85BAD"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“Question?” vs. “Side?”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1BBD9B5A" w14:textId="5DE74D9F"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“Question?” cue. At encoding, the mobility task was associated with lower accuracy and longer reaction times, suggesting that it engendered deeper processing than the animacy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w:t>
      </w:r>
      <w:r w:rsidR="00702C67">
        <w:rPr>
          <w:rFonts w:eastAsia="Times New Roman" w:cs="Times New Roman"/>
          <w:shd w:val="clear" w:color="auto" w:fill="FFFFFF"/>
        </w:rPr>
        <w:t xml:space="preserve">it appears that </w:t>
      </w:r>
      <w:r w:rsidR="005B07CC">
        <w:rPr>
          <w:rFonts w:eastAsia="Times New Roman" w:cs="Times New Roman"/>
          <w:shd w:val="clear" w:color="auto" w:fill="FFFFFF"/>
        </w:rPr>
        <w:t xml:space="preserve">participants </w:t>
      </w:r>
      <w:r w:rsidR="00702C67">
        <w:rPr>
          <w:rFonts w:eastAsia="Times New Roman" w:cs="Times New Roman"/>
          <w:shd w:val="clear" w:color="auto" w:fill="FFFFFF"/>
        </w:rPr>
        <w:t>had</w:t>
      </w:r>
      <w:r w:rsidR="005B07CC">
        <w:rPr>
          <w:rFonts w:eastAsia="Times New Roman" w:cs="Times New Roman"/>
          <w:shd w:val="clear" w:color="auto" w:fill="FFFFFF"/>
        </w:rPr>
        <w:t xml:space="preserve"> to think </w:t>
      </w:r>
      <w:r w:rsidR="00702C67">
        <w:rPr>
          <w:rFonts w:eastAsia="Times New Roman" w:cs="Times New Roman"/>
          <w:shd w:val="clear" w:color="auto" w:fill="FFFFFF"/>
        </w:rPr>
        <w:t xml:space="preserve">more </w:t>
      </w:r>
      <w:r w:rsidR="005B07CC">
        <w:rPr>
          <w:rFonts w:eastAsia="Times New Roman" w:cs="Times New Roman"/>
          <w:shd w:val="clear" w:color="auto" w:fill="FFFFFF"/>
        </w:rPr>
        <w:t xml:space="preserve">carefully about the referent of the word, for longer, when making mobility vs. animacy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42271AA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2 </w:t>
      </w:r>
      <w:r w:rsidR="00883990">
        <w:rPr>
          <w:rFonts w:eastAsia="Times New Roman" w:cs="Times New Roman"/>
          <w:shd w:val="clear" w:color="auto" w:fill="FFFFFF"/>
        </w:rPr>
        <w:t>displays topographic maps of correct responses to the “Question?” “Side?” and “Odd/Even?”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evident even during “Odd/Even?”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“Question?”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77777777"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This group difference is also readily apparent in the waveforms, which are plotted in Figure 3.</w:t>
      </w:r>
    </w:p>
    <w:p w14:paraId="1B7D7219" w14:textId="5A5686E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FIGURES 2 AND 3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77F081A" w:rsidR="00C623F4" w:rsidRDefault="00634E2E" w:rsidP="00507588">
      <w:pPr>
        <w:spacing w:line="480" w:lineRule="auto"/>
        <w:ind w:firstLine="720"/>
        <w:rPr>
          <w:rFonts w:cs="Times New Roman"/>
          <w:b/>
        </w:rPr>
      </w:pPr>
      <w:r>
        <w:rPr>
          <w:rFonts w:cs="Times New Roman"/>
          <w:b/>
        </w:rPr>
        <w:t xml:space="preserve">Next thing to do is create Figures 3 and 4 . . . </w:t>
      </w:r>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These maps revealed strong activity over parietal sites in response to the “Question?” vs. “Side?” cue, with the “Side?”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734E58" w:rsidRDefault="00734E58" w:rsidP="00722819">
      <w:r>
        <w:separator/>
      </w:r>
    </w:p>
  </w:endnote>
  <w:endnote w:type="continuationSeparator" w:id="0">
    <w:p w14:paraId="4B4D4CED" w14:textId="77777777" w:rsidR="00734E58" w:rsidRDefault="00734E58"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734E58" w:rsidRDefault="00734E58"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734E58" w:rsidRDefault="00734E58"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734E58" w:rsidRDefault="00734E58"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B40ABB">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F86E6E8" w14:textId="77777777" w:rsidR="00734E58" w:rsidRDefault="00734E58"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734E58" w:rsidRDefault="00734E58" w:rsidP="00722819">
      <w:r>
        <w:separator/>
      </w:r>
    </w:p>
  </w:footnote>
  <w:footnote w:type="continuationSeparator" w:id="0">
    <w:p w14:paraId="4A94A47C" w14:textId="77777777" w:rsidR="00734E58" w:rsidRDefault="00734E58"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734E58" w:rsidRDefault="00B40ABB">
    <w:pPr>
      <w:pStyle w:val="Header"/>
    </w:pPr>
    <w:sdt>
      <w:sdtPr>
        <w:id w:val="2142454189"/>
        <w:placeholder>
          <w:docPart w:val="4ED8C45496943944B88376063972391A"/>
        </w:placeholder>
        <w:temporary/>
        <w:showingPlcHdr/>
      </w:sdtPr>
      <w:sdtEndPr/>
      <w:sdtContent>
        <w:r w:rsidR="00734E58">
          <w:t>[Type text]</w:t>
        </w:r>
      </w:sdtContent>
    </w:sdt>
    <w:r w:rsidR="00734E58">
      <w:ptab w:relativeTo="margin" w:alignment="center" w:leader="none"/>
    </w:r>
    <w:sdt>
      <w:sdtPr>
        <w:id w:val="-295915295"/>
        <w:placeholder>
          <w:docPart w:val="88F823842A49604EB565AE4D9F0FD342"/>
        </w:placeholder>
        <w:temporary/>
        <w:showingPlcHdr/>
      </w:sdtPr>
      <w:sdtEndPr/>
      <w:sdtContent>
        <w:r w:rsidR="00734E58">
          <w:t>[Type text]</w:t>
        </w:r>
      </w:sdtContent>
    </w:sdt>
    <w:r w:rsidR="00734E58">
      <w:ptab w:relativeTo="margin" w:alignment="right" w:leader="none"/>
    </w:r>
    <w:sdt>
      <w:sdtPr>
        <w:id w:val="234514506"/>
        <w:placeholder>
          <w:docPart w:val="7E0C5EFEA145194887C5B782F67A4B58"/>
        </w:placeholder>
        <w:temporary/>
        <w:showingPlcHdr/>
      </w:sdtPr>
      <w:sdtEndPr/>
      <w:sdtContent>
        <w:r w:rsidR="00734E58">
          <w:t>[Type text]</w:t>
        </w:r>
      </w:sdtContent>
    </w:sdt>
  </w:p>
  <w:p w14:paraId="442F2A4D" w14:textId="77777777" w:rsidR="00734E58" w:rsidRDefault="00734E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734E58" w:rsidRPr="007D120A" w:rsidRDefault="00734E58">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734E58" w:rsidRPr="007D120A" w:rsidRDefault="00734E58">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24B28"/>
    <w:rsid w:val="00041EA1"/>
    <w:rsid w:val="000422CA"/>
    <w:rsid w:val="0004393E"/>
    <w:rsid w:val="00043C35"/>
    <w:rsid w:val="00043E84"/>
    <w:rsid w:val="00053F42"/>
    <w:rsid w:val="0005619E"/>
    <w:rsid w:val="000616C3"/>
    <w:rsid w:val="00065F0F"/>
    <w:rsid w:val="0007422B"/>
    <w:rsid w:val="0007490E"/>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6740F"/>
    <w:rsid w:val="0018057E"/>
    <w:rsid w:val="00182C85"/>
    <w:rsid w:val="001841B0"/>
    <w:rsid w:val="0019014C"/>
    <w:rsid w:val="00190EAC"/>
    <w:rsid w:val="0019301A"/>
    <w:rsid w:val="001B17DA"/>
    <w:rsid w:val="001B2CC6"/>
    <w:rsid w:val="001B3269"/>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2AB"/>
    <w:rsid w:val="00240DFE"/>
    <w:rsid w:val="002430BF"/>
    <w:rsid w:val="00244832"/>
    <w:rsid w:val="00244F60"/>
    <w:rsid w:val="00254AE6"/>
    <w:rsid w:val="002556E7"/>
    <w:rsid w:val="0026267C"/>
    <w:rsid w:val="00270902"/>
    <w:rsid w:val="00273E96"/>
    <w:rsid w:val="00277B24"/>
    <w:rsid w:val="00283750"/>
    <w:rsid w:val="00284FCF"/>
    <w:rsid w:val="0029576E"/>
    <w:rsid w:val="002A364E"/>
    <w:rsid w:val="002A597C"/>
    <w:rsid w:val="002B0CD6"/>
    <w:rsid w:val="002B42DF"/>
    <w:rsid w:val="002C53AB"/>
    <w:rsid w:val="002F3005"/>
    <w:rsid w:val="003018BE"/>
    <w:rsid w:val="003111A1"/>
    <w:rsid w:val="003207DF"/>
    <w:rsid w:val="003223A2"/>
    <w:rsid w:val="00346C93"/>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D5015"/>
    <w:rsid w:val="003D5509"/>
    <w:rsid w:val="003F0C66"/>
    <w:rsid w:val="003F31BE"/>
    <w:rsid w:val="003F6352"/>
    <w:rsid w:val="0040230E"/>
    <w:rsid w:val="00402470"/>
    <w:rsid w:val="0040521E"/>
    <w:rsid w:val="00411FA3"/>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61CD"/>
    <w:rsid w:val="006B6D61"/>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2C67"/>
    <w:rsid w:val="00706058"/>
    <w:rsid w:val="00715BE5"/>
    <w:rsid w:val="00721206"/>
    <w:rsid w:val="00722819"/>
    <w:rsid w:val="007313C2"/>
    <w:rsid w:val="00734E58"/>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9C"/>
    <w:rsid w:val="008B2FE9"/>
    <w:rsid w:val="008B3C12"/>
    <w:rsid w:val="008C0E63"/>
    <w:rsid w:val="008C6C26"/>
    <w:rsid w:val="008D5E6C"/>
    <w:rsid w:val="008E377C"/>
    <w:rsid w:val="008E5504"/>
    <w:rsid w:val="008E7234"/>
    <w:rsid w:val="009019B7"/>
    <w:rsid w:val="00902E04"/>
    <w:rsid w:val="00904CB9"/>
    <w:rsid w:val="00906DEA"/>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659CC"/>
    <w:rsid w:val="00A743A7"/>
    <w:rsid w:val="00A750C8"/>
    <w:rsid w:val="00A8083D"/>
    <w:rsid w:val="00A867A1"/>
    <w:rsid w:val="00A91167"/>
    <w:rsid w:val="00A97DBD"/>
    <w:rsid w:val="00AA7FEC"/>
    <w:rsid w:val="00AB3F4C"/>
    <w:rsid w:val="00AB663E"/>
    <w:rsid w:val="00AB66BA"/>
    <w:rsid w:val="00AB7778"/>
    <w:rsid w:val="00AC02FC"/>
    <w:rsid w:val="00AC7D07"/>
    <w:rsid w:val="00AD33A1"/>
    <w:rsid w:val="00AE3687"/>
    <w:rsid w:val="00AF2AD0"/>
    <w:rsid w:val="00AF5849"/>
    <w:rsid w:val="00AF7858"/>
    <w:rsid w:val="00B073EF"/>
    <w:rsid w:val="00B14986"/>
    <w:rsid w:val="00B25359"/>
    <w:rsid w:val="00B32ED7"/>
    <w:rsid w:val="00B376F0"/>
    <w:rsid w:val="00B408E5"/>
    <w:rsid w:val="00B40A5B"/>
    <w:rsid w:val="00B40ABB"/>
    <w:rsid w:val="00B40F43"/>
    <w:rsid w:val="00B429F0"/>
    <w:rsid w:val="00B43A5B"/>
    <w:rsid w:val="00B55E4D"/>
    <w:rsid w:val="00B60A13"/>
    <w:rsid w:val="00B60E93"/>
    <w:rsid w:val="00B633EE"/>
    <w:rsid w:val="00B8185E"/>
    <w:rsid w:val="00B8301F"/>
    <w:rsid w:val="00B877FE"/>
    <w:rsid w:val="00B9226A"/>
    <w:rsid w:val="00B97C37"/>
    <w:rsid w:val="00BC450B"/>
    <w:rsid w:val="00BC608E"/>
    <w:rsid w:val="00BD0452"/>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8090E"/>
    <w:rsid w:val="00C82AF4"/>
    <w:rsid w:val="00C84EA4"/>
    <w:rsid w:val="00C8691B"/>
    <w:rsid w:val="00C90E95"/>
    <w:rsid w:val="00CA2A12"/>
    <w:rsid w:val="00CA670E"/>
    <w:rsid w:val="00CA709C"/>
    <w:rsid w:val="00CC2B1B"/>
    <w:rsid w:val="00CC318C"/>
    <w:rsid w:val="00CC4E3D"/>
    <w:rsid w:val="00CC6F0E"/>
    <w:rsid w:val="00CD52A7"/>
    <w:rsid w:val="00CD5A8C"/>
    <w:rsid w:val="00CD62FD"/>
    <w:rsid w:val="00CE381D"/>
    <w:rsid w:val="00CE5684"/>
    <w:rsid w:val="00CE7356"/>
    <w:rsid w:val="00CF41E5"/>
    <w:rsid w:val="00D03751"/>
    <w:rsid w:val="00D04C5E"/>
    <w:rsid w:val="00D05C08"/>
    <w:rsid w:val="00D0740B"/>
    <w:rsid w:val="00D17E32"/>
    <w:rsid w:val="00D22819"/>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411C8"/>
    <w:rsid w:val="00E44DB7"/>
    <w:rsid w:val="00E452B3"/>
    <w:rsid w:val="00E67331"/>
    <w:rsid w:val="00E73635"/>
    <w:rsid w:val="00E81A31"/>
    <w:rsid w:val="00E82783"/>
    <w:rsid w:val="00E8385C"/>
    <w:rsid w:val="00E855B6"/>
    <w:rsid w:val="00E86F41"/>
    <w:rsid w:val="00E87F3C"/>
    <w:rsid w:val="00E909BB"/>
    <w:rsid w:val="00E968B1"/>
    <w:rsid w:val="00E96E6A"/>
    <w:rsid w:val="00EA14BF"/>
    <w:rsid w:val="00EA2C9B"/>
    <w:rsid w:val="00EA44D1"/>
    <w:rsid w:val="00EB538E"/>
    <w:rsid w:val="00EB6F63"/>
    <w:rsid w:val="00ED265B"/>
    <w:rsid w:val="00ED2897"/>
    <w:rsid w:val="00ED6480"/>
    <w:rsid w:val="00EE0CDD"/>
    <w:rsid w:val="00EE13C6"/>
    <w:rsid w:val="00EE43AD"/>
    <w:rsid w:val="00EF1884"/>
    <w:rsid w:val="00EF3F37"/>
    <w:rsid w:val="00EF4F3B"/>
    <w:rsid w:val="00EF6B3D"/>
    <w:rsid w:val="00F004D6"/>
    <w:rsid w:val="00F026FC"/>
    <w:rsid w:val="00F033EA"/>
    <w:rsid w:val="00F04523"/>
    <w:rsid w:val="00F074DC"/>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AA3F62"/>
    <w:rsid w:val="00C945F1"/>
    <w:rsid w:val="00DB4360"/>
    <w:rsid w:val="00F90DB4"/>
    <w:rsid w:val="00FC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7D0E2-A526-294F-BEC3-07FC9120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17</Pages>
  <Words>13281</Words>
  <Characters>75704</Characters>
  <Application>Microsoft Macintosh Word</Application>
  <DocSecurity>0</DocSecurity>
  <Lines>630</Lines>
  <Paragraphs>177</Paragraphs>
  <ScaleCrop>false</ScaleCrop>
  <Company>McLean</Company>
  <LinksUpToDate>false</LinksUpToDate>
  <CharactersWithSpaces>88808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316</cp:revision>
  <dcterms:created xsi:type="dcterms:W3CDTF">2016-04-29T16:49:00Z</dcterms:created>
  <dcterms:modified xsi:type="dcterms:W3CDTF">2016-08-12T17:34:00Z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