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ptos Display" w:hAnsi="Aptos Display"/>
          <w:b/>
          <w:color w:val="09090B"/>
          <w:sz w:val="56"/>
        </w:rPr>
        <w:t>Product Requirements Document</w:t>
      </w:r>
    </w:p>
    <w:p>
      <w:pPr>
        <w:jc w:val="center"/>
      </w:pPr>
      <w:r>
        <w:rPr>
          <w:i/>
          <w:color w:val="3F3F46"/>
          <w:sz w:val="22"/>
        </w:rPr>
        <w:t>Product vision, scope, users, measurable outcomes, delivery boundaries, and final MVP definition</w:t>
      </w:r>
    </w:p>
    <w:p>
      <w:pPr>
        <w:jc w:val="center"/>
      </w:pPr>
      <w:r>
        <w:rPr>
          <w:b/>
          <w:color w:val="6B7280"/>
          <w:sz w:val="18"/>
        </w:rPr>
        <w:t>AEGISOPS  •  VERSION 2.0  •  JULY 2026</w:t>
      </w:r>
    </w:p>
    <w:p/>
    <w:p>
      <w:pPr>
        <w:pStyle w:val="Heading1"/>
      </w:pPr>
      <w:r>
        <w:t>1. Executive Summary</w:t>
      </w:r>
    </w:p>
    <w:p>
      <w:r>
        <w:t>AegisOps is an AI-assisted observability and incident-response platform for microservice environments. It converts metrics, logs, traces, service topology, and historical incident data into correlated incidents, explainable anomaly evidence, ranked probable root causes, similar-case retrieval, and safe next-action recommendations. The MVP deliberately keeps remediation human-approved and allow-listed.</w:t>
      </w:r>
    </w:p>
    <w:p>
      <w:pPr>
        <w:pStyle w:val="Heading1"/>
      </w:pPr>
      <w:r>
        <w:t>2. Product Positioning</w:t>
      </w:r>
    </w:p>
    <w:p>
      <w:r>
        <w:t>AegisOps is not intended to replace Prometheus, Grafana, or enterprise observability products. It sits above the telemetry layer as an incident-intelligence system. Its value is the transformation from raw signals to evidence-backed operational decisions.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5040"/>
            <w:shd w:fill="DFE104"/>
            <w:vAlign w:val="center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5040"/>
            <w:shd w:fill="DFE104"/>
            <w:vAlign w:val="center"/>
          </w:tcPr>
          <w:p>
            <w:r>
              <w:rPr>
                <w:b/>
              </w:rPr>
              <w:t>Responsibility</w:t>
            </w:r>
          </w:p>
        </w:tc>
      </w:tr>
      <w:tr>
        <w:tc>
          <w:tcPr>
            <w:tcW w:type="dxa" w:w="5040"/>
            <w:vAlign w:val="top"/>
          </w:tcPr>
          <w:p>
            <w:r>
              <w:t>Observability</w:t>
            </w:r>
          </w:p>
        </w:tc>
        <w:tc>
          <w:tcPr>
            <w:tcW w:type="dxa" w:w="5040"/>
            <w:vAlign w:val="top"/>
          </w:tcPr>
          <w:p>
            <w:r>
              <w:t>Collect and retain raw metrics, logs, and traces.</w:t>
            </w:r>
          </w:p>
        </w:tc>
      </w:tr>
      <w:tr>
        <w:tc>
          <w:tcPr>
            <w:tcW w:type="dxa" w:w="5040"/>
            <w:vAlign w:val="top"/>
          </w:tcPr>
          <w:p>
            <w:r>
              <w:t>AIOps intelligence</w:t>
            </w:r>
          </w:p>
        </w:tc>
        <w:tc>
          <w:tcPr>
            <w:tcW w:type="dxa" w:w="5040"/>
            <w:vAlign w:val="top"/>
          </w:tcPr>
          <w:p>
            <w:r>
              <w:t>Detect, correlate, diagnose, retrieve similar incidents, and recommend.</w:t>
            </w:r>
          </w:p>
        </w:tc>
      </w:tr>
      <w:tr>
        <w:tc>
          <w:tcPr>
            <w:tcW w:type="dxa" w:w="5040"/>
            <w:vAlign w:val="top"/>
          </w:tcPr>
          <w:p>
            <w:r>
              <w:t>Human control</w:t>
            </w:r>
          </w:p>
        </w:tc>
        <w:tc>
          <w:tcPr>
            <w:tcW w:type="dxa" w:w="5040"/>
            <w:vAlign w:val="top"/>
          </w:tcPr>
          <w:p>
            <w:r>
              <w:t>Validate evidence, approve actions, and provide feedback.</w:t>
            </w:r>
          </w:p>
        </w:tc>
      </w:tr>
      <w:tr>
        <w:tc>
          <w:tcPr>
            <w:tcW w:type="dxa" w:w="5040"/>
            <w:vAlign w:val="top"/>
          </w:tcPr>
          <w:p>
            <w:r>
              <w:t>Learning loop</w:t>
            </w:r>
          </w:p>
        </w:tc>
        <w:tc>
          <w:tcPr>
            <w:tcW w:type="dxa" w:w="5040"/>
            <w:vAlign w:val="top"/>
          </w:tcPr>
          <w:p>
            <w:r>
              <w:t>Use confirmed outcomes to improve retrieval, thresholds, and rankings.</w:t>
            </w:r>
          </w:p>
        </w:tc>
      </w:tr>
    </w:tbl>
    <w:p/>
    <w:p>
      <w:pPr>
        <w:pStyle w:val="Heading1"/>
      </w:pPr>
      <w:r>
        <w:t>3. Problem Statement</w:t>
      </w:r>
    </w:p>
    <w:p>
      <w:pPr>
        <w:pStyle w:val="ListBullet"/>
      </w:pPr>
      <w:r>
        <w:t>Static thresholds create duplicate or noisy alerts.</w:t>
      </w:r>
    </w:p>
    <w:p>
      <w:pPr>
        <w:pStyle w:val="ListBullet"/>
      </w:pPr>
      <w:r>
        <w:t>Engineers must manually connect symptoms across services and telemetry types.</w:t>
      </w:r>
    </w:p>
    <w:p>
      <w:pPr>
        <w:pStyle w:val="ListBullet"/>
      </w:pPr>
      <w:r>
        <w:t>Root-cause reasoning is often undocumented and repeated from scratch.</w:t>
      </w:r>
    </w:p>
    <w:p>
      <w:pPr>
        <w:pStyle w:val="ListBullet"/>
      </w:pPr>
      <w:r>
        <w:t>Previous incidents and resolutions are difficult to retrieve at the right moment.</w:t>
      </w:r>
    </w:p>
    <w:p>
      <w:pPr>
        <w:pStyle w:val="ListBullet"/>
      </w:pPr>
      <w:r>
        <w:t>Unsafe automation can create additional outages if it acts without evidence or approval.</w:t>
      </w:r>
    </w:p>
    <w:p>
      <w:pPr>
        <w:pStyle w:val="Heading1"/>
      </w:pPr>
      <w:r>
        <w:t>4. Product Vision and Core Questions</w:t>
      </w:r>
    </w:p>
    <w:p>
      <w:r>
        <w:t>The platform should answer six questions for every incident:</w:t>
      </w:r>
    </w:p>
    <w:p>
      <w:pPr>
        <w:pStyle w:val="ListNumber"/>
      </w:pPr>
      <w:r>
        <w:t>What behavior is abnormal?</w:t>
      </w:r>
    </w:p>
    <w:p>
      <w:pPr>
        <w:pStyle w:val="ListNumber"/>
      </w:pPr>
      <w:r>
        <w:t>Which signals belong to the same incident?</w:t>
      </w:r>
    </w:p>
    <w:p>
      <w:pPr>
        <w:pStyle w:val="ListNumber"/>
      </w:pPr>
      <w:r>
        <w:t>Which component is the most probable origin?</w:t>
      </w:r>
    </w:p>
    <w:p>
      <w:pPr>
        <w:pStyle w:val="ListNumber"/>
      </w:pPr>
      <w:r>
        <w:t>What evidence supports that ranking?</w:t>
      </w:r>
    </w:p>
    <w:p>
      <w:pPr>
        <w:pStyle w:val="ListNumber"/>
      </w:pPr>
      <w:r>
        <w:t>Has a similar incident happened before?</w:t>
      </w:r>
    </w:p>
    <w:p>
      <w:pPr>
        <w:pStyle w:val="ListNumber"/>
      </w:pPr>
      <w:r>
        <w:t>What should the engineer investigate or safely do next?</w:t>
      </w:r>
    </w:p>
    <w:p>
      <w:pPr>
        <w:pStyle w:val="Heading1"/>
      </w:pPr>
      <w:r>
        <w:t>5. Target Users</w:t>
      </w:r>
    </w:p>
    <w:p>
      <w:pPr>
        <w:pStyle w:val="ListBullet"/>
      </w:pPr>
      <w:r>
        <w:t>Primary: SRE, DevOps, platform, backend, and distributed-systems engineers.</w:t>
      </w:r>
    </w:p>
    <w:p>
      <w:pPr>
        <w:pStyle w:val="ListBullet"/>
      </w:pPr>
      <w:r>
        <w:t>Secondary: AI/ML engineers working on anomaly detection and operational intelligence.</w:t>
      </w:r>
    </w:p>
    <w:p>
      <w:pPr>
        <w:pStyle w:val="ListBullet"/>
      </w:pPr>
      <w:r>
        <w:t>Academic: project evaluators and students studying AIOps, MLOps, observability, and applied ML.</w:t>
      </w:r>
    </w:p>
    <w:p>
      <w:pPr>
        <w:pStyle w:val="Heading1"/>
      </w:pPr>
      <w:r>
        <w:t>6. Goals</w:t>
      </w:r>
    </w:p>
    <w:p>
      <w:pPr>
        <w:pStyle w:val="ListBullet"/>
      </w:pPr>
      <w:r>
        <w:t>Provide live service-health and telemetry visibility.</w:t>
      </w:r>
    </w:p>
    <w:p>
      <w:pPr>
        <w:pStyle w:val="ListBullet"/>
      </w:pPr>
      <w:r>
        <w:t>Detect multivariate deviations from learned normal behavior.</w:t>
      </w:r>
    </w:p>
    <w:p>
      <w:pPr>
        <w:pStyle w:val="ListBullet"/>
      </w:pPr>
      <w:r>
        <w:t>Reduce alert noise through incident correlation.</w:t>
      </w:r>
    </w:p>
    <w:p>
      <w:pPr>
        <w:pStyle w:val="ListBullet"/>
      </w:pPr>
      <w:r>
        <w:t>Rank root-cause candidates using temporal, topology, trace, severity, and historical evidence.</w:t>
      </w:r>
    </w:p>
    <w:p>
      <w:pPr>
        <w:pStyle w:val="ListBullet"/>
      </w:pPr>
      <w:r>
        <w:t>Expose interpretable anomaly contributions and confidence.</w:t>
      </w:r>
    </w:p>
    <w:p>
      <w:pPr>
        <w:pStyle w:val="ListBullet"/>
      </w:pPr>
      <w:r>
        <w:t>Create reusable incident memory from outcomes and feedback.</w:t>
      </w:r>
    </w:p>
    <w:p>
      <w:pPr>
        <w:pStyle w:val="ListBullet"/>
      </w:pPr>
      <w:r>
        <w:t>Recommend evidence-backed investigation and allow-listed remediation actions.</w:t>
      </w:r>
    </w:p>
    <w:p>
      <w:pPr>
        <w:pStyle w:val="ListBullet"/>
      </w:pPr>
      <w:r>
        <w:t>Provide repeatable evaluation using labelled fault injection.</w:t>
      </w:r>
    </w:p>
    <w:p>
      <w:pPr>
        <w:pStyle w:val="Heading1"/>
      </w:pPr>
      <w:r>
        <w:t>7. Non-Goals for MVP</w:t>
      </w:r>
    </w:p>
    <w:p>
      <w:pPr>
        <w:pStyle w:val="ListBullet"/>
      </w:pPr>
      <w:r>
        <w:t>Global-scale enterprise replacement.</w:t>
      </w:r>
    </w:p>
    <w:p>
      <w:pPr>
        <w:pStyle w:val="ListBullet"/>
      </w:pPr>
      <w:r>
        <w:t>Guaranteed causal inference. RCA is probabilistic ranking.</w:t>
      </w:r>
    </w:p>
    <w:p>
      <w:pPr>
        <w:pStyle w:val="ListBullet"/>
      </w:pPr>
      <w:r>
        <w:t>Unrestricted shell execution or fully autonomous remediation.</w:t>
      </w:r>
    </w:p>
    <w:p>
      <w:pPr>
        <w:pStyle w:val="ListBullet"/>
      </w:pPr>
      <w:r>
        <w:t>Support for every cloud, language, or telemetry backend.</w:t>
      </w:r>
    </w:p>
    <w:p>
      <w:pPr>
        <w:pStyle w:val="ListBullet"/>
      </w:pPr>
      <w:r>
        <w:t>Large-model training from scratch.</w:t>
      </w:r>
    </w:p>
    <w:p>
      <w:pPr>
        <w:pStyle w:val="ListBullet"/>
      </w:pPr>
      <w:r>
        <w:t>Online self-modifying production models without review and rollback.</w:t>
      </w:r>
    </w:p>
    <w:p>
      <w:pPr>
        <w:pStyle w:val="Heading1"/>
      </w:pPr>
      <w:r>
        <w:t>8. Personas and User Journeys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3360"/>
            <w:shd w:fill="DFE104"/>
            <w:vAlign w:val="center"/>
          </w:tcPr>
          <w:p>
            <w:r>
              <w:rPr>
                <w:b/>
              </w:rPr>
              <w:t>Persona</w:t>
            </w:r>
          </w:p>
        </w:tc>
        <w:tc>
          <w:tcPr>
            <w:tcW w:type="dxa" w:w="3360"/>
            <w:shd w:fill="DFE104"/>
            <w:vAlign w:val="center"/>
          </w:tcPr>
          <w:p>
            <w:r>
              <w:rPr>
                <w:b/>
              </w:rPr>
              <w:t>Primary need</w:t>
            </w:r>
          </w:p>
        </w:tc>
        <w:tc>
          <w:tcPr>
            <w:tcW w:type="dxa" w:w="3360"/>
            <w:shd w:fill="DFE104"/>
            <w:vAlign w:val="center"/>
          </w:tcPr>
          <w:p>
            <w:r>
              <w:rPr>
                <w:b/>
              </w:rPr>
              <w:t>Journey</w:t>
            </w:r>
          </w:p>
        </w:tc>
      </w:tr>
      <w:tr>
        <w:tc>
          <w:tcPr>
            <w:tcW w:type="dxa" w:w="3360"/>
            <w:vAlign w:val="top"/>
          </w:tcPr>
          <w:p>
            <w:r>
              <w:t>On-call engineer</w:t>
            </w:r>
          </w:p>
        </w:tc>
        <w:tc>
          <w:tcPr>
            <w:tcW w:type="dxa" w:w="3360"/>
            <w:vAlign w:val="top"/>
          </w:tcPr>
          <w:p>
            <w:r>
              <w:t>Understand a degradation quickly</w:t>
            </w:r>
          </w:p>
        </w:tc>
        <w:tc>
          <w:tcPr>
            <w:tcW w:type="dxa" w:w="3360"/>
            <w:vAlign w:val="top"/>
          </w:tcPr>
          <w:p>
            <w:r>
              <w:t>Open incident → inspect evidence → compare similar incidents → accept or reject recommendation → record resolution.</w:t>
            </w:r>
          </w:p>
        </w:tc>
      </w:tr>
      <w:tr>
        <w:tc>
          <w:tcPr>
            <w:tcW w:type="dxa" w:w="3360"/>
            <w:vAlign w:val="top"/>
          </w:tcPr>
          <w:p>
            <w:r>
              <w:t>Platform engineer</w:t>
            </w:r>
          </w:p>
        </w:tc>
        <w:tc>
          <w:tcPr>
            <w:tcW w:type="dxa" w:w="3360"/>
            <w:vAlign w:val="top"/>
          </w:tcPr>
          <w:p>
            <w:r>
              <w:t>Reduce recurring operational toil</w:t>
            </w:r>
          </w:p>
        </w:tc>
        <w:tc>
          <w:tcPr>
            <w:tcW w:type="dxa" w:w="3360"/>
            <w:vAlign w:val="top"/>
          </w:tcPr>
          <w:p>
            <w:r>
              <w:t>Review trends → validate recurring fingerprints → improve runbooks and allow-listed actions.</w:t>
            </w:r>
          </w:p>
        </w:tc>
      </w:tr>
      <w:tr>
        <w:tc>
          <w:tcPr>
            <w:tcW w:type="dxa" w:w="3360"/>
            <w:vAlign w:val="top"/>
          </w:tcPr>
          <w:p>
            <w:r>
              <w:t>ML engineer</w:t>
            </w:r>
          </w:p>
        </w:tc>
        <w:tc>
          <w:tcPr>
            <w:tcW w:type="dxa" w:w="3360"/>
            <w:vAlign w:val="top"/>
          </w:tcPr>
          <w:p>
            <w:r>
              <w:t>Measure detector quality</w:t>
            </w:r>
          </w:p>
        </w:tc>
        <w:tc>
          <w:tcPr>
            <w:tcW w:type="dxa" w:w="3360"/>
            <w:vAlign w:val="top"/>
          </w:tcPr>
          <w:p>
            <w:r>
              <w:t>Run labelled scenarios → compare baseline and Isolation Forest → inspect false positives → version model and feature schema.</w:t>
            </w:r>
          </w:p>
        </w:tc>
      </w:tr>
      <w:tr>
        <w:tc>
          <w:tcPr>
            <w:tcW w:type="dxa" w:w="3360"/>
            <w:vAlign w:val="top"/>
          </w:tcPr>
          <w:p>
            <w:r>
              <w:t>Evaluator</w:t>
            </w:r>
          </w:p>
        </w:tc>
        <w:tc>
          <w:tcPr>
            <w:tcW w:type="dxa" w:w="3360"/>
            <w:vAlign w:val="top"/>
          </w:tcPr>
          <w:p>
            <w:r>
              <w:t>Verify working end-to-end system</w:t>
            </w:r>
          </w:p>
        </w:tc>
        <w:tc>
          <w:tcPr>
            <w:tcW w:type="dxa" w:w="3360"/>
            <w:vAlign w:val="top"/>
          </w:tcPr>
          <w:p>
            <w:r>
              <w:t>Inject fault → observe telemetry → inspect incident creation and RCA → verify persistence, audit, and feedback.</w:t>
            </w:r>
          </w:p>
        </w:tc>
      </w:tr>
    </w:tbl>
    <w:p/>
    <w:p>
      <w:pPr>
        <w:pStyle w:val="Heading1"/>
      </w:pPr>
      <w:r>
        <w:t>9. MVP Functional Scope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tblHeader w:val="true"/>
        </w:trPr>
        <w:tc>
          <w:tcPr>
            <w:tcW w:type="dxa" w:w="2520"/>
            <w:shd w:fill="DFE104"/>
            <w:vAlign w:val="center"/>
          </w:tcPr>
          <w:p>
            <w:r>
              <w:rPr>
                <w:b/>
              </w:rPr>
              <w:t>Capability</w:t>
            </w:r>
          </w:p>
        </w:tc>
        <w:tc>
          <w:tcPr>
            <w:tcW w:type="dxa" w:w="2520"/>
            <w:shd w:fill="DFE104"/>
            <w:vAlign w:val="center"/>
          </w:tcPr>
          <w:p>
            <w:r>
              <w:rPr>
                <w:b/>
              </w:rPr>
              <w:t>Requirement</w:t>
            </w:r>
          </w:p>
        </w:tc>
        <w:tc>
          <w:tcPr>
            <w:tcW w:type="dxa" w:w="2520"/>
            <w:shd w:fill="DFE104"/>
            <w:vAlign w:val="center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2520"/>
            <w:shd w:fill="DFE104"/>
            <w:vAlign w:val="center"/>
          </w:tcPr>
          <w:p>
            <w:r>
              <w:rPr>
                <w:b/>
              </w:rPr>
              <w:t>MVP evidence</w:t>
            </w:r>
          </w:p>
        </w:tc>
      </w:tr>
      <w:tr>
        <w:tc>
          <w:tcPr>
            <w:tcW w:type="dxa" w:w="2520"/>
            <w:vAlign w:val="top"/>
          </w:tcPr>
          <w:p>
            <w:r>
              <w:t>Telemetry</w:t>
            </w:r>
          </w:p>
        </w:tc>
        <w:tc>
          <w:tcPr>
            <w:tcW w:type="dxa" w:w="2520"/>
            <w:vAlign w:val="top"/>
          </w:tcPr>
          <w:p>
            <w:r>
              <w:t>Metrics plus service-context links to logs and traces</w:t>
            </w:r>
          </w:p>
        </w:tc>
        <w:tc>
          <w:tcPr>
            <w:tcW w:type="dxa" w:w="2520"/>
            <w:vAlign w:val="top"/>
          </w:tcPr>
          <w:p>
            <w:r>
              <w:t>Must</w:t>
            </w:r>
          </w:p>
        </w:tc>
        <w:tc>
          <w:tcPr>
            <w:tcW w:type="dxa" w:w="2520"/>
            <w:vAlign w:val="top"/>
          </w:tcPr>
          <w:p>
            <w:r>
              <w:t>Prometheus queries and trace/log links visible.</w:t>
            </w:r>
          </w:p>
        </w:tc>
      </w:tr>
      <w:tr>
        <w:tc>
          <w:tcPr>
            <w:tcW w:type="dxa" w:w="2520"/>
            <w:vAlign w:val="top"/>
          </w:tcPr>
          <w:p>
            <w:r>
              <w:t>Feature pipeline</w:t>
            </w:r>
          </w:p>
        </w:tc>
        <w:tc>
          <w:tcPr>
            <w:tcW w:type="dxa" w:w="2520"/>
            <w:vAlign w:val="top"/>
          </w:tcPr>
          <w:p>
            <w:r>
              <w:t>Aligned rolling windows with validated schemas</w:t>
            </w:r>
          </w:p>
        </w:tc>
        <w:tc>
          <w:tcPr>
            <w:tcW w:type="dxa" w:w="2520"/>
            <w:vAlign w:val="top"/>
          </w:tcPr>
          <w:p>
            <w:r>
              <w:t>Must</w:t>
            </w:r>
          </w:p>
        </w:tc>
        <w:tc>
          <w:tcPr>
            <w:tcW w:type="dxa" w:w="2520"/>
            <w:vAlign w:val="top"/>
          </w:tcPr>
          <w:p>
            <w:r>
              <w:t>Versioned feature vector stored with score.</w:t>
            </w:r>
          </w:p>
        </w:tc>
      </w:tr>
      <w:tr>
        <w:tc>
          <w:tcPr>
            <w:tcW w:type="dxa" w:w="2520"/>
            <w:vAlign w:val="top"/>
          </w:tcPr>
          <w:p>
            <w:r>
              <w:t>Anomaly detection</w:t>
            </w:r>
          </w:p>
        </w:tc>
        <w:tc>
          <w:tcPr>
            <w:tcW w:type="dxa" w:w="2520"/>
            <w:vAlign w:val="top"/>
          </w:tcPr>
          <w:p>
            <w:r>
              <w:t>Statistical baseline and Isolation Forest comparison</w:t>
            </w:r>
          </w:p>
        </w:tc>
        <w:tc>
          <w:tcPr>
            <w:tcW w:type="dxa" w:w="2520"/>
            <w:vAlign w:val="top"/>
          </w:tcPr>
          <w:p>
            <w:r>
              <w:t>Must</w:t>
            </w:r>
          </w:p>
        </w:tc>
        <w:tc>
          <w:tcPr>
            <w:tcW w:type="dxa" w:w="2520"/>
            <w:vAlign w:val="top"/>
          </w:tcPr>
          <w:p>
            <w:r>
              <w:t>Score, threshold, contributing features, model version.</w:t>
            </w:r>
          </w:p>
        </w:tc>
      </w:tr>
      <w:tr>
        <w:tc>
          <w:tcPr>
            <w:tcW w:type="dxa" w:w="2520"/>
            <w:vAlign w:val="top"/>
          </w:tcPr>
          <w:p>
            <w:r>
              <w:t>Correlation</w:t>
            </w:r>
          </w:p>
        </w:tc>
        <w:tc>
          <w:tcPr>
            <w:tcW w:type="dxa" w:w="2520"/>
            <w:vAlign w:val="top"/>
          </w:tcPr>
          <w:p>
            <w:r>
              <w:t>Group related anomaly events</w:t>
            </w:r>
          </w:p>
        </w:tc>
        <w:tc>
          <w:tcPr>
            <w:tcW w:type="dxa" w:w="2520"/>
            <w:vAlign w:val="top"/>
          </w:tcPr>
          <w:p>
            <w:r>
              <w:t>Must</w:t>
            </w:r>
          </w:p>
        </w:tc>
        <w:tc>
          <w:tcPr>
            <w:tcW w:type="dxa" w:w="2520"/>
            <w:vAlign w:val="top"/>
          </w:tcPr>
          <w:p>
            <w:r>
              <w:t>Single incident created from propagated symptoms.</w:t>
            </w:r>
          </w:p>
        </w:tc>
      </w:tr>
      <w:tr>
        <w:tc>
          <w:tcPr>
            <w:tcW w:type="dxa" w:w="2520"/>
            <w:vAlign w:val="top"/>
          </w:tcPr>
          <w:p>
            <w:r>
              <w:t>RCA ranking</w:t>
            </w:r>
          </w:p>
        </w:tc>
        <w:tc>
          <w:tcPr>
            <w:tcW w:type="dxa" w:w="2520"/>
            <w:vAlign w:val="top"/>
          </w:tcPr>
          <w:p>
            <w:r>
              <w:t>Top-N probable causes with evidence</w:t>
            </w:r>
          </w:p>
        </w:tc>
        <w:tc>
          <w:tcPr>
            <w:tcW w:type="dxa" w:w="2520"/>
            <w:vAlign w:val="top"/>
          </w:tcPr>
          <w:p>
            <w:r>
              <w:t>Must</w:t>
            </w:r>
          </w:p>
        </w:tc>
        <w:tc>
          <w:tcPr>
            <w:tcW w:type="dxa" w:w="2520"/>
            <w:vAlign w:val="top"/>
          </w:tcPr>
          <w:p>
            <w:r>
              <w:t>Top-1/Top-3 candidates and confidence.</w:t>
            </w:r>
          </w:p>
        </w:tc>
      </w:tr>
      <w:tr>
        <w:tc>
          <w:tcPr>
            <w:tcW w:type="dxa" w:w="2520"/>
            <w:vAlign w:val="top"/>
          </w:tcPr>
          <w:p>
            <w:r>
              <w:t>Incident memory</w:t>
            </w:r>
          </w:p>
        </w:tc>
        <w:tc>
          <w:tcPr>
            <w:tcW w:type="dxa" w:w="2520"/>
            <w:vAlign w:val="top"/>
          </w:tcPr>
          <w:p>
            <w:r>
              <w:t>Persist incidents, feedback, and outcomes</w:t>
            </w:r>
          </w:p>
        </w:tc>
        <w:tc>
          <w:tcPr>
            <w:tcW w:type="dxa" w:w="2520"/>
            <w:vAlign w:val="top"/>
          </w:tcPr>
          <w:p>
            <w:r>
              <w:t>Must</w:t>
            </w:r>
          </w:p>
        </w:tc>
        <w:tc>
          <w:tcPr>
            <w:tcW w:type="dxa" w:w="2520"/>
            <w:vAlign w:val="top"/>
          </w:tcPr>
          <w:p>
            <w:r>
              <w:t>MongoDB record survives restart.</w:t>
            </w:r>
          </w:p>
        </w:tc>
      </w:tr>
      <w:tr>
        <w:tc>
          <w:tcPr>
            <w:tcW w:type="dxa" w:w="2520"/>
            <w:vAlign w:val="top"/>
          </w:tcPr>
          <w:p>
            <w:r>
              <w:t>Similarity retrieval</w:t>
            </w:r>
          </w:p>
        </w:tc>
        <w:tc>
          <w:tcPr>
            <w:tcW w:type="dxa" w:w="2520"/>
            <w:vAlign w:val="top"/>
          </w:tcPr>
          <w:p>
            <w:r>
              <w:t>Find relevant historical incidents</w:t>
            </w:r>
          </w:p>
        </w:tc>
        <w:tc>
          <w:tcPr>
            <w:tcW w:type="dxa" w:w="2520"/>
            <w:vAlign w:val="top"/>
          </w:tcPr>
          <w:p>
            <w:r>
              <w:t>Should</w:t>
            </w:r>
          </w:p>
        </w:tc>
        <w:tc>
          <w:tcPr>
            <w:tcW w:type="dxa" w:w="2520"/>
            <w:vAlign w:val="top"/>
          </w:tcPr>
          <w:p>
            <w:r>
              <w:t>Hybrid fingerprint/vector or weighted feature similarity.</w:t>
            </w:r>
          </w:p>
        </w:tc>
      </w:tr>
      <w:tr>
        <w:tc>
          <w:tcPr>
            <w:tcW w:type="dxa" w:w="2520"/>
            <w:vAlign w:val="top"/>
          </w:tcPr>
          <w:p>
            <w:r>
              <w:t>Recommendation</w:t>
            </w:r>
          </w:p>
        </w:tc>
        <w:tc>
          <w:tcPr>
            <w:tcW w:type="dxa" w:w="2520"/>
            <w:vAlign w:val="top"/>
          </w:tcPr>
          <w:p>
            <w:r>
              <w:t>Investigation and safe action suggestions</w:t>
            </w:r>
          </w:p>
        </w:tc>
        <w:tc>
          <w:tcPr>
            <w:tcW w:type="dxa" w:w="2520"/>
            <w:vAlign w:val="top"/>
          </w:tcPr>
          <w:p>
            <w:r>
              <w:t>Should</w:t>
            </w:r>
          </w:p>
        </w:tc>
        <w:tc>
          <w:tcPr>
            <w:tcW w:type="dxa" w:w="2520"/>
            <w:vAlign w:val="top"/>
          </w:tcPr>
          <w:p>
            <w:r>
              <w:t>Recommendation cites current and historical evidence.</w:t>
            </w:r>
          </w:p>
        </w:tc>
      </w:tr>
      <w:tr>
        <w:tc>
          <w:tcPr>
            <w:tcW w:type="dxa" w:w="2520"/>
            <w:vAlign w:val="top"/>
          </w:tcPr>
          <w:p>
            <w:r>
              <w:t>Feedback loop</w:t>
            </w:r>
          </w:p>
        </w:tc>
        <w:tc>
          <w:tcPr>
            <w:tcW w:type="dxa" w:w="2520"/>
            <w:vAlign w:val="top"/>
          </w:tcPr>
          <w:p>
            <w:r>
              <w:t>Confirm/reject cause and record resolution</w:t>
            </w:r>
          </w:p>
        </w:tc>
        <w:tc>
          <w:tcPr>
            <w:tcW w:type="dxa" w:w="2520"/>
            <w:vAlign w:val="top"/>
          </w:tcPr>
          <w:p>
            <w:r>
              <w:t>Must</w:t>
            </w:r>
          </w:p>
        </w:tc>
        <w:tc>
          <w:tcPr>
            <w:tcW w:type="dxa" w:w="2520"/>
            <w:vAlign w:val="top"/>
          </w:tcPr>
          <w:p>
            <w:r>
              <w:t>Feedback affects evaluation and future retrieval metadata.</w:t>
            </w:r>
          </w:p>
        </w:tc>
      </w:tr>
      <w:tr>
        <w:tc>
          <w:tcPr>
            <w:tcW w:type="dxa" w:w="2520"/>
            <w:vAlign w:val="top"/>
          </w:tcPr>
          <w:p>
            <w:r>
              <w:t>Remediation</w:t>
            </w:r>
          </w:p>
        </w:tc>
        <w:tc>
          <w:tcPr>
            <w:tcW w:type="dxa" w:w="2520"/>
            <w:vAlign w:val="top"/>
          </w:tcPr>
          <w:p>
            <w:r>
              <w:t>Human-approved allow-listed actions</w:t>
            </w:r>
          </w:p>
        </w:tc>
        <w:tc>
          <w:tcPr>
            <w:tcW w:type="dxa" w:w="2520"/>
            <w:vAlign w:val="top"/>
          </w:tcPr>
          <w:p>
            <w:r>
              <w:t>Should</w:t>
            </w:r>
          </w:p>
        </w:tc>
        <w:tc>
          <w:tcPr>
            <w:tcW w:type="dxa" w:w="2520"/>
            <w:vAlign w:val="top"/>
          </w:tcPr>
          <w:p>
            <w:r>
              <w:t>No execution without authorization and approval.</w:t>
            </w:r>
          </w:p>
        </w:tc>
      </w:tr>
      <w:tr>
        <w:tc>
          <w:tcPr>
            <w:tcW w:type="dxa" w:w="2520"/>
            <w:vAlign w:val="top"/>
          </w:tcPr>
          <w:p>
            <w:r>
              <w:t>LLM summary</w:t>
            </w:r>
          </w:p>
        </w:tc>
        <w:tc>
          <w:tcPr>
            <w:tcW w:type="dxa" w:w="2520"/>
            <w:vAlign w:val="top"/>
          </w:tcPr>
          <w:p>
            <w:r>
              <w:t>Grounded incident explanation</w:t>
            </w:r>
          </w:p>
        </w:tc>
        <w:tc>
          <w:tcPr>
            <w:tcW w:type="dxa" w:w="2520"/>
            <w:vAlign w:val="top"/>
          </w:tcPr>
          <w:p>
            <w:r>
              <w:t>Could</w:t>
            </w:r>
          </w:p>
        </w:tc>
        <w:tc>
          <w:tcPr>
            <w:tcW w:type="dxa" w:w="2520"/>
            <w:vAlign w:val="top"/>
          </w:tcPr>
          <w:p>
            <w:r>
              <w:t>Summary references structured evidence; no unsupported claims.</w:t>
            </w:r>
          </w:p>
        </w:tc>
      </w:tr>
    </w:tbl>
    <w:p/>
    <w:p>
      <w:pPr>
        <w:pStyle w:val="Heading1"/>
      </w:pPr>
      <w:r>
        <w:t>10. Product Requirements by Pipeline</w:t>
      </w:r>
    </w:p>
    <w:p>
      <w:pPr>
        <w:pStyle w:val="Heading2"/>
      </w:pPr>
      <w:r>
        <w:t>10.1 Detection</w:t>
      </w:r>
    </w:p>
    <w:p>
      <w:pPr>
        <w:pStyle w:val="ListBullet"/>
      </w:pPr>
      <w:r>
        <w:t>Poll or receive telemetry at a configurable interval.</w:t>
      </w:r>
    </w:p>
    <w:p>
      <w:pPr>
        <w:pStyle w:val="ListBullet"/>
      </w:pPr>
      <w:r>
        <w:t>Validate missing values, stale windows, and schema mismatch.</w:t>
      </w:r>
    </w:p>
    <w:p>
      <w:pPr>
        <w:pStyle w:val="ListBullet"/>
      </w:pPr>
      <w:r>
        <w:t>Score each monitored service or entity.</w:t>
      </w:r>
    </w:p>
    <w:p>
      <w:pPr>
        <w:pStyle w:val="ListBullet"/>
      </w:pPr>
      <w:r>
        <w:t>Store score, threshold, contributing features, and model metadata.</w:t>
      </w:r>
    </w:p>
    <w:p>
      <w:pPr>
        <w:pStyle w:val="Heading2"/>
      </w:pPr>
      <w:r>
        <w:t>10.2 Correlation</w:t>
      </w:r>
    </w:p>
    <w:p>
      <w:pPr>
        <w:pStyle w:val="ListBullet"/>
      </w:pPr>
      <w:r>
        <w:t>Use temporal overlap, affected service, dependency adjacency, and shared trace evidence.</w:t>
      </w:r>
    </w:p>
    <w:p>
      <w:pPr>
        <w:pStyle w:val="ListBullet"/>
      </w:pPr>
      <w:r>
        <w:t>Maintain incident lifecycle states: open, investigating, mitigated, resolved, closed.</w:t>
      </w:r>
    </w:p>
    <w:p>
      <w:pPr>
        <w:pStyle w:val="ListBullet"/>
      </w:pPr>
      <w:r>
        <w:t>Prevent duplicate incident creation using a configurable merge window.</w:t>
      </w:r>
    </w:p>
    <w:p>
      <w:pPr>
        <w:pStyle w:val="Heading2"/>
      </w:pPr>
      <w:r>
        <w:t>10.3 RCA</w:t>
      </w:r>
    </w:p>
    <w:p>
      <w:pPr>
        <w:pStyle w:val="ListBullet"/>
      </w:pPr>
      <w:r>
        <w:t>Score candidates with a transparent weighted model.</w:t>
      </w:r>
    </w:p>
    <w:p>
      <w:pPr>
        <w:pStyle w:val="ListBullet"/>
      </w:pPr>
      <w:r>
        <w:t>Show evidence per candidate rather than only a final label.</w:t>
      </w:r>
    </w:p>
    <w:p>
      <w:pPr>
        <w:pStyle w:val="ListBullet"/>
      </w:pPr>
      <w:r>
        <w:t>Measure Top-1 and Top-3 accuracy against injected-fault labels.</w:t>
      </w:r>
    </w:p>
    <w:p>
      <w:pPr>
        <w:pStyle w:val="Heading2"/>
      </w:pPr>
      <w:r>
        <w:t>10.4 Incident Memory</w:t>
      </w:r>
    </w:p>
    <w:p>
      <w:pPr>
        <w:pStyle w:val="ListBullet"/>
      </w:pPr>
      <w:r>
        <w:t>Create a normalized fingerprint from affected services, anomaly features, topology, and fault category.</w:t>
      </w:r>
    </w:p>
    <w:p>
      <w:pPr>
        <w:pStyle w:val="ListBullet"/>
      </w:pPr>
      <w:r>
        <w:t>Store final diagnosis, resolution, effectiveness, and engineer feedback.</w:t>
      </w:r>
    </w:p>
    <w:p>
      <w:pPr>
        <w:pStyle w:val="Heading2"/>
      </w:pPr>
      <w:r>
        <w:t>10.5 Recommendation</w:t>
      </w:r>
    </w:p>
    <w:p>
      <w:pPr>
        <w:pStyle w:val="ListBullet"/>
      </w:pPr>
      <w:r>
        <w:t>Return investigative checks before remediation.</w:t>
      </w:r>
    </w:p>
    <w:p>
      <w:pPr>
        <w:pStyle w:val="ListBullet"/>
      </w:pPr>
      <w:r>
        <w:t>Use only approved runbooks and historical outcomes.</w:t>
      </w:r>
    </w:p>
    <w:p>
      <w:pPr>
        <w:pStyle w:val="ListBullet"/>
      </w:pPr>
      <w:r>
        <w:t>Clearly separate generated explanation from executable action.</w:t>
      </w:r>
    </w:p>
    <w:p>
      <w:pPr>
        <w:pStyle w:val="Heading2"/>
      </w:pPr>
      <w:r>
        <w:t>10.6 Feedback</w:t>
      </w:r>
    </w:p>
    <w:p>
      <w:pPr>
        <w:pStyle w:val="ListBullet"/>
      </w:pPr>
      <w:r>
        <w:t>Capture confirmed cause, rejected causes, chosen action, outcome, and notes.</w:t>
      </w:r>
    </w:p>
    <w:p>
      <w:pPr>
        <w:pStyle w:val="ListBullet"/>
      </w:pPr>
      <w:r>
        <w:t>Use feedback for offline threshold tuning, retrieval weighting, and RCA calibration; do not silently retrain in the MVP.</w:t>
      </w:r>
    </w:p>
    <w:p>
      <w:pPr>
        <w:pStyle w:val="Heading1"/>
      </w:pPr>
      <w:r>
        <w:t>11. Success Metrics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3360"/>
            <w:shd w:fill="DFE104"/>
            <w:vAlign w:val="center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3360"/>
            <w:shd w:fill="DFE104"/>
            <w:vAlign w:val="center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3360"/>
            <w:shd w:fill="DFE104"/>
            <w:vAlign w:val="center"/>
          </w:tcPr>
          <w:p>
            <w:r>
              <w:rPr>
                <w:b/>
              </w:rPr>
              <w:t>MVP target / interpretation</w:t>
            </w:r>
          </w:p>
        </w:tc>
      </w:tr>
      <w:tr>
        <w:tc>
          <w:tcPr>
            <w:tcW w:type="dxa" w:w="3360"/>
            <w:vAlign w:val="top"/>
          </w:tcPr>
          <w:p>
            <w:r>
              <w:t>Detection</w:t>
            </w:r>
          </w:p>
        </w:tc>
        <w:tc>
          <w:tcPr>
            <w:tcW w:type="dxa" w:w="3360"/>
            <w:vAlign w:val="top"/>
          </w:tcPr>
          <w:p>
            <w:r>
              <w:t>Precision, recall, F1, false-positive rate</w:t>
            </w:r>
          </w:p>
        </w:tc>
        <w:tc>
          <w:tcPr>
            <w:tcW w:type="dxa" w:w="3360"/>
            <w:vAlign w:val="top"/>
          </w:tcPr>
          <w:p>
            <w:r>
              <w:t>Report per fault type; target is reproducible improvement over static baseline.</w:t>
            </w:r>
          </w:p>
        </w:tc>
      </w:tr>
      <w:tr>
        <w:tc>
          <w:tcPr>
            <w:tcW w:type="dxa" w:w="3360"/>
            <w:vAlign w:val="top"/>
          </w:tcPr>
          <w:p>
            <w:r>
              <w:t>Speed</w:t>
            </w:r>
          </w:p>
        </w:tc>
        <w:tc>
          <w:tcPr>
            <w:tcW w:type="dxa" w:w="3360"/>
            <w:vAlign w:val="top"/>
          </w:tcPr>
          <w:p>
            <w:r>
              <w:t>MTTD and telemetry-to-incident latency</w:t>
            </w:r>
          </w:p>
        </w:tc>
        <w:tc>
          <w:tcPr>
            <w:tcW w:type="dxa" w:w="3360"/>
            <w:vAlign w:val="top"/>
          </w:tcPr>
          <w:p>
            <w:r>
              <w:t>Near-real-time in local lab; target ≤ 30 seconds for scheduled scoring.</w:t>
            </w:r>
          </w:p>
        </w:tc>
      </w:tr>
      <w:tr>
        <w:tc>
          <w:tcPr>
            <w:tcW w:type="dxa" w:w="3360"/>
            <w:vAlign w:val="top"/>
          </w:tcPr>
          <w:p>
            <w:r>
              <w:t>Correlation</w:t>
            </w:r>
          </w:p>
        </w:tc>
        <w:tc>
          <w:tcPr>
            <w:tcW w:type="dxa" w:w="3360"/>
            <w:vAlign w:val="top"/>
          </w:tcPr>
          <w:p>
            <w:r>
              <w:t>Duplicate alert reduction</w:t>
            </w:r>
          </w:p>
        </w:tc>
        <w:tc>
          <w:tcPr>
            <w:tcW w:type="dxa" w:w="3360"/>
            <w:vAlign w:val="top"/>
          </w:tcPr>
          <w:p>
            <w:r>
              <w:t>Measure events merged into one labelled incident.</w:t>
            </w:r>
          </w:p>
        </w:tc>
      </w:tr>
      <w:tr>
        <w:tc>
          <w:tcPr>
            <w:tcW w:type="dxa" w:w="3360"/>
            <w:vAlign w:val="top"/>
          </w:tcPr>
          <w:p>
            <w:r>
              <w:t>RCA</w:t>
            </w:r>
          </w:p>
        </w:tc>
        <w:tc>
          <w:tcPr>
            <w:tcW w:type="dxa" w:w="3360"/>
            <w:vAlign w:val="top"/>
          </w:tcPr>
          <w:p>
            <w:r>
              <w:t>Top-1 and Top-3 accuracy</w:t>
            </w:r>
          </w:p>
        </w:tc>
        <w:tc>
          <w:tcPr>
            <w:tcW w:type="dxa" w:w="3360"/>
            <w:vAlign w:val="top"/>
          </w:tcPr>
          <w:p>
            <w:r>
              <w:t>Top-3 is the primary MVP success metric.</w:t>
            </w:r>
          </w:p>
        </w:tc>
      </w:tr>
      <w:tr>
        <w:tc>
          <w:tcPr>
            <w:tcW w:type="dxa" w:w="3360"/>
            <w:vAlign w:val="top"/>
          </w:tcPr>
          <w:p>
            <w:r>
              <w:t>Diagnosis</w:t>
            </w:r>
          </w:p>
        </w:tc>
        <w:tc>
          <w:tcPr>
            <w:tcW w:type="dxa" w:w="3360"/>
            <w:vAlign w:val="top"/>
          </w:tcPr>
          <w:p>
            <w:r>
              <w:t>Mean time to diagnosis</w:t>
            </w:r>
          </w:p>
        </w:tc>
        <w:tc>
          <w:tcPr>
            <w:tcW w:type="dxa" w:w="3360"/>
            <w:vAlign w:val="top"/>
          </w:tcPr>
          <w:p>
            <w:r>
              <w:t>Compare assisted vs manual demo workflow where practical.</w:t>
            </w:r>
          </w:p>
        </w:tc>
      </w:tr>
      <w:tr>
        <w:tc>
          <w:tcPr>
            <w:tcW w:type="dxa" w:w="3360"/>
            <w:vAlign w:val="top"/>
          </w:tcPr>
          <w:p>
            <w:r>
              <w:t>Retrieval</w:t>
            </w:r>
          </w:p>
        </w:tc>
        <w:tc>
          <w:tcPr>
            <w:tcW w:type="dxa" w:w="3360"/>
            <w:vAlign w:val="top"/>
          </w:tcPr>
          <w:p>
            <w:r>
              <w:t>Top-k relevance</w:t>
            </w:r>
          </w:p>
        </w:tc>
        <w:tc>
          <w:tcPr>
            <w:tcW w:type="dxa" w:w="3360"/>
            <w:vAlign w:val="top"/>
          </w:tcPr>
          <w:p>
            <w:r>
              <w:t>At least one relevant prior case in Top-3 for repeated scenarios.</w:t>
            </w:r>
          </w:p>
        </w:tc>
      </w:tr>
      <w:tr>
        <w:tc>
          <w:tcPr>
            <w:tcW w:type="dxa" w:w="3360"/>
            <w:vAlign w:val="top"/>
          </w:tcPr>
          <w:p>
            <w:r>
              <w:t>Safety</w:t>
            </w:r>
          </w:p>
        </w:tc>
        <w:tc>
          <w:tcPr>
            <w:tcW w:type="dxa" w:w="3360"/>
            <w:vAlign w:val="top"/>
          </w:tcPr>
          <w:p>
            <w:r>
              <w:t>Unauthorized remediation count</w:t>
            </w:r>
          </w:p>
        </w:tc>
        <w:tc>
          <w:tcPr>
            <w:tcW w:type="dxa" w:w="3360"/>
            <w:vAlign w:val="top"/>
          </w:tcPr>
          <w:p>
            <w:r>
              <w:t>Must remain zero.</w:t>
            </w:r>
          </w:p>
        </w:tc>
      </w:tr>
      <w:tr>
        <w:tc>
          <w:tcPr>
            <w:tcW w:type="dxa" w:w="3360"/>
            <w:vAlign w:val="top"/>
          </w:tcPr>
          <w:p>
            <w:r>
              <w:t>Reliability</w:t>
            </w:r>
          </w:p>
        </w:tc>
        <w:tc>
          <w:tcPr>
            <w:tcW w:type="dxa" w:w="3360"/>
            <w:vAlign w:val="top"/>
          </w:tcPr>
          <w:p>
            <w:r>
              <w:t>Core telemetry availability during ML failure</w:t>
            </w:r>
          </w:p>
        </w:tc>
        <w:tc>
          <w:tcPr>
            <w:tcW w:type="dxa" w:w="3360"/>
            <w:vAlign w:val="top"/>
          </w:tcPr>
          <w:p>
            <w:r>
              <w:t>Raw dashboards continue operating.</w:t>
            </w:r>
          </w:p>
        </w:tc>
      </w:tr>
    </w:tbl>
    <w:p/>
    <w:p>
      <w:pPr>
        <w:pStyle w:val="Heading1"/>
      </w:pPr>
      <w:r>
        <w:t>12. Acceptance Criteria</w:t>
      </w:r>
    </w:p>
    <w:p>
      <w:pPr>
        <w:pStyle w:val="ListBullet"/>
      </w:pPr>
      <w:r>
        <w:t>One command starts the MVP through Docker Compose.</w:t>
      </w:r>
    </w:p>
    <w:p>
      <w:pPr>
        <w:pStyle w:val="ListBullet"/>
      </w:pPr>
      <w:r>
        <w:t>At least six controlled fault scenarios are repeatable.</w:t>
      </w:r>
    </w:p>
    <w:p>
      <w:pPr>
        <w:pStyle w:val="ListBullet"/>
      </w:pPr>
      <w:r>
        <w:t>A fault causes visible telemetry deviation and an anomaly score.</w:t>
      </w:r>
    </w:p>
    <w:p>
      <w:pPr>
        <w:pStyle w:val="ListBullet"/>
      </w:pPr>
      <w:r>
        <w:t>Related anomalies form one incident with ranked root-cause candidates.</w:t>
      </w:r>
    </w:p>
    <w:p>
      <w:pPr>
        <w:pStyle w:val="ListBullet"/>
      </w:pPr>
      <w:r>
        <w:t>Each candidate contains human-readable evidence and confidence.</w:t>
      </w:r>
    </w:p>
    <w:p>
      <w:pPr>
        <w:pStyle w:val="ListBullet"/>
      </w:pPr>
      <w:r>
        <w:t>Incidents, feedback, model metadata, and remediation audits persist.</w:t>
      </w:r>
    </w:p>
    <w:p>
      <w:pPr>
        <w:pStyle w:val="ListBullet"/>
      </w:pPr>
      <w:r>
        <w:t>A recommendation cannot execute without authentication, authorization, approval, and allow-list validation.</w:t>
      </w:r>
    </w:p>
    <w:p>
      <w:pPr>
        <w:pStyle w:val="ListBullet"/>
      </w:pPr>
      <w:r>
        <w:t>All critical services expose health and metrics endpoints.</w:t>
      </w:r>
    </w:p>
    <w:p>
      <w:pPr>
        <w:pStyle w:val="ListBullet"/>
      </w:pPr>
      <w:r>
        <w:t>Demo and evaluation results are documented and reproducible.</w:t>
      </w:r>
    </w:p>
    <w:p>
      <w:pPr>
        <w:pStyle w:val="Heading1"/>
      </w:pPr>
      <w:r>
        <w:t>13. Delivery Phases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3360"/>
            <w:shd w:fill="DFE104"/>
            <w:vAlign w:val="center"/>
          </w:tcPr>
          <w:p>
            <w:r>
              <w:rPr>
                <w:b/>
              </w:rPr>
              <w:t>Phase</w:t>
            </w:r>
          </w:p>
        </w:tc>
        <w:tc>
          <w:tcPr>
            <w:tcW w:type="dxa" w:w="3360"/>
            <w:shd w:fill="DFE104"/>
            <w:vAlign w:val="center"/>
          </w:tcPr>
          <w:p>
            <w:r>
              <w:rPr>
                <w:b/>
              </w:rPr>
              <w:t>Output</w:t>
            </w:r>
          </w:p>
        </w:tc>
        <w:tc>
          <w:tcPr>
            <w:tcW w:type="dxa" w:w="3360"/>
            <w:shd w:fill="DFE104"/>
            <w:vAlign w:val="center"/>
          </w:tcPr>
          <w:p>
            <w:r>
              <w:rPr>
                <w:b/>
              </w:rPr>
              <w:t>Exit condition</w:t>
            </w:r>
          </w:p>
        </w:tc>
      </w:tr>
      <w:tr>
        <w:tc>
          <w:tcPr>
            <w:tcW w:type="dxa" w:w="3360"/>
            <w:vAlign w:val="top"/>
          </w:tcPr>
          <w:p>
            <w:r>
              <w:t>0 — Foundation</w:t>
            </w:r>
          </w:p>
        </w:tc>
        <w:tc>
          <w:tcPr>
            <w:tcW w:type="dxa" w:w="3360"/>
            <w:vAlign w:val="top"/>
          </w:tcPr>
          <w:p>
            <w:r>
              <w:t>Repo, standards, CI, Compose skeleton</w:t>
            </w:r>
          </w:p>
        </w:tc>
        <w:tc>
          <w:tcPr>
            <w:tcW w:type="dxa" w:w="3360"/>
            <w:vAlign w:val="top"/>
          </w:tcPr>
          <w:p>
            <w:r>
              <w:t>All services build and health-check.</w:t>
            </w:r>
          </w:p>
        </w:tc>
      </w:tr>
      <w:tr>
        <w:tc>
          <w:tcPr>
            <w:tcW w:type="dxa" w:w="3360"/>
            <w:vAlign w:val="top"/>
          </w:tcPr>
          <w:p>
            <w:r>
              <w:t>1 — Demo system</w:t>
            </w:r>
          </w:p>
        </w:tc>
        <w:tc>
          <w:tcPr>
            <w:tcW w:type="dxa" w:w="3360"/>
            <w:vAlign w:val="top"/>
          </w:tcPr>
          <w:p>
            <w:r>
              <w:t>API gateway, order service, MongoDB, load/fault generator</w:t>
            </w:r>
          </w:p>
        </w:tc>
        <w:tc>
          <w:tcPr>
            <w:tcW w:type="dxa" w:w="3360"/>
            <w:vAlign w:val="top"/>
          </w:tcPr>
          <w:p>
            <w:r>
              <w:t>Normal and fault traffic is repeatable.</w:t>
            </w:r>
          </w:p>
        </w:tc>
      </w:tr>
      <w:tr>
        <w:tc>
          <w:tcPr>
            <w:tcW w:type="dxa" w:w="3360"/>
            <w:vAlign w:val="top"/>
          </w:tcPr>
          <w:p>
            <w:r>
              <w:t>2 — Observability</w:t>
            </w:r>
          </w:p>
        </w:tc>
        <w:tc>
          <w:tcPr>
            <w:tcW w:type="dxa" w:w="3360"/>
            <w:vAlign w:val="top"/>
          </w:tcPr>
          <w:p>
            <w:r>
              <w:t>Prometheus, Grafana, OTel, traces/logs</w:t>
            </w:r>
          </w:p>
        </w:tc>
        <w:tc>
          <w:tcPr>
            <w:tcW w:type="dxa" w:w="3360"/>
            <w:vAlign w:val="top"/>
          </w:tcPr>
          <w:p>
            <w:r>
              <w:t>Cross-service context is visible.</w:t>
            </w:r>
          </w:p>
        </w:tc>
      </w:tr>
      <w:tr>
        <w:tc>
          <w:tcPr>
            <w:tcW w:type="dxa" w:w="3360"/>
            <w:vAlign w:val="top"/>
          </w:tcPr>
          <w:p>
            <w:r>
              <w:t>3 — ML</w:t>
            </w:r>
          </w:p>
        </w:tc>
        <w:tc>
          <w:tcPr>
            <w:tcW w:type="dxa" w:w="3360"/>
            <w:vAlign w:val="top"/>
          </w:tcPr>
          <w:p>
            <w:r>
              <w:t>Features, baseline, Isolation Forest, evaluation</w:t>
            </w:r>
          </w:p>
        </w:tc>
        <w:tc>
          <w:tcPr>
            <w:tcW w:type="dxa" w:w="3360"/>
            <w:vAlign w:val="top"/>
          </w:tcPr>
          <w:p>
            <w:r>
              <w:t>Versioned scores and benchmark report.</w:t>
            </w:r>
          </w:p>
        </w:tc>
      </w:tr>
      <w:tr>
        <w:tc>
          <w:tcPr>
            <w:tcW w:type="dxa" w:w="3360"/>
            <w:vAlign w:val="top"/>
          </w:tcPr>
          <w:p>
            <w:r>
              <w:t>4 — Incident intelligence</w:t>
            </w:r>
          </w:p>
        </w:tc>
        <w:tc>
          <w:tcPr>
            <w:tcW w:type="dxa" w:w="3360"/>
            <w:vAlign w:val="top"/>
          </w:tcPr>
          <w:p>
            <w:r>
              <w:t>Correlation and RCA</w:t>
            </w:r>
          </w:p>
        </w:tc>
        <w:tc>
          <w:tcPr>
            <w:tcW w:type="dxa" w:w="3360"/>
            <w:vAlign w:val="top"/>
          </w:tcPr>
          <w:p>
            <w:r>
              <w:t>Fault creates one explainable incident.</w:t>
            </w:r>
          </w:p>
        </w:tc>
      </w:tr>
      <w:tr>
        <w:tc>
          <w:tcPr>
            <w:tcW w:type="dxa" w:w="3360"/>
            <w:vAlign w:val="top"/>
          </w:tcPr>
          <w:p>
            <w:r>
              <w:t>5 — Memory and recommendations</w:t>
            </w:r>
          </w:p>
        </w:tc>
        <w:tc>
          <w:tcPr>
            <w:tcW w:type="dxa" w:w="3360"/>
            <w:vAlign w:val="top"/>
          </w:tcPr>
          <w:p>
            <w:r>
              <w:t>Similarity retrieval, feedback, runbooks</w:t>
            </w:r>
          </w:p>
        </w:tc>
        <w:tc>
          <w:tcPr>
            <w:tcW w:type="dxa" w:w="3360"/>
            <w:vAlign w:val="top"/>
          </w:tcPr>
          <w:p>
            <w:r>
              <w:t>Past case influences recommendation.</w:t>
            </w:r>
          </w:p>
        </w:tc>
      </w:tr>
      <w:tr>
        <w:tc>
          <w:tcPr>
            <w:tcW w:type="dxa" w:w="3360"/>
            <w:vAlign w:val="top"/>
          </w:tcPr>
          <w:p>
            <w:r>
              <w:t>6 — Safe remediation</w:t>
            </w:r>
          </w:p>
        </w:tc>
        <w:tc>
          <w:tcPr>
            <w:tcW w:type="dxa" w:w="3360"/>
            <w:vAlign w:val="top"/>
          </w:tcPr>
          <w:p>
            <w:r>
              <w:t>Approval, RBAC, allow-list, audit</w:t>
            </w:r>
          </w:p>
        </w:tc>
        <w:tc>
          <w:tcPr>
            <w:tcW w:type="dxa" w:w="3360"/>
            <w:vAlign w:val="top"/>
          </w:tcPr>
          <w:p>
            <w:r>
              <w:t>Safe demo action executed and verified.</w:t>
            </w:r>
          </w:p>
        </w:tc>
      </w:tr>
      <w:tr>
        <w:tc>
          <w:tcPr>
            <w:tcW w:type="dxa" w:w="3360"/>
            <w:vAlign w:val="top"/>
          </w:tcPr>
          <w:p>
            <w:r>
              <w:t>7 — Product polish</w:t>
            </w:r>
          </w:p>
        </w:tc>
        <w:tc>
          <w:tcPr>
            <w:tcW w:type="dxa" w:w="3360"/>
            <w:vAlign w:val="top"/>
          </w:tcPr>
          <w:p>
            <w:r>
              <w:t>UI, docs, demo script, tests</w:t>
            </w:r>
          </w:p>
        </w:tc>
        <w:tc>
          <w:tcPr>
            <w:tcW w:type="dxa" w:w="3360"/>
            <w:vAlign w:val="top"/>
          </w:tcPr>
          <w:p>
            <w:r>
              <w:t>Panel-ready end-to-end demonstration.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B7280"/>
        <w:sz w:val="16"/>
      </w:rPr>
      <w:t>AegisOps — Self-Learning AI SRE Platform | Final-Year Project Documentation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9090B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9090B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09090B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09090B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ptos" w:hAnsi="Aptos"/>
      <w:b w:val="0"/>
      <w:i/>
      <w:iCs/>
      <w:color w:val="3F3F46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80" w:after="140"/>
      <w:ind w:left="288"/>
    </w:pPr>
    <w:rPr>
      <w:rFonts w:ascii="Consolas" w:hAnsi="Consolas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