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9090B"/>
          <w:sz w:val="56"/>
        </w:rPr>
        <w:t>Implementation Playbook and Coding-Agent Guide</w:t>
      </w:r>
    </w:p>
    <w:p>
      <w:pPr>
        <w:jc w:val="center"/>
      </w:pPr>
      <w:r>
        <w:rPr>
          <w:i/>
          <w:color w:val="3F3F46"/>
          <w:sz w:val="22"/>
        </w:rPr>
        <w:t>A phased, test-first build plan with task contracts, quality gates, recovery rules, and definition of done</w:t>
      </w:r>
    </w:p>
    <w:p>
      <w:pPr>
        <w:jc w:val="center"/>
      </w:pPr>
      <w:r>
        <w:rPr>
          <w:b/>
          <w:color w:val="6B7280"/>
          <w:sz w:val="18"/>
        </w:rPr>
        <w:t>AEGISOPS  •  VERSION 2.0  •  JULY 2026</w:t>
      </w:r>
    </w:p>
    <w:p/>
    <w:p>
      <w:pPr>
        <w:pStyle w:val="Heading1"/>
      </w:pPr>
      <w:r>
        <w:t>1. Purpose</w:t>
      </w:r>
    </w:p>
    <w:p>
      <w:r>
        <w:t>This guide tells a human developer or coding agent exactly what to build, in what order, how to validate it, and how to recover from errors without making uncontrolled changes. The agent should complete one bounded task at a time and leave the repository in a passing state.</w:t>
      </w:r>
    </w:p>
    <w:p>
      <w:pPr>
        <w:pStyle w:val="Heading1"/>
      </w:pPr>
      <w:r>
        <w:t>2. Agent Operating Rules</w:t>
      </w:r>
    </w:p>
    <w:p>
      <w:pPr>
        <w:pStyle w:val="ListBullet"/>
      </w:pPr>
      <w:r>
        <w:t>Inspect existing files, conventions, dependencies, and tests before editing.</w:t>
      </w:r>
    </w:p>
    <w:p>
      <w:pPr>
        <w:pStyle w:val="ListBullet"/>
      </w:pPr>
      <w:r>
        <w:t>Never rewrite unrelated files to solve a local issue.</w:t>
      </w:r>
    </w:p>
    <w:p>
      <w:pPr>
        <w:pStyle w:val="ListBullet"/>
      </w:pPr>
      <w:r>
        <w:t>Create or update tests with each behavior change.</w:t>
      </w:r>
    </w:p>
    <w:p>
      <w:pPr>
        <w:pStyle w:val="ListBullet"/>
      </w:pPr>
      <w:r>
        <w:t>Run the smallest relevant checks first, then the full quality gate.</w:t>
      </w:r>
    </w:p>
    <w:p>
      <w:pPr>
        <w:pStyle w:val="ListBullet"/>
      </w:pPr>
      <w:r>
        <w:t>Do not hide failures by deleting tests, weakening assertions, disabling lint rules, or swallowing exceptions.</w:t>
      </w:r>
    </w:p>
    <w:p>
      <w:pPr>
        <w:pStyle w:val="ListBullet"/>
      </w:pPr>
      <w:r>
        <w:t>Do not add arbitrary shell execution or secrets.</w:t>
      </w:r>
    </w:p>
    <w:p>
      <w:pPr>
        <w:pStyle w:val="ListBullet"/>
      </w:pPr>
      <w:r>
        <w:t>When a fix fails twice, revert the speculative change, preserve logs, isolate the root cause, and choose a smaller repair.</w:t>
      </w:r>
    </w:p>
    <w:p>
      <w:pPr>
        <w:pStyle w:val="ListBullet"/>
      </w:pPr>
      <w:r>
        <w:t>Every task ends with a concise change report, commands run, test results, and remaining risks.</w:t>
      </w:r>
    </w:p>
    <w:p>
      <w:pPr>
        <w:pStyle w:val="Heading1"/>
      </w:pPr>
      <w:r>
        <w:t>3. Standard Task Contract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FE104"/>
            <w:vAlign w:val="center"/>
          </w:tcPr>
          <w:p>
            <w:r>
              <w:rPr>
                <w:b/>
              </w:rPr>
              <w:t>Field</w:t>
            </w:r>
          </w:p>
        </w:tc>
        <w:tc>
          <w:tcPr>
            <w:tcW w:type="dxa" w:w="5040"/>
            <w:shd w:fill="DFE104"/>
            <w:vAlign w:val="center"/>
          </w:tcPr>
          <w:p>
            <w:r>
              <w:rPr>
                <w:b/>
              </w:rPr>
              <w:t>Required content</w:t>
            </w:r>
          </w:p>
        </w:tc>
      </w:tr>
      <w:tr>
        <w:tc>
          <w:tcPr>
            <w:tcW w:type="dxa" w:w="5040"/>
            <w:vAlign w:val="top"/>
          </w:tcPr>
          <w:p>
            <w:r>
              <w:t>Goal</w:t>
            </w:r>
          </w:p>
        </w:tc>
        <w:tc>
          <w:tcPr>
            <w:tcW w:type="dxa" w:w="5040"/>
            <w:vAlign w:val="top"/>
          </w:tcPr>
          <w:p>
            <w:r>
              <w:t>One observable behavior.</w:t>
            </w:r>
          </w:p>
        </w:tc>
      </w:tr>
      <w:tr>
        <w:tc>
          <w:tcPr>
            <w:tcW w:type="dxa" w:w="5040"/>
            <w:vAlign w:val="top"/>
          </w:tcPr>
          <w:p>
            <w:r>
              <w:t>Inputs</w:t>
            </w:r>
          </w:p>
        </w:tc>
        <w:tc>
          <w:tcPr>
            <w:tcW w:type="dxa" w:w="5040"/>
            <w:vAlign w:val="top"/>
          </w:tcPr>
          <w:p>
            <w:r>
              <w:t>Files, APIs, schemas, and dependencies.</w:t>
            </w:r>
          </w:p>
        </w:tc>
      </w:tr>
      <w:tr>
        <w:tc>
          <w:tcPr>
            <w:tcW w:type="dxa" w:w="5040"/>
            <w:vAlign w:val="top"/>
          </w:tcPr>
          <w:p>
            <w:r>
              <w:t>Outputs</w:t>
            </w:r>
          </w:p>
        </w:tc>
        <w:tc>
          <w:tcPr>
            <w:tcW w:type="dxa" w:w="5040"/>
            <w:vAlign w:val="top"/>
          </w:tcPr>
          <w:p>
            <w:r>
              <w:t>Code, tests, docs, migrations, dashboards.</w:t>
            </w:r>
          </w:p>
        </w:tc>
      </w:tr>
      <w:tr>
        <w:tc>
          <w:tcPr>
            <w:tcW w:type="dxa" w:w="5040"/>
            <w:vAlign w:val="top"/>
          </w:tcPr>
          <w:p>
            <w:r>
              <w:t>Constraints</w:t>
            </w:r>
          </w:p>
        </w:tc>
        <w:tc>
          <w:tcPr>
            <w:tcW w:type="dxa" w:w="5040"/>
            <w:vAlign w:val="top"/>
          </w:tcPr>
          <w:p>
            <w:r>
              <w:t>Security, performance, compatibility, and non-goals.</w:t>
            </w:r>
          </w:p>
        </w:tc>
      </w:tr>
      <w:tr>
        <w:tc>
          <w:tcPr>
            <w:tcW w:type="dxa" w:w="5040"/>
            <w:vAlign w:val="top"/>
          </w:tcPr>
          <w:p>
            <w:r>
              <w:t>Acceptance tests</w:t>
            </w:r>
          </w:p>
        </w:tc>
        <w:tc>
          <w:tcPr>
            <w:tcW w:type="dxa" w:w="5040"/>
            <w:vAlign w:val="top"/>
          </w:tcPr>
          <w:p>
            <w:r>
              <w:t>Exact automated or manual checks.</w:t>
            </w:r>
          </w:p>
        </w:tc>
      </w:tr>
      <w:tr>
        <w:tc>
          <w:tcPr>
            <w:tcW w:type="dxa" w:w="5040"/>
            <w:vAlign w:val="top"/>
          </w:tcPr>
          <w:p>
            <w:r>
              <w:t>Rollback</w:t>
            </w:r>
          </w:p>
        </w:tc>
        <w:tc>
          <w:tcPr>
            <w:tcW w:type="dxa" w:w="5040"/>
            <w:vAlign w:val="top"/>
          </w:tcPr>
          <w:p>
            <w:r>
              <w:t>Files or commit to restore if gate fails.</w:t>
            </w:r>
          </w:p>
        </w:tc>
      </w:tr>
      <w:tr>
        <w:tc>
          <w:tcPr>
            <w:tcW w:type="dxa" w:w="5040"/>
            <w:vAlign w:val="top"/>
          </w:tcPr>
          <w:p>
            <w:r>
              <w:t>Evidence</w:t>
            </w:r>
          </w:p>
        </w:tc>
        <w:tc>
          <w:tcPr>
            <w:tcW w:type="dxa" w:w="5040"/>
            <w:vAlign w:val="top"/>
          </w:tcPr>
          <w:p>
            <w:r>
              <w:t>Logs, screenshots, JSON, or metrics proving completion.</w:t>
            </w:r>
          </w:p>
        </w:tc>
      </w:tr>
    </w:tbl>
    <w:p/>
    <w:p>
      <w:pPr>
        <w:pStyle w:val="Heading1"/>
      </w:pPr>
      <w:r>
        <w:t>4. Error-Recovery Loop</w:t>
      </w:r>
    </w:p>
    <w:p>
      <w:pPr>
        <w:pStyle w:val="CodeBlock"/>
      </w:pPr>
      <w:r>
        <w:t>1. Reproduce the failure with the smallest command or test.</w:t>
        <w:br/>
        <w:t>2. Capture exact error, stack trace, environment, and changed files.</w:t>
        <w:br/>
        <w:t>3. Classify: syntax/type, dependency, configuration, contract, data, logic, timing, or infrastructure.</w:t>
        <w:br/>
        <w:t>4. Form one hypothesis and make the smallest reversible patch.</w:t>
        <w:br/>
        <w:t>5. Re-run the failing check only.</w:t>
        <w:br/>
        <w:t>6. If it passes, run adjacent tests, then full gate.</w:t>
        <w:br/>
        <w:t>7. If it fails, revert that patch before trying a different hypothesis.</w:t>
        <w:br/>
        <w:t>8. Never “fix” by suppressing the signal.</w:t>
        <w:br/>
        <w:t>9. Record root cause and prevention test.</w:t>
        <w:br/>
        <w:t>10. Stop automated remediation for destructive, security-sensitive, migration, or ambiguous failures and require human review.</w:t>
      </w:r>
    </w:p>
    <w:p>
      <w:pPr>
        <w:pStyle w:val="Heading1"/>
      </w:pPr>
      <w:r>
        <w:t>5. Global Quality Gate</w:t>
      </w:r>
    </w:p>
    <w:p>
      <w:pPr>
        <w:pStyle w:val="ListBullet"/>
      </w:pPr>
      <w:r>
        <w:t>Formatting and lint pass.</w:t>
      </w:r>
    </w:p>
    <w:p>
      <w:pPr>
        <w:pStyle w:val="ListBullet"/>
      </w:pPr>
      <w:r>
        <w:t>Static types pass where configured.</w:t>
      </w:r>
    </w:p>
    <w:p>
      <w:pPr>
        <w:pStyle w:val="ListBullet"/>
      </w:pPr>
      <w:r>
        <w:t>Unit tests pass.</w:t>
      </w:r>
    </w:p>
    <w:p>
      <w:pPr>
        <w:pStyle w:val="ListBullet"/>
      </w:pPr>
      <w:r>
        <w:t>Integration tests for touched contracts pass.</w:t>
      </w:r>
    </w:p>
    <w:p>
      <w:pPr>
        <w:pStyle w:val="ListBullet"/>
      </w:pPr>
      <w:r>
        <w:t>No secrets or unsafe command surfaces added.</w:t>
      </w:r>
    </w:p>
    <w:p>
      <w:pPr>
        <w:pStyle w:val="ListBullet"/>
      </w:pPr>
      <w:r>
        <w:t>Docker images build.</w:t>
      </w:r>
    </w:p>
    <w:p>
      <w:pPr>
        <w:pStyle w:val="ListBullet"/>
      </w:pPr>
      <w:r>
        <w:t>Compose health checks pass for affected profile.</w:t>
      </w:r>
    </w:p>
    <w:p>
      <w:pPr>
        <w:pStyle w:val="ListBullet"/>
      </w:pPr>
      <w:r>
        <w:t>API schema remains compatible or versioned.</w:t>
      </w:r>
    </w:p>
    <w:p>
      <w:pPr>
        <w:pStyle w:val="ListBullet"/>
      </w:pPr>
      <w:r>
        <w:t>Documentation and example configuration are updated.</w:t>
      </w:r>
    </w:p>
    <w:p>
      <w:pPr>
        <w:pStyle w:val="Heading1"/>
      </w:pPr>
      <w:r>
        <w:t>6. Phased Build Plan</w:t>
      </w:r>
    </w:p>
    <w:p>
      <w:pPr>
        <w:pStyle w:val="Heading2"/>
      </w:pPr>
      <w:r>
        <w:t>Phase 0 — Repository foundation</w:t>
      </w:r>
    </w:p>
    <w:p>
      <w:pPr>
        <w:pStyle w:val="ListNumber"/>
      </w:pPr>
      <w:r>
        <w:t>Create monorepo folders and ownership boundaries.</w:t>
      </w:r>
    </w:p>
    <w:p>
      <w:pPr>
        <w:pStyle w:val="ListNumber"/>
      </w:pPr>
      <w:r>
        <w:t>Add .env.example, configuration loader, structured logging, correlation IDs, health/readiness endpoints.</w:t>
      </w:r>
    </w:p>
    <w:p>
      <w:pPr>
        <w:pStyle w:val="ListNumber"/>
      </w:pPr>
      <w:r>
        <w:t>Create CI for lint, type, unit tests, dependency/security scan.</w:t>
      </w:r>
    </w:p>
    <w:p>
      <w:pPr>
        <w:pStyle w:val="ListNumber"/>
      </w:pPr>
      <w:r>
        <w:t>Add shared contracts and versioning policy.</w:t>
      </w:r>
    </w:p>
    <w:p>
      <w:pPr>
        <w:pStyle w:val="Heading2"/>
      </w:pPr>
      <w:r>
        <w:t>Phase 1 — Demo microservices</w:t>
      </w:r>
    </w:p>
    <w:p>
      <w:pPr>
        <w:pStyle w:val="ListNumber"/>
      </w:pPr>
      <w:r>
        <w:t>Build API gateway and order service with MongoDB dependency.</w:t>
      </w:r>
    </w:p>
    <w:p>
      <w:pPr>
        <w:pStyle w:val="ListNumber"/>
      </w:pPr>
      <w:r>
        <w:t>Instrument HTTP and database operations.</w:t>
      </w:r>
    </w:p>
    <w:p>
      <w:pPr>
        <w:pStyle w:val="ListNumber"/>
      </w:pPr>
      <w:r>
        <w:t>Create deterministic seed data, normal load, and six labelled fault scenarios.</w:t>
      </w:r>
    </w:p>
    <w:p>
      <w:pPr>
        <w:pStyle w:val="ListNumber"/>
      </w:pPr>
      <w:r>
        <w:t>Expose /faults/inject only in dev profile.</w:t>
      </w:r>
    </w:p>
    <w:p>
      <w:pPr>
        <w:pStyle w:val="Heading2"/>
      </w:pPr>
      <w:r>
        <w:t>Phase 2 — Observability</w:t>
      </w:r>
    </w:p>
    <w:p>
      <w:pPr>
        <w:pStyle w:val="ListNumber"/>
      </w:pPr>
      <w:r>
        <w:t>Configure Prometheus scrape targets and dashboards.</w:t>
      </w:r>
    </w:p>
    <w:p>
      <w:pPr>
        <w:pStyle w:val="ListNumber"/>
      </w:pPr>
      <w:r>
        <w:t>Add OpenTelemetry context propagation.</w:t>
      </w:r>
    </w:p>
    <w:p>
      <w:pPr>
        <w:pStyle w:val="ListNumber"/>
      </w:pPr>
      <w:r>
        <w:t>Send traces to Tempo/Jaeger and logs to Loki.</w:t>
      </w:r>
    </w:p>
    <w:p>
      <w:pPr>
        <w:pStyle w:val="ListNumber"/>
      </w:pPr>
      <w:r>
        <w:t>Create service health, latency, traffic, error, DB, and trace panels.</w:t>
      </w:r>
    </w:p>
    <w:p>
      <w:pPr>
        <w:pStyle w:val="Heading2"/>
      </w:pPr>
      <w:r>
        <w:t>Phase 3 — Feature pipeline</w:t>
      </w:r>
    </w:p>
    <w:p>
      <w:pPr>
        <w:pStyle w:val="ListNumber"/>
      </w:pPr>
      <w:r>
        <w:t>Implement Prometheus query adapter.</w:t>
      </w:r>
    </w:p>
    <w:p>
      <w:pPr>
        <w:pStyle w:val="ListNumber"/>
      </w:pPr>
      <w:r>
        <w:t>Align windows and calculate schema-versioned features.</w:t>
      </w:r>
    </w:p>
    <w:p>
      <w:pPr>
        <w:pStyle w:val="ListNumber"/>
      </w:pPr>
      <w:r>
        <w:t>Implement missing/stale data validation.</w:t>
      </w:r>
    </w:p>
    <w:p>
      <w:pPr>
        <w:pStyle w:val="ListNumber"/>
      </w:pPr>
      <w:r>
        <w:t>Persist fixtures for repeatable tests.</w:t>
      </w:r>
    </w:p>
    <w:p>
      <w:pPr>
        <w:pStyle w:val="Heading2"/>
      </w:pPr>
      <w:r>
        <w:t>Phase 4 — ML</w:t>
      </w:r>
    </w:p>
    <w:p>
      <w:pPr>
        <w:pStyle w:val="ListNumber"/>
      </w:pPr>
      <w:r>
        <w:t>Implement baseline and Isolation Forest adapters behind one interface.</w:t>
      </w:r>
    </w:p>
    <w:p>
      <w:pPr>
        <w:pStyle w:val="ListNumber"/>
      </w:pPr>
      <w:r>
        <w:t>Build training/evaluation CLI and registry metadata.</w:t>
      </w:r>
    </w:p>
    <w:p>
      <w:pPr>
        <w:pStyle w:val="ListNumber"/>
      </w:pPr>
      <w:r>
        <w:t>Calibrate thresholds and generate benchmark report.</w:t>
      </w:r>
    </w:p>
    <w:p>
      <w:pPr>
        <w:pStyle w:val="ListNumber"/>
      </w:pPr>
      <w:r>
        <w:t>Serve inference with score explanation.</w:t>
      </w:r>
    </w:p>
    <w:p>
      <w:pPr>
        <w:pStyle w:val="Heading2"/>
      </w:pPr>
      <w:r>
        <w:t>Phase 5 — Correlation and RCA</w:t>
      </w:r>
    </w:p>
    <w:p>
      <w:pPr>
        <w:pStyle w:val="ListNumber"/>
      </w:pPr>
      <w:r>
        <w:t>Create idempotent anomaly event contract.</w:t>
      </w:r>
    </w:p>
    <w:p>
      <w:pPr>
        <w:pStyle w:val="ListNumber"/>
      </w:pPr>
      <w:r>
        <w:t>Implement merge window and topology grouping.</w:t>
      </w:r>
    </w:p>
    <w:p>
      <w:pPr>
        <w:pStyle w:val="ListNumber"/>
      </w:pPr>
      <w:r>
        <w:t>Build candidate generation and weighted evidence ranking.</w:t>
      </w:r>
    </w:p>
    <w:p>
      <w:pPr>
        <w:pStyle w:val="ListNumber"/>
      </w:pPr>
      <w:r>
        <w:t>Expose evidence breakdown and Top-1/Top-3 evaluation.</w:t>
      </w:r>
    </w:p>
    <w:p>
      <w:pPr>
        <w:pStyle w:val="Heading2"/>
      </w:pPr>
      <w:r>
        <w:t>Phase 6 — Memory and recommendations</w:t>
      </w:r>
    </w:p>
    <w:p>
      <w:pPr>
        <w:pStyle w:val="ListNumber"/>
      </w:pPr>
      <w:r>
        <w:t>Implement incident fingerprint and structured similarity.</w:t>
      </w:r>
    </w:p>
    <w:p>
      <w:pPr>
        <w:pStyle w:val="ListNumber"/>
      </w:pPr>
      <w:r>
        <w:t>Optionally add embeddings for notes.</w:t>
      </w:r>
    </w:p>
    <w:p>
      <w:pPr>
        <w:pStyle w:val="ListNumber"/>
      </w:pPr>
      <w:r>
        <w:t>Create approved runbook registry.</w:t>
      </w:r>
    </w:p>
    <w:p>
      <w:pPr>
        <w:pStyle w:val="ListNumber"/>
      </w:pPr>
      <w:r>
        <w:t>Generate investigation-first recommendations with provenance.</w:t>
      </w:r>
    </w:p>
    <w:p>
      <w:pPr>
        <w:pStyle w:val="Heading2"/>
      </w:pPr>
      <w:r>
        <w:t>Phase 7 — Feedback and remediation</w:t>
      </w:r>
    </w:p>
    <w:p>
      <w:pPr>
        <w:pStyle w:val="ListNumber"/>
      </w:pPr>
      <w:r>
        <w:t>Add incident feedback lifecycle.</w:t>
      </w:r>
    </w:p>
    <w:p>
      <w:pPr>
        <w:pStyle w:val="ListNumber"/>
      </w:pPr>
      <w:r>
        <w:t>Implement RBAC, approval, allow-list, parameter schema, execution, verification, rollback, audit.</w:t>
      </w:r>
    </w:p>
    <w:p>
      <w:pPr>
        <w:pStyle w:val="ListNumber"/>
      </w:pPr>
      <w:r>
        <w:t>Use only low-risk demo actions such as restart a demo container or adjust a controlled load flag.</w:t>
      </w:r>
    </w:p>
    <w:p>
      <w:pPr>
        <w:pStyle w:val="Heading2"/>
      </w:pPr>
      <w:r>
        <w:t>Phase 8 — UI and product polish</w:t>
      </w:r>
    </w:p>
    <w:p>
      <w:pPr>
        <w:pStyle w:val="ListNumber"/>
      </w:pPr>
      <w:r>
        <w:t>Build design tokens and primitives first.</w:t>
      </w:r>
    </w:p>
    <w:p>
      <w:pPr>
        <w:pStyle w:val="ListNumber"/>
      </w:pPr>
      <w:r>
        <w:t>Implement incident list, detail, timeline, RCA evidence, similar cases, feedback, recommendation, approval, audit.</w:t>
      </w:r>
    </w:p>
    <w:p>
      <w:pPr>
        <w:pStyle w:val="ListNumber"/>
      </w:pPr>
      <w:r>
        <w:t>Integrate deep links to Grafana/trace/log views.</w:t>
      </w:r>
    </w:p>
    <w:p>
      <w:pPr>
        <w:pStyle w:val="ListNumber"/>
      </w:pPr>
      <w:r>
        <w:t>Add reduced-motion and responsive tests.</w:t>
      </w:r>
    </w:p>
    <w:p>
      <w:pPr>
        <w:pStyle w:val="Heading2"/>
      </w:pPr>
      <w:r>
        <w:t>Phase 9 — Evaluation and demo</w:t>
      </w:r>
    </w:p>
    <w:p>
      <w:pPr>
        <w:pStyle w:val="ListNumber"/>
      </w:pPr>
      <w:r>
        <w:t>Automate scenario runs and metrics collection.</w:t>
      </w:r>
    </w:p>
    <w:p>
      <w:pPr>
        <w:pStyle w:val="ListNumber"/>
      </w:pPr>
      <w:r>
        <w:t>Generate detector, RCA, retrieval, latency, and safety results.</w:t>
      </w:r>
    </w:p>
    <w:p>
      <w:pPr>
        <w:pStyle w:val="ListNumber"/>
      </w:pPr>
      <w:r>
        <w:t>Prepare a deterministic panel demo script and fallback recordings/screenshots.</w:t>
      </w:r>
    </w:p>
    <w:p>
      <w:pPr>
        <w:pStyle w:val="Heading1"/>
      </w:pPr>
      <w:r>
        <w:t>7. Task Breakdown Template for the Coding Agent</w:t>
      </w:r>
    </w:p>
    <w:p>
      <w:pPr>
        <w:pStyle w:val="CodeBlock"/>
      </w:pPr>
      <w:r>
        <w:t>TASK: &lt;single behavior&gt;</w:t>
        <w:br/>
        <w:t>CONTEXT: &lt;relevant architecture and existing files&gt;</w:t>
        <w:br/>
        <w:t>READ FIRST: &lt;exact files&gt;</w:t>
        <w:br/>
        <w:t>IMPLEMENT:</w:t>
        <w:br/>
        <w:t xml:space="preserve">  - &lt;bounded changes&gt;</w:t>
        <w:br/>
        <w:t>DO NOT CHANGE:</w:t>
        <w:br/>
        <w:t xml:space="preserve">  - &lt;unrelated modules&gt;</w:t>
        <w:br/>
        <w:t>TESTS:</w:t>
        <w:br/>
        <w:t xml:space="preserve">  - &lt;exact commands and expected result&gt;</w:t>
        <w:br/>
        <w:t>ACCEPTANCE:</w:t>
        <w:br/>
        <w:t xml:space="preserve">  - &lt;observable outcome&gt;</w:t>
        <w:br/>
        <w:t>RECOVERY:</w:t>
        <w:br/>
        <w:t xml:space="preserve">  - Revert speculative patch if failing.</w:t>
        <w:br/>
        <w:t xml:space="preserve">  - Preserve logs and report root cause.</w:t>
        <w:br/>
        <w:t>DELIVER:</w:t>
        <w:br/>
        <w:t xml:space="preserve">  - Changed files</w:t>
        <w:br/>
        <w:t xml:space="preserve">  - Test output summary</w:t>
        <w:br/>
        <w:t xml:space="preserve">  - Remaining risk</w:t>
      </w:r>
    </w:p>
    <w:p>
      <w:pPr>
        <w:pStyle w:val="Heading1"/>
      </w:pPr>
      <w:r>
        <w:t>8. Definition of Done by Capability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FE104"/>
            <w:vAlign w:val="center"/>
          </w:tcPr>
          <w:p>
            <w:r>
              <w:rPr>
                <w:b/>
              </w:rPr>
              <w:t>Capability</w:t>
            </w:r>
          </w:p>
        </w:tc>
        <w:tc>
          <w:tcPr>
            <w:tcW w:type="dxa" w:w="5040"/>
            <w:shd w:fill="DFE104"/>
            <w:vAlign w:val="center"/>
          </w:tcPr>
          <w:p>
            <w:r>
              <w:rPr>
                <w:b/>
              </w:rPr>
              <w:t>Definition of done</w:t>
            </w:r>
          </w:p>
        </w:tc>
      </w:tr>
      <w:tr>
        <w:tc>
          <w:tcPr>
            <w:tcW w:type="dxa" w:w="5040"/>
            <w:vAlign w:val="top"/>
          </w:tcPr>
          <w:p>
            <w:r>
              <w:t>Telemetry</w:t>
            </w:r>
          </w:p>
        </w:tc>
        <w:tc>
          <w:tcPr>
            <w:tcW w:type="dxa" w:w="5040"/>
            <w:vAlign w:val="top"/>
          </w:tcPr>
          <w:p>
            <w:r>
              <w:t>A request can be followed across metrics, logs, and traces with consistent service identifiers.</w:t>
            </w:r>
          </w:p>
        </w:tc>
      </w:tr>
      <w:tr>
        <w:tc>
          <w:tcPr>
            <w:tcW w:type="dxa" w:w="5040"/>
            <w:vAlign w:val="top"/>
          </w:tcPr>
          <w:p>
            <w:r>
              <w:t>Features</w:t>
            </w:r>
          </w:p>
        </w:tc>
        <w:tc>
          <w:tcPr>
            <w:tcW w:type="dxa" w:w="5040"/>
            <w:vAlign w:val="top"/>
          </w:tcPr>
          <w:p>
            <w:r>
              <w:t>Golden input produces deterministic feature JSON and schema hash.</w:t>
            </w:r>
          </w:p>
        </w:tc>
      </w:tr>
      <w:tr>
        <w:tc>
          <w:tcPr>
            <w:tcW w:type="dxa" w:w="5040"/>
            <w:vAlign w:val="top"/>
          </w:tcPr>
          <w:p>
            <w:r>
              <w:t>Anomaly</w:t>
            </w:r>
          </w:p>
        </w:tc>
        <w:tc>
          <w:tcPr>
            <w:tcW w:type="dxa" w:w="5040"/>
            <w:vAlign w:val="top"/>
          </w:tcPr>
          <w:p>
            <w:r>
              <w:t>Labelled fault scores above threshold and explanation identifies dominant deviations.</w:t>
            </w:r>
          </w:p>
        </w:tc>
      </w:tr>
      <w:tr>
        <w:tc>
          <w:tcPr>
            <w:tcW w:type="dxa" w:w="5040"/>
            <w:vAlign w:val="top"/>
          </w:tcPr>
          <w:p>
            <w:r>
              <w:t>Correlation</w:t>
            </w:r>
          </w:p>
        </w:tc>
        <w:tc>
          <w:tcPr>
            <w:tcW w:type="dxa" w:w="5040"/>
            <w:vAlign w:val="top"/>
          </w:tcPr>
          <w:p>
            <w:r>
              <w:t>One injected dependency fault creates one incident, not multiple duplicates.</w:t>
            </w:r>
          </w:p>
        </w:tc>
      </w:tr>
      <w:tr>
        <w:tc>
          <w:tcPr>
            <w:tcW w:type="dxa" w:w="5040"/>
            <w:vAlign w:val="top"/>
          </w:tcPr>
          <w:p>
            <w:r>
              <w:t>RCA</w:t>
            </w:r>
          </w:p>
        </w:tc>
        <w:tc>
          <w:tcPr>
            <w:tcW w:type="dxa" w:w="5040"/>
            <w:vAlign w:val="top"/>
          </w:tcPr>
          <w:p>
            <w:r>
              <w:t>True injected cause appears in Top-3 with evidence.</w:t>
            </w:r>
          </w:p>
        </w:tc>
      </w:tr>
      <w:tr>
        <w:tc>
          <w:tcPr>
            <w:tcW w:type="dxa" w:w="5040"/>
            <w:vAlign w:val="top"/>
          </w:tcPr>
          <w:p>
            <w:r>
              <w:t>Memory</w:t>
            </w:r>
          </w:p>
        </w:tc>
        <w:tc>
          <w:tcPr>
            <w:tcW w:type="dxa" w:w="5040"/>
            <w:vAlign w:val="top"/>
          </w:tcPr>
          <w:p>
            <w:r>
              <w:t>Repeated scenario retrieves the prior resolved case in Top-3.</w:t>
            </w:r>
          </w:p>
        </w:tc>
      </w:tr>
      <w:tr>
        <w:tc>
          <w:tcPr>
            <w:tcW w:type="dxa" w:w="5040"/>
            <w:vAlign w:val="top"/>
          </w:tcPr>
          <w:p>
            <w:r>
              <w:t>Recommendation</w:t>
            </w:r>
          </w:p>
        </w:tc>
        <w:tc>
          <w:tcPr>
            <w:tcW w:type="dxa" w:w="5040"/>
            <w:vAlign w:val="top"/>
          </w:tcPr>
          <w:p>
            <w:r>
              <w:t>Suggestion includes evidence and approved runbook provenance.</w:t>
            </w:r>
          </w:p>
        </w:tc>
      </w:tr>
      <w:tr>
        <w:tc>
          <w:tcPr>
            <w:tcW w:type="dxa" w:w="5040"/>
            <w:vAlign w:val="top"/>
          </w:tcPr>
          <w:p>
            <w:r>
              <w:t>Remediation</w:t>
            </w:r>
          </w:p>
        </w:tc>
        <w:tc>
          <w:tcPr>
            <w:tcW w:type="dxa" w:w="5040"/>
            <w:vAlign w:val="top"/>
          </w:tcPr>
          <w:p>
            <w:r>
              <w:t>Unapproved action is rejected; approved action is audited and verified.</w:t>
            </w:r>
          </w:p>
        </w:tc>
      </w:tr>
      <w:tr>
        <w:tc>
          <w:tcPr>
            <w:tcW w:type="dxa" w:w="5040"/>
            <w:vAlign w:val="top"/>
          </w:tcPr>
          <w:p>
            <w:r>
              <w:t>UI</w:t>
            </w:r>
          </w:p>
        </w:tc>
        <w:tc>
          <w:tcPr>
            <w:tcW w:type="dxa" w:w="5040"/>
            <w:vAlign w:val="top"/>
          </w:tcPr>
          <w:p>
            <w:r>
              <w:t>Keyboard-accessible workflow displays live, stale, loading, empty, degraded, and error states.</w:t>
            </w:r>
          </w:p>
        </w:tc>
      </w:tr>
      <w:tr>
        <w:tc>
          <w:tcPr>
            <w:tcW w:type="dxa" w:w="5040"/>
            <w:vAlign w:val="top"/>
          </w:tcPr>
          <w:p>
            <w:r>
              <w:t>Demo</w:t>
            </w:r>
          </w:p>
        </w:tc>
        <w:tc>
          <w:tcPr>
            <w:tcW w:type="dxa" w:w="5040"/>
            <w:vAlign w:val="top"/>
          </w:tcPr>
          <w:p>
            <w:r>
              <w:t>Fresh clone can run documented scenario and reproduce result.</w:t>
            </w:r>
          </w:p>
        </w:tc>
      </w:tr>
    </w:tbl>
    <w:p/>
    <w:p>
      <w:pPr>
        <w:pStyle w:val="Heading1"/>
      </w:pPr>
      <w:r>
        <w:t>9. Suggested Sprint Order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FE104"/>
            <w:vAlign w:val="center"/>
          </w:tcPr>
          <w:p>
            <w:r>
              <w:rPr>
                <w:b/>
              </w:rPr>
              <w:t>Sprint</w:t>
            </w:r>
          </w:p>
        </w:tc>
        <w:tc>
          <w:tcPr>
            <w:tcW w:type="dxa" w:w="3360"/>
            <w:shd w:fill="DFE104"/>
            <w:vAlign w:val="center"/>
          </w:tcPr>
          <w:p>
            <w:r>
              <w:rPr>
                <w:b/>
              </w:rPr>
              <w:t>Focus</w:t>
            </w:r>
          </w:p>
        </w:tc>
        <w:tc>
          <w:tcPr>
            <w:tcW w:type="dxa" w:w="3360"/>
            <w:shd w:fill="DFE104"/>
            <w:vAlign w:val="center"/>
          </w:tcPr>
          <w:p>
            <w:r>
              <w:rPr>
                <w:b/>
              </w:rPr>
              <w:t>Panel-visible outcome</w:t>
            </w:r>
          </w:p>
        </w:tc>
      </w:tr>
      <w:tr>
        <w:tc>
          <w:tcPr>
            <w:tcW w:type="dxa" w:w="3360"/>
            <w:vAlign w:val="top"/>
          </w:tcPr>
          <w:p>
            <w:r>
              <w:t>1</w:t>
            </w:r>
          </w:p>
        </w:tc>
        <w:tc>
          <w:tcPr>
            <w:tcW w:type="dxa" w:w="3360"/>
            <w:vAlign w:val="top"/>
          </w:tcPr>
          <w:p>
            <w:r>
              <w:t>Foundation + demo services</w:t>
            </w:r>
          </w:p>
        </w:tc>
        <w:tc>
          <w:tcPr>
            <w:tcW w:type="dxa" w:w="3360"/>
            <w:vAlign w:val="top"/>
          </w:tcPr>
          <w:p>
            <w:r>
              <w:t>Working microservice system and repeatable traffic.</w:t>
            </w:r>
          </w:p>
        </w:tc>
      </w:tr>
      <w:tr>
        <w:tc>
          <w:tcPr>
            <w:tcW w:type="dxa" w:w="3360"/>
            <w:vAlign w:val="top"/>
          </w:tcPr>
          <w:p>
            <w:r>
              <w:t>2</w:t>
            </w:r>
          </w:p>
        </w:tc>
        <w:tc>
          <w:tcPr>
            <w:tcW w:type="dxa" w:w="3360"/>
            <w:vAlign w:val="top"/>
          </w:tcPr>
          <w:p>
            <w:r>
              <w:t>Observability</w:t>
            </w:r>
          </w:p>
        </w:tc>
        <w:tc>
          <w:tcPr>
            <w:tcW w:type="dxa" w:w="3360"/>
            <w:vAlign w:val="top"/>
          </w:tcPr>
          <w:p>
            <w:r>
              <w:t>Professional dashboards with logs/traces.</w:t>
            </w:r>
          </w:p>
        </w:tc>
      </w:tr>
      <w:tr>
        <w:tc>
          <w:tcPr>
            <w:tcW w:type="dxa" w:w="3360"/>
            <w:vAlign w:val="top"/>
          </w:tcPr>
          <w:p>
            <w:r>
              <w:t>3</w:t>
            </w:r>
          </w:p>
        </w:tc>
        <w:tc>
          <w:tcPr>
            <w:tcW w:type="dxa" w:w="3360"/>
            <w:vAlign w:val="top"/>
          </w:tcPr>
          <w:p>
            <w:r>
              <w:t>Feature + anomaly pipeline</w:t>
            </w:r>
          </w:p>
        </w:tc>
        <w:tc>
          <w:tcPr>
            <w:tcW w:type="dxa" w:w="3360"/>
            <w:vAlign w:val="top"/>
          </w:tcPr>
          <w:p>
            <w:r>
              <w:t>Live explainable anomaly scores.</w:t>
            </w:r>
          </w:p>
        </w:tc>
      </w:tr>
      <w:tr>
        <w:tc>
          <w:tcPr>
            <w:tcW w:type="dxa" w:w="3360"/>
            <w:vAlign w:val="top"/>
          </w:tcPr>
          <w:p>
            <w:r>
              <w:t>4</w:t>
            </w:r>
          </w:p>
        </w:tc>
        <w:tc>
          <w:tcPr>
            <w:tcW w:type="dxa" w:w="3360"/>
            <w:vAlign w:val="top"/>
          </w:tcPr>
          <w:p>
            <w:r>
              <w:t>Correlation + RCA</w:t>
            </w:r>
          </w:p>
        </w:tc>
        <w:tc>
          <w:tcPr>
            <w:tcW w:type="dxa" w:w="3360"/>
            <w:vAlign w:val="top"/>
          </w:tcPr>
          <w:p>
            <w:r>
              <w:t>One incident with ranked probable cause.</w:t>
            </w:r>
          </w:p>
        </w:tc>
      </w:tr>
      <w:tr>
        <w:tc>
          <w:tcPr>
            <w:tcW w:type="dxa" w:w="3360"/>
            <w:vAlign w:val="top"/>
          </w:tcPr>
          <w:p>
            <w:r>
              <w:t>5</w:t>
            </w:r>
          </w:p>
        </w:tc>
        <w:tc>
          <w:tcPr>
            <w:tcW w:type="dxa" w:w="3360"/>
            <w:vAlign w:val="top"/>
          </w:tcPr>
          <w:p>
            <w:r>
              <w:t>Memory + recommendation</w:t>
            </w:r>
          </w:p>
        </w:tc>
        <w:tc>
          <w:tcPr>
            <w:tcW w:type="dxa" w:w="3360"/>
            <w:vAlign w:val="top"/>
          </w:tcPr>
          <w:p>
            <w:r>
              <w:t>Similar incident and next action.</w:t>
            </w:r>
          </w:p>
        </w:tc>
      </w:tr>
      <w:tr>
        <w:tc>
          <w:tcPr>
            <w:tcW w:type="dxa" w:w="3360"/>
            <w:vAlign w:val="top"/>
          </w:tcPr>
          <w:p>
            <w:r>
              <w:t>6</w:t>
            </w:r>
          </w:p>
        </w:tc>
        <w:tc>
          <w:tcPr>
            <w:tcW w:type="dxa" w:w="3360"/>
            <w:vAlign w:val="top"/>
          </w:tcPr>
          <w:p>
            <w:r>
              <w:t>Feedback + safe remediation + UI</w:t>
            </w:r>
          </w:p>
        </w:tc>
        <w:tc>
          <w:tcPr>
            <w:tcW w:type="dxa" w:w="3360"/>
            <w:vAlign w:val="top"/>
          </w:tcPr>
          <w:p>
            <w:r>
              <w:t>Closed-loop controlled workflow.</w:t>
            </w:r>
          </w:p>
        </w:tc>
      </w:tr>
      <w:tr>
        <w:tc>
          <w:tcPr>
            <w:tcW w:type="dxa" w:w="3360"/>
            <w:vAlign w:val="top"/>
          </w:tcPr>
          <w:p>
            <w:r>
              <w:t>7</w:t>
            </w:r>
          </w:p>
        </w:tc>
        <w:tc>
          <w:tcPr>
            <w:tcW w:type="dxa" w:w="3360"/>
            <w:vAlign w:val="top"/>
          </w:tcPr>
          <w:p>
            <w:r>
              <w:t>Evaluation + documentation</w:t>
            </w:r>
          </w:p>
        </w:tc>
        <w:tc>
          <w:tcPr>
            <w:tcW w:type="dxa" w:w="3360"/>
            <w:vAlign w:val="top"/>
          </w:tcPr>
          <w:p>
            <w:r>
              <w:t>Benchmarks and polished demonstration.</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AegisOps — Self-Learning AI SRE Platform | Final-Year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9090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9090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9090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9090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3F3F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