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Aptos Display" w:hAnsi="Aptos Display"/>
          <w:b/>
          <w:color w:val="102A43"/>
          <w:sz w:val="56"/>
        </w:rPr>
        <w:t>BDD FINAL DELIVERABLES</w:t>
      </w:r>
    </w:p>
    <w:p>
      <w:pPr>
        <w:jc w:val="center"/>
      </w:pPr>
      <w:r>
        <w:rPr>
          <w:color w:val="146C94"/>
          <w:sz w:val="36"/>
        </w:rPr>
        <w:t>Build, Evidence, Evaluation &amp; Competition Submission Pack</w:t>
      </w:r>
    </w:p>
    <w:p>
      <w:pPr>
        <w:spacing w:before="360"/>
        <w:jc w:val="center"/>
      </w:pPr>
      <w:r>
        <w:rPr>
          <w:i/>
        </w:rPr>
        <w:t>A practical checklist for turning Bharat Data Detective into a credible, demo-ready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Defines exactly what the team must produce and how to prove it is real.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with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BDD Project Specification v1.0 (the technical blueprint).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Delivery principle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Every claim in a deck/demo must be traceable to a working artifact, evidence bundle or explicitly labeled prototype limitation.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V1: one programme domain, batch workflow, 2–3 benchmark candidate cases, public/approved data only.</w:t>
            </w:r>
          </w:p>
        </w:tc>
      </w:tr>
    </w:tbl>
    <w:p>
      <w:r>
        <w:br w:type="page"/>
      </w:r>
    </w:p>
    <w:p>
      <w:pPr>
        <w:pStyle w:val="Heading1"/>
      </w:pPr>
      <w:r>
        <w:t>1. Delivery Outcome</w:t>
      </w:r>
    </w:p>
    <w:p>
      <w:r>
        <w:t>The finished BDD submission is a reproducible forensic-data product, not only a dashboard. A reviewer should be able to open the app, inspect an approved public source, follow a potential inconsistency back through transformations to evidence, see what remains uncertain, and review an honest blinded-benchmark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Delivery track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What “done” looks like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A. Product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 locally runnable web application and API that ingest/profile approved fixtures, generate findings, display evidence and answer scoped questions with citations.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B. Evidence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An immutable provenance pack for every demo source plus a restricted, independently cited CAG benchmark registry.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C. Evaluation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 documented blinded run and adjudication outcome for each selected case; metrics only if definitions and denominators support them.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D. Competition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 concise narrative, recorded/live demo, slides and one-page summary that show BDD’s four signature innovations responsibly.</w:t>
            </w:r>
          </w:p>
        </w:tc>
      </w:tr>
    </w:tbl>
    <w:p>
      <w:pPr>
        <w:pStyle w:val="Heading1"/>
      </w:pPr>
      <w:r>
        <w:t>2. Master Deliverables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Required evidence / completion test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D1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Working prototype repository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Engineering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Clean clone + documented command launches stack; CI green; no secrets committed.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D2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Public demo corpus and source register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lead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Each artifact has URL, publisher, retrieval time, licence/terms note, hash and local version.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D3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CAG benchmark registry (restricted)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Evaluation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Each case cites report/page/paragraph; labels isolated from investigator data and retrieval.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D4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Forensic case files (2–3)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Forensics lead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Each case has scope, finding(s), evidence graph/export, competing explanations, reviewer disposition and reproducibility recipe.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D5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Evaluation report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Evaluation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Predefined matching policy, coverage, case outcomes, limitations and metrics only where valid.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D6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Technical documentation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Engineering/data leads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Architecture, setup, APIs, schemas, ADRs, security/provenance and operations notes.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D7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Competition deck + one-pager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Product/presentation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Uses measured claims only; screenshots and demo evidence match product.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D8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Demo video or live-demo runbook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Demo lead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5–7 minute path with offline fallback and timing rehearsed.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D9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Submission archive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Project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Read-only tagged release, checksums, licence list, submission links and final checklist signed.</w:t>
            </w:r>
          </w:p>
        </w:tc>
      </w:tr>
    </w:tbl>
    <w:p>
      <w:pPr>
        <w:pStyle w:val="Heading1"/>
      </w:pPr>
      <w:r>
        <w:t>3. Artifact-by-Artifact Requirements</w:t>
      </w:r>
    </w:p>
    <w:p>
      <w:pPr>
        <w:pStyle w:val="Heading2"/>
      </w:pPr>
      <w:r>
        <w:t>3.1 D1 — Working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Minimum content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Web dashboard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Dataset list, dataset page, findings queue, case view, evidence panel, comparability/drift signal and Ask Detective.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Typed endpoints for source/artifact ingestion, profiling, mappings, rules/runs, findings, evidence and scoped Ask Detective.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Pipelines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Ingestion → immutable manifest → profiling → normalization → deterministic checks → evidence graph → case file.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Postgres/PostGIS metadata; object storage/raw filesystem; Qdrant for retrieved evidence; NetworkX graph projection.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Safety controls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RBAC/role stub, benchmark isolation, citation validation, prompt-injection handling and no unsupported conclusion state.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Reproducibility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Docker Compose, pinned dependencies, migrations, seed fixtures and `make demo`/equivalent command.</w:t>
            </w:r>
          </w:p>
        </w:tc>
      </w:tr>
    </w:tbl>
    <w:p>
      <w:pPr>
        <w:pStyle w:val="Heading2"/>
      </w:pPr>
      <w:r>
        <w:t>3.2 D2 — Public Demo Corpus &amp; Source Register</w:t>
      </w:r>
    </w:p>
    <w:p>
      <w:r>
        <w:t>Use official ministry/department release as primary where available, then data.gov.in and AIKosh for discovery/alternate distribution. Preserve a raw immutable copy and never overwrite an older version.</w:t>
      </w:r>
    </w:p>
    <w:p>
      <w:pPr>
        <w:spacing w:before="80" w:after="120"/>
        <w:ind w:left="288" w:right="288"/>
        <w:shd w:fill="F1F5F9"/>
      </w:pPr>
      <w:r>
        <w:rPr>
          <w:rFonts w:ascii="Menlo" w:hAnsi="Menlo"/>
          <w:sz w:val="16"/>
        </w:rPr>
        <w:t>source_id,artifact_id,official_title,publisher,source_url,resource_url,retrieved_at,release_date,</w:t>
        <w:br/>
        <w:t>sha256,media_type,licence_or_terms,programme,geo_coverage,time_coverage,access_status,notes</w:t>
      </w:r>
    </w:p>
    <w:p>
      <w:pPr>
        <w:pStyle w:val="ListBullet"/>
      </w:pPr>
      <w:r>
        <w:t>Minimum corpus: at least two related structured sources or two releases of one source, plus their human-readable metadata/data dictionary where available.</w:t>
      </w:r>
    </w:p>
    <w:p>
      <w:pPr>
        <w:pStyle w:val="ListBullet"/>
      </w:pPr>
      <w:r>
        <w:t>Every demo screen must show a source locator and retrieval metadata; every transformation must retain raw-to-derived lineage.</w:t>
      </w:r>
    </w:p>
    <w:p>
      <w:pPr>
        <w:pStyle w:val="Heading2"/>
      </w:pPr>
      <w:r>
        <w:t>3.3 D3 — Restricted CAG Benchmark Registry</w:t>
      </w:r>
    </w:p>
    <w:p>
      <w:r>
        <w:t>This registry is an evaluation control. Do not place it in the public application seed data, vector database, agent prompt files or accessible demo folder. Keep it in a restricted path/repository or a separate protected database schema.</w:t>
      </w:r>
    </w:p>
    <w:p>
      <w:pPr>
        <w:spacing w:before="80" w:after="120"/>
        <w:ind w:left="288" w:right="288"/>
        <w:shd w:fill="F1F5F9"/>
      </w:pPr>
      <w:r>
        <w:rPr>
          <w:rFonts w:ascii="Menlo" w:hAnsi="Menlo"/>
          <w:sz w:val="16"/>
        </w:rPr>
        <w:t>benchmark_case_id,audit_report_title,report_url,audit_period,page_or_paragraph,observation_summary,</w:t>
        <w:br/>
        <w:t>linked_source_ids,label_visibility,detectability_status,matching_policy_version,adjudicator,decision_date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Required practice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Blindness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Investigator receives source map and permitted inputs, not the audit conclusion/count/label.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Linkage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Record why each public source could plausibly expose the audited condition.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Adjudication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Reveal label only after run; record detected / partly detected / not detected / not detectable and rationale.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Integrity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Record immutable benchmark-version hash and access log.</w:t>
            </w:r>
          </w:p>
        </w:tc>
      </w:tr>
    </w:tbl>
    <w:p>
      <w:pPr>
        <w:pStyle w:val="Heading2"/>
      </w:pPr>
      <w:r>
        <w:t>3.4 D4 — Forensic Case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Case-file section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Question and scope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What is being tested; programme, sources, dates, geography, filters and exclusions.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Observed facts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Only directly reproducible facts: e.g., counts/deltas/null rates with query/rule references.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Definitions and comparability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Units, denominators, reporting cut-offs, geography/boundary version and drift assessment.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Finding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Safe claim wording, severity, confidence, alternatives and why it needs review.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Artifact IDs/hashes, source locators, row/aggregate references, graph path and citations.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Reproduction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Pinned configuration, SQL/rule version, model/prompt version if applicable and run ID.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Human decision, rationale, reviewer and date.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Benchmark outcome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Restricted until blind run is complete; then state outcome and limits.</w:t>
            </w:r>
          </w:p>
        </w:tc>
      </w:tr>
    </w:tbl>
    <w:p>
      <w:pPr>
        <w:pStyle w:val="Heading2"/>
      </w:pPr>
      <w:r>
        <w:t>3.5 D5 — Evaluation Report</w:t>
      </w:r>
    </w:p>
    <w:p>
      <w:r>
        <w:t>The report must state the candidate-case universe, accessible-data coverage, what was hidden, evaluation matching rules, and all exclusions. A small number of cases may make F1 uninformative; in that situation report the case table and do not oversell a metric.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Metric / result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Required definition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Case coverage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Cases with enough permissible public data ÷ registered candidate cases.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Detectability rate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Cases adjudicated detectable ÷ cases with accessible data.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Precision / recall / F1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Only after pre-registering TP/FP/FN matching criteria and reviewer adjudication.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Findings with artifact + locator + reproduction recipe ÷ displayed findings.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Citation correctness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Sampled answer claims whose citation directly supports the claim ÷ sampled cited claims.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Time to investigation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Wall-clock time from selected case to reviewer-ready case file; state hardware/config.</w:t>
            </w:r>
          </w:p>
        </w:tc>
      </w:tr>
    </w:tbl>
    <w:p>
      <w:pPr>
        <w:pStyle w:val="Heading2"/>
      </w:pPr>
      <w:r>
        <w:t>3.6 D6 — Technical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Minimum contents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README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What BDD is/is not, local setup, demo command, architecture image/flow and troubleshooting.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Architecture &amp; API guide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Service boundaries, OpenAPI location, data flow, engine contracts, async jobs and failure handling.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 governance guide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Source approval, licence/terms, raw retention, PII policy, benchmark access, citations and deletion/change policy.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Model/RAG card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Candidate/model selection, license, model hash/config, benchmarks, retrieval policy, known limitations and safety gates.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ADR folder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Why source policy, scoring weights, graph store, model and V1 scope were chosen.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Runbooks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Ingest source, add rule, investigate finding, reveal benchmark, roll back/rebuild index and demo offline.</w:t>
            </w:r>
          </w:p>
        </w:tc>
      </w:tr>
    </w:tbl>
    <w:p>
      <w:pPr>
        <w:pStyle w:val="Heading1"/>
      </w:pPr>
      <w:r>
        <w:t>4. Recommended Submission Folder</w:t>
      </w:r>
    </w:p>
    <w:p>
      <w:pPr>
        <w:spacing w:before="80" w:after="120"/>
        <w:ind w:left="288" w:right="288"/>
        <w:shd w:fill="F1F5F9"/>
      </w:pPr>
      <w:r>
        <w:rPr>
          <w:rFonts w:ascii="Menlo" w:hAnsi="Menlo"/>
          <w:sz w:val="16"/>
        </w:rPr>
        <w:t>bdd-submission/</w:t>
        <w:br/>
        <w:t xml:space="preserve">  README.md</w:t>
        <w:br/>
        <w:t xml:space="preserve">  docker-compose.yml</w:t>
        <w:br/>
        <w:t xml:space="preserve">  .env.example</w:t>
        <w:br/>
        <w:t xml:space="preserve">  apps/  services/  pipelines/  packages/</w:t>
        <w:br/>
        <w:t xml:space="preserve">  docs/</w:t>
        <w:br/>
        <w:t xml:space="preserve">    architecture.md  api.md  governance.md  model-card.md  runbooks/  adr/</w:t>
        <w:br/>
        <w:t xml:space="preserve">  data/</w:t>
        <w:br/>
        <w:t xml:space="preserve">    public-fixtures/  source-register.csv  manifests/</w:t>
        <w:br/>
        <w:t xml:space="preserve">    benchmark-restricted/  # exclude from public release and retrieval</w:t>
        <w:br/>
        <w:t xml:space="preserve">  cases/</w:t>
        <w:br/>
        <w:t xml:space="preserve">    CASE-001/ case-file.md evidence-bundle.json reproduction.json</w:t>
        <w:br/>
        <w:t xml:space="preserve">  evaluation/</w:t>
        <w:br/>
        <w:t xml:space="preserve">    protocol.md adjudications.csv report.pdf</w:t>
        <w:br/>
        <w:t xml:space="preserve">  competition/</w:t>
        <w:br/>
        <w:t xml:space="preserve">    deck.pdf one-pager.pdf demo-script.md screenshots/ video-link.txt</w:t>
        <w:br/>
        <w:t xml:space="preserve">  infra/  tests/  LICENSE  NOTICE</w:t>
      </w:r>
    </w:p>
    <w:p>
      <w:pPr>
        <w:pStyle w:val="Heading1"/>
      </w:pPr>
      <w:r>
        <w:t>5. Team 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Agenda / output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Daily 15 min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Blockers, source/data decisions, demo-risk check.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Source review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Approve or reject new sources; verify licence, provenance and benchmark isolation.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Forensics review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Review findings for comparability, evidence completeness, safe wording and human disposition.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Weekly demo rehearsal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Run from clean environment; time it; record gaps in a visible issue list.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Release gate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Confirm clean build, cited claims, evaluation integrity, security scan and submission checklist.</w:t>
            </w:r>
          </w:p>
        </w:tc>
      </w:tr>
    </w:tbl>
    <w:p>
      <w:pPr>
        <w:pStyle w:val="Heading1"/>
      </w:pPr>
      <w:r>
        <w:t>6. Final Acceptance Checklist</w:t>
      </w:r>
    </w:p>
    <w:p>
      <w:r>
        <w:t>☐ 1. The project runs from a clean, documented environment with a single demo command.</w:t>
      </w:r>
    </w:p>
    <w:p>
      <w:r>
        <w:t>☐ 2. At least one end-to-end investigation is shown from raw artifact to cited case file.</w:t>
      </w:r>
    </w:p>
    <w:p>
      <w:r>
        <w:t>☐ 3. All demo sources are public/approved and have manifests, hashes and source locators.</w:t>
      </w:r>
    </w:p>
    <w:p>
      <w:r>
        <w:t>☐ 4. The UI distinguishes potential inconsistencies from verified errors and exposes confidence/severity separately.</w:t>
      </w:r>
    </w:p>
    <w:p>
      <w:r>
        <w:t>☐ 5. A cross-source or temporal comparison passes a definition/unit/time/geography comparability gate.</w:t>
      </w:r>
    </w:p>
    <w:p>
      <w:r>
        <w:t>☐ 6. The evidence graph shows a trace from finding to raw evidence and transformation/rule run.</w:t>
      </w:r>
    </w:p>
    <w:p>
      <w:r>
        <w:t>☐ 7. False consensus view explains common origin versus independent corroboration.</w:t>
      </w:r>
    </w:p>
    <w:p>
      <w:r>
        <w:t>☐ 8. Semantic drift view compares at least two versions/definitions or explicitly states unavailable evidence.</w:t>
      </w:r>
    </w:p>
    <w:p>
      <w:r>
        <w:t>☐ 9. Ask Detective is scoped, citation-first and refuses/qualifies unsupported questions.</w:t>
      </w:r>
    </w:p>
    <w:p>
      <w:r>
        <w:t>☐ 10. CAG benchmark content was isolated during investigation; adjudication records exist.</w:t>
      </w:r>
    </w:p>
    <w:p>
      <w:r>
        <w:t>☐ 11. No performance result is claimed unless a measured report with denominator and methodology exists.</w:t>
      </w:r>
    </w:p>
    <w:p>
      <w:r>
        <w:t>☐ 12. Secrets are absent from repository; `.env.example` contains placeholders only.</w:t>
      </w:r>
    </w:p>
    <w:p>
      <w:r>
        <w:t>☐ 13. Deck/demo uses the exact same evidence and wording as the product.</w:t>
      </w:r>
    </w:p>
    <w:p>
      <w:r>
        <w:t>☐ 14. A backup offline demo path (recorded video or fixtures) is tested.</w:t>
      </w:r>
    </w:p>
    <w:p>
      <w:r>
        <w:t>☐ 15. Release tag/archive, licences and final submission links are captured.</w:t>
      </w:r>
    </w:p>
    <w:p>
      <w:pPr>
        <w:pStyle w:val="Heading1"/>
      </w:pPr>
      <w:r>
        <w:t>7. Demo Script: 6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6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6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Message</w:t>
            </w:r>
          </w:p>
        </w:tc>
      </w:tr>
      <w:tr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0:00–0:40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Problem and promise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Public data needs evidence trust, not just more dashboards or an LLM answer.</w:t>
            </w:r>
          </w:p>
        </w:tc>
      </w:tr>
      <w:tr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0:40–1:20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Ingest source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Official artifact is captured with hash, source metadata and raw preservation.</w:t>
            </w:r>
          </w:p>
        </w:tc>
      </w:tr>
      <w:tr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1:20–2:10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Profile and understand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Show schema, missingness and definition cards; point out comparable/non-comparable fields.</w:t>
            </w:r>
          </w:p>
        </w:tc>
      </w:tr>
      <w:tr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2:10–3:20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Investigate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Run deterministic comparison/anomaly; reveal a potential inconsistency and alternative explanations.</w:t>
            </w:r>
          </w:p>
        </w:tc>
      </w:tr>
      <w:tr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3:20–4:10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Trace evidence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Follow the lineage graph from finding to source/aggregate and rule.</w:t>
            </w:r>
          </w:p>
        </w:tc>
      </w:tr>
      <w:tr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4:10–4:50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Ask Detective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Ask a scoped question; show cited answer, uncertainty and next action.</w:t>
            </w:r>
          </w:p>
        </w:tc>
      </w:tr>
      <w:tr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4:50–5:30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Signature innovations</w:t>
            </w:r>
          </w:p>
        </w:tc>
        <w:tc>
          <w:tcPr>
            <w:tcW w:type="dxa" w:w="336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Drift, lineage, false consensus, cross-source forensics.</w:t>
            </w:r>
          </w:p>
        </w:tc>
      </w:tr>
      <w:tr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5:30–6:00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Honest evaluation</w:t>
            </w:r>
          </w:p>
        </w:tc>
        <w:tc>
          <w:tcPr>
            <w:tcW w:type="dxa" w:w="336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Explain blinded CAG benchmark and measured status/limitations.</w:t>
            </w:r>
          </w:p>
        </w:tc>
      </w:tr>
    </w:tbl>
    <w:p>
      <w:pPr>
        <w:pStyle w:val="Heading1"/>
      </w:pPr>
      <w:r>
        <w:t>8. Competition Claims: Allowed vs Not Allowed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Use in submission</w:t>
            </w:r>
          </w:p>
        </w:tc>
        <w:tc>
          <w:tcPr>
            <w:tcW w:type="dxa" w:w="504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Avoid unless independently established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“BDD flags evidence-backed potential inconsistencies requiring verification.”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“BDD proves government data is wrong.”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“The demo traces every displayed finding to an artifact, locator and rule run.”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“AI detects fraud/eligibility errors.”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“CAG reports provide an independent historical benchmark protocol.”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“BDD has achieved X% accuracy” without results and method.</w:t>
            </w:r>
          </w:p>
        </w:tc>
      </w:tr>
      <w:tr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“Multiple sources may share one origin; BDD measures evidence diversity.”</w:t>
            </w:r>
          </w:p>
        </w:tc>
        <w:tc>
          <w:tcPr>
            <w:tcW w:type="dxa" w:w="504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“Three websites mean three independent confirmations.”</w:t>
            </w:r>
          </w:p>
        </w:tc>
      </w:tr>
      <w:tr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“Current case result: detected / not detectable / under adjudication.”</w:t>
            </w:r>
          </w:p>
        </w:tc>
        <w:tc>
          <w:tcPr>
            <w:tcW w:type="dxa" w:w="504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“Audit observation was reproduced” before blinded adjudication.</w:t>
            </w:r>
          </w:p>
        </w:tc>
      </w:tr>
    </w:tbl>
    <w:p>
      <w:pPr>
        <w:pStyle w:val="Heading1"/>
      </w:pPr>
      <w:r>
        <w:t>9. Handoff Package</w:t>
      </w:r>
    </w:p>
    <w:p>
      <w:r>
        <w:t>When handing BDD to another student, mentor or coding agent, provide the repository URL/release archive; the current specification; this delivery pack; source register; restricted benchmark access instructions; current case-file index; test status; known limitations; and the next three prioritized tasks. The handoff should make it possible to continue work without re-discovering data provenance or silently weakening safety controls.</w:t>
      </w:r>
    </w:p>
    <w:p>
      <w:pPr>
        <w:pStyle w:val="Heading1"/>
      </w:pPr>
      <w:r>
        <w:t>10. Final Submission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0"/>
            <w:shd w:fill="102A43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Sign-off statement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Project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Scope, deliverables and submission artifacts checked.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Data/provenance lead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Sources, hashes, licences and citations checked.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Evaluation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Benchmark isolation and reporting methodology checked.</w:t>
            </w:r>
          </w:p>
        </w:tc>
      </w:tr>
      <w:tr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Engineering lead</w:t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shd w:fill="F6F8FA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Build, tests, security basics and reproducibility checked.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Presentation lead</w:t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20"/>
            <w:vAlign w:val="top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Deck/demo claims match documented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BDD • Final Deliverables &amp; Submission Pack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6B"/>
        <w:sz w:val="16"/>
      </w:rPr>
      <w:t>BHARAT DATA DETECTIVE  |  FINAL DELIVERABLES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9F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BDD Final Deliverables and Submission Pack</dc:title>
  <dc:subject/>
  <dc:creator>BDD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