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0"/>
      </w:pPr>
    </w:p>
    <w:p>
      <w:pPr>
        <w:spacing w:after="40"/>
        <w:jc w:val="left"/>
      </w:pPr>
      <w:r>
        <w:rPr>
          <w:rFonts w:ascii="Calibri" w:hAnsi="Calibri"/>
          <w:b/>
          <w:i w:val="0"/>
          <w:color w:val="1F3864"/>
          <w:sz w:val="80"/>
        </w:rPr>
        <w:t>OPP</w:t>
      </w:r>
    </w:p>
    <w:p>
      <w:pPr>
        <w:spacing w:after="360"/>
      </w:pPr>
      <w:r>
        <w:rPr>
          <w:rFonts w:ascii="Calibri" w:hAnsi="Calibri"/>
          <w:b w:val="0"/>
          <w:i w:val="0"/>
          <w:color w:val="555555"/>
          <w:sz w:val="44"/>
        </w:rPr>
        <w:t>Руководство пользователя</w:t>
      </w:r>
    </w:p>
    <w:p>
      <w:pPr>
        <w:spacing w:after="600"/>
      </w:pPr>
      <w:r>
        <w:rPr>
          <w:rFonts w:ascii="Calibri" w:hAnsi="Calibri"/>
          <w:b w:val="0"/>
          <w:i w:val="0"/>
          <w:color w:val="555555"/>
          <w:sz w:val="24"/>
        </w:rPr>
        <w:t>Плагин для обследования проектов внедрения 1С / ERP: один архитектор ведёт проект вместе с ИИ — от приёма материалов до отчёта об обследовании и концепции целевого решения.</w:t>
      </w:r>
    </w:p>
    <w:p>
      <w:pPr>
        <w:pBdr>
          <w:bottom w:val="single" w:sz="12" w:space="1" w:color="1F3864"/>
        </w:pBdr>
      </w:pPr>
    </w:p>
    <w:p>
      <w:pPr>
        <w:spacing w:after="120"/>
      </w:pPr>
      <w:r>
        <w:rPr>
          <w:rFonts w:ascii="Calibri" w:hAnsi="Calibri"/>
          <w:b w:val="0"/>
          <w:i/>
          <w:color w:val="555555"/>
          <w:sz w:val="19"/>
        </w:rPr>
        <w:t>Черновик для внутреннего использования. Продукт в развитии — часть шагов помечена «в разработке».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Оглавление</w:t>
      </w:r>
    </w:p>
    <w:p>
      <w:r>
        <w:fldChar w:fldCharType="begin"/>
        <w:instrText xml:space="preserve">TOC \o "1-2" \h \z \u</w:instrText>
        <w:fldChar w:fldCharType="separate"/>
        <w:t>Оглавление обновится в Word: правый клик → Обновить поле.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1. Что такое OPP и зачем он</w:t>
      </w:r>
    </w:p>
    <w:p>
      <w:pPr>
        <w:spacing w:after="120"/>
      </w:pPr>
      <w:r>
        <w:rPr>
          <w:rFonts w:ascii="Calibri" w:hAnsi="Calibri"/>
          <w:b w:val="0"/>
          <w:i w:val="0"/>
        </w:rPr>
        <w:t>OPP — рабочее пространство и набор навыков, которые помогают архитектору провести обследование текущего состояния (AS-IS) проекта внедрения 1С/ERP не в одиночку, а в паре с ИИ. Вы задаёте направление и принимаете решения; ИИ читает материалы и записи встреч, раскладывает факты по проектной памяти, сводит их в проблемы и требования и собирает документы.</w:t>
      </w:r>
    </w:p>
    <w:p>
      <w:pPr>
        <w:pStyle w:val="Heading2"/>
      </w:pPr>
      <w:r>
        <w:rPr>
          <w:rFonts w:ascii="Calibri" w:hAnsi="Calibri"/>
          <w:color w:val="1F3864"/>
        </w:rPr>
        <w:t>Что получается на выходе</w:t>
      </w:r>
    </w:p>
    <w:p>
      <w:pPr>
        <w:spacing w:after="120"/>
      </w:pPr>
      <w:r>
        <w:rPr>
          <w:rFonts w:ascii="Calibri" w:hAnsi="Calibri"/>
          <w:b w:val="0"/>
          <w:i w:val="0"/>
        </w:rPr>
        <w:t>Пакет документов для заказчика и проектной команды, каждый — детерминированно собранный из проектной памяти:</w:t>
      </w:r>
    </w:p>
    <w:p>
      <w:pPr>
        <w:pStyle w:val="ListBullet"/>
        <w:spacing w:after="60"/>
      </w:pPr>
      <w:r>
        <w:rPr>
          <w:rFonts w:ascii="Calibri" w:hAnsi="Calibri"/>
          <w:b/>
        </w:rPr>
        <w:t xml:space="preserve">Протокол </w:t>
      </w:r>
      <w:r>
        <w:rPr>
          <w:rFonts w:ascii="Calibri" w:hAnsi="Calibri"/>
        </w:rPr>
        <w:t>аудит предоставленных материалов;</w:t>
      </w:r>
    </w:p>
    <w:p>
      <w:pPr>
        <w:pStyle w:val="ListBullet"/>
        <w:spacing w:after="60"/>
      </w:pPr>
      <w:r>
        <w:rPr>
          <w:rFonts w:ascii="Calibri" w:hAnsi="Calibri"/>
          <w:b/>
        </w:rPr>
        <w:t xml:space="preserve">Протоколы встреч </w:t>
      </w:r>
      <w:r>
        <w:rPr>
          <w:rFonts w:ascii="Calibri" w:hAnsi="Calibri"/>
        </w:rPr>
        <w:t>по каждой встрече, с содержанием под тип встречи (системы / процессы / организационная);</w:t>
      </w:r>
    </w:p>
    <w:p>
      <w:pPr>
        <w:pStyle w:val="ListBullet"/>
        <w:spacing w:after="60"/>
      </w:pPr>
      <w:r>
        <w:rPr>
          <w:rFonts w:ascii="Calibri" w:hAnsi="Calibri"/>
          <w:b/>
        </w:rPr>
        <w:t xml:space="preserve">Отчёт об обследовании AS-IS: </w:t>
      </w:r>
      <w:r>
        <w:rPr>
          <w:rFonts w:ascii="Calibri" w:hAnsi="Calibri"/>
        </w:rPr>
        <w:t>проблемы с доказанным ущербом, бизнес-требования, картина по уровням;</w:t>
      </w:r>
    </w:p>
    <w:p>
      <w:pPr>
        <w:pStyle w:val="ListBullet"/>
        <w:spacing w:after="60"/>
      </w:pPr>
      <w:r>
        <w:rPr>
          <w:rFonts w:ascii="Calibri" w:hAnsi="Calibri"/>
          <w:b/>
        </w:rPr>
        <w:t xml:space="preserve">Концепция TO-BE и дорожная карта: </w:t>
      </w:r>
      <w:r>
        <w:rPr>
          <w:rFonts w:ascii="Calibri" w:hAnsi="Calibri"/>
        </w:rPr>
        <w:t>решения, целевая архитектура, волны и оценка (по мере готовности навыков).</w:t>
      </w:r>
    </w:p>
    <w:p>
      <w:pPr>
        <w:pStyle w:val="Heading2"/>
      </w:pPr>
      <w:r>
        <w:rPr>
          <w:rFonts w:ascii="Calibri" w:hAnsi="Calibri"/>
          <w:color w:val="1F3864"/>
        </w:rPr>
        <w:t>Два принципа, на которых стоит продукт</w:t>
      </w:r>
    </w:p>
    <w:p>
      <w:pPr>
        <w:spacing w:after="120"/>
      </w:pPr>
      <w:r>
        <w:rPr>
          <w:rFonts w:ascii="Calibri" w:hAnsi="Calibri"/>
          <w:b/>
          <w:i w:val="0"/>
          <w:color w:val="1F3864"/>
        </w:rPr>
        <w:t xml:space="preserve">Доказуемость. </w:t>
      </w:r>
      <w:r>
        <w:rPr>
          <w:rFonts w:ascii="Calibri" w:hAnsi="Calibri"/>
          <w:b w:val="0"/>
          <w:i w:val="0"/>
        </w:rPr>
        <w:t>В готовый документ идёт только подтверждённый факт с указанием источника. Домысел не выдаётся за факт: он помечается как гипотеза, привязывается к источнику и перепроверяется. Не подтверждено — либо подтвердить из источника, либо не включать.</w:t>
      </w:r>
    </w:p>
    <w:p>
      <w:pPr>
        <w:spacing w:after="120"/>
      </w:pPr>
      <w:r>
        <w:rPr>
          <w:rFonts w:ascii="Calibri" w:hAnsi="Calibri"/>
          <w:b/>
          <w:i w:val="0"/>
          <w:color w:val="1F3864"/>
        </w:rPr>
        <w:t xml:space="preserve">Повторяемость. </w:t>
      </w:r>
      <w:r>
        <w:rPr>
          <w:rFonts w:ascii="Calibri" w:hAnsi="Calibri"/>
          <w:b w:val="0"/>
          <w:i w:val="0"/>
        </w:rPr>
        <w:t>Документ — детерминированная проекция зафиксированных фактов: одни и те же факты дают один и тот же документ. Поэтому документы не правятся руками — правится память, документ пересобирается.</w:t>
      </w:r>
    </w:p>
    <w:p>
      <w:pPr>
        <w:pStyle w:val="Heading1"/>
      </w:pPr>
      <w:r>
        <w:rPr>
          <w:rFonts w:ascii="Calibri" w:hAnsi="Calibri"/>
          <w:color w:val="1F3864"/>
        </w:rPr>
        <w:t>2. Как это устроено (ментальная модель)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54"/>
            <w:shd w:val="clear" w:fill="EEF1F7"/>
            <w:tcBorders>
              <w:left w:val="single" w:sz="18" w:space="0" w:color="1F3864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F3864"/>
                <w:sz w:val="20"/>
              </w:rPr>
              <w:t>Если работаете так впервые</w:t>
            </w:r>
          </w:p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Главный сдвиг: знание проекта живёт не в вашей голове и не в файлах Word, а в проектной памяти — наборе таблиц фактов. Вы наполняете память фактами, а документы получаете из неё сборкой. Это и даёт доказуемость и повторяемость.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/>
          <w:color w:val="1F3864"/>
        </w:rPr>
        <w:t>Проектная память — таблицы фактов</w:t>
      </w:r>
    </w:p>
    <w:p>
      <w:pPr>
        <w:spacing w:after="120"/>
      </w:pPr>
      <w:r>
        <w:rPr>
          <w:rFonts w:ascii="Calibri" w:hAnsi="Calibri"/>
          <w:b w:val="0"/>
          <w:i w:val="0"/>
        </w:rPr>
        <w:t>Всё, что узнаётся о проекте, раскладывается по типизированным таблицам: источники, объёмные параметры, учётные модели, бизнес-правила, процессы, системы, доработки, проблемы, требования и другие. У каждого факта есть провенанс — ссылка на источник и точное место в нём (лист, раздел, таймкод записи). Факт без источника недействителен.</w:t>
      </w:r>
    </w:p>
    <w:p>
      <w:pPr>
        <w:pStyle w:val="Heading2"/>
      </w:pPr>
      <w:r>
        <w:rPr>
          <w:rFonts w:ascii="Calibri" w:hAnsi="Calibri"/>
          <w:color w:val="1F3864"/>
        </w:rPr>
        <w:t>Конвейер: от источника до целевого решения</w:t>
      </w:r>
    </w:p>
    <w:p>
      <w:pPr>
        <w:spacing w:after="120"/>
      </w:pPr>
      <w:r>
        <w:rPr>
          <w:rFonts w:ascii="Calibri" w:hAnsi="Calibri"/>
          <w:b w:val="0"/>
          <w:i w:val="0"/>
        </w:rPr>
        <w:t>Факты движутся по стадиям, и порядок не случаен — ранние стадии питают поздние:</w:t>
      </w:r>
    </w:p>
    <w:p>
      <w:pPr>
        <w:spacing w:after="120"/>
      </w:pPr>
      <w:r>
        <w:rPr>
          <w:rFonts w:ascii="Calibri" w:hAnsi="Calibri"/>
          <w:b/>
          <w:i w:val="0"/>
          <w:color w:val="1F3864"/>
        </w:rPr>
        <w:t>источник → факт (с провенансом) → проблема → доказанный ущерб → требование → решение → целевая архитектура и дорожная карта</w:t>
      </w:r>
    </w:p>
    <w:p>
      <w:pPr>
        <w:spacing w:after="120"/>
      </w:pPr>
      <w:r>
        <w:rPr>
          <w:rFonts w:ascii="Calibri" w:hAnsi="Calibri"/>
          <w:b w:val="0"/>
          <w:i w:val="0"/>
        </w:rPr>
        <w:t>Обратные связи (например, какая проблема каким требованием закрыта) выводятся автоматически — их не нужно вести вручную с двух сторон.</w:t>
      </w:r>
    </w:p>
    <w:p>
      <w:pPr>
        <w:pStyle w:val="Heading2"/>
      </w:pPr>
      <w:r>
        <w:rPr>
          <w:rFonts w:ascii="Calibri" w:hAnsi="Calibri"/>
          <w:color w:val="1F3864"/>
        </w:rPr>
        <w:t>Документы — проекции памяти</w:t>
      </w:r>
    </w:p>
    <w:p>
      <w:pPr>
        <w:spacing w:after="120"/>
      </w:pPr>
      <w:r>
        <w:rPr>
          <w:rFonts w:ascii="Calibri" w:hAnsi="Calibri"/>
          <w:b w:val="0"/>
          <w:i w:val="0"/>
        </w:rPr>
        <w:t>Документ собирается из памяти по заданной структуре. Тело документа руками не редактируется: если в отчёте что-то не так — исправляется факт в памяти, и документ пересобирается. Правки заказчика возвращаются в память через сверку (команда split), а не прямым редактированием.</w:t>
      </w:r>
    </w:p>
    <w:p>
      <w:pPr>
        <w:pStyle w:val="Heading1"/>
      </w:pPr>
      <w:r>
        <w:rPr>
          <w:rFonts w:ascii="Calibri" w:hAnsi="Calibri"/>
          <w:color w:val="1F3864"/>
        </w:rPr>
        <w:t>3. Папки проекта: что куда класть</w:t>
      </w:r>
    </w:p>
    <w:p>
      <w:pPr>
        <w:spacing w:after="120"/>
      </w:pPr>
      <w:r>
        <w:rPr>
          <w:rFonts w:ascii="Calibri" w:hAnsi="Calibri"/>
          <w:b w:val="0"/>
          <w:i w:val="0"/>
        </w:rPr>
        <w:t>У проекта два слоя папок — пользовательский (приёмные папки, куда вы кладёте свои файлы) и технический (куда ИИ раскладывает разобранные факты). Разделение важно: приёмные папки — это архив исходных файлов «как есть», технический слой — это уже разобранное содержимое в виде узлов-источников.</w:t>
      </w:r>
    </w:p>
    <w:p>
      <w:pPr>
        <w:pStyle w:val="ListBullet"/>
        <w:spacing w:after="60"/>
      </w:pPr>
      <w:r>
        <w:rPr>
          <w:rFonts w:ascii="Calibri" w:hAnsi="Calibri"/>
          <w:b/>
        </w:rPr>
        <w:t xml:space="preserve">«Входные материалы/» — </w:t>
      </w:r>
      <w:r>
        <w:rPr>
          <w:rFonts w:ascii="Calibri" w:hAnsi="Calibri"/>
        </w:rPr>
        <w:t>сюда кладутся документы заказчика: ТКП, анкеты, регламенты, выгрузки, презентации — всё, что не запись встречи. Файлы, присланные вложением в чат, навык сам сначала копирует сюда (это архив), а затем принимает командой ingest.</w:t>
      </w:r>
    </w:p>
    <w:p>
      <w:pPr>
        <w:pStyle w:val="ListBullet"/>
        <w:spacing w:after="60"/>
      </w:pPr>
      <w:r>
        <w:rPr>
          <w:rFonts w:ascii="Calibri" w:hAnsi="Calibri"/>
          <w:b/>
        </w:rPr>
        <w:t xml:space="preserve">«Встречи/» — </w:t>
      </w:r>
      <w:r>
        <w:rPr>
          <w:rFonts w:ascii="Calibri" w:hAnsi="Calibri"/>
        </w:rPr>
        <w:t>сюда кладутся записи и материалы встреч (аудио, видео, транскрипты). Тот же принцип: вложения в чат сначала копируются сюда, потом обрабатываются.</w:t>
      </w:r>
    </w:p>
    <w:p>
      <w:pPr>
        <w:pStyle w:val="ListBullet"/>
        <w:spacing w:after="60"/>
      </w:pPr>
      <w:r>
        <w:rPr>
          <w:rFonts w:ascii="Calibri" w:hAnsi="Calibri"/>
          <w:b/>
        </w:rPr>
        <w:t xml:space="preserve">«Источники/» — </w:t>
      </w:r>
      <w:r>
        <w:rPr>
          <w:rFonts w:ascii="Calibri" w:hAnsi="Calibri"/>
        </w:rPr>
        <w:t>технический слой: узлы-источники (md-файлы с разобранным содержимым и провенансом), на которые дальше ссылаются факты памяти. Это не пользовательская папка — сюда ходить не нужно, ИИ ведёт её сам через ingest.</w:t>
      </w:r>
    </w:p>
    <w:p>
      <w:pPr>
        <w:spacing w:after="120"/>
      </w:pPr>
      <w:r>
        <w:rPr>
          <w:rFonts w:ascii="Calibri" w:hAnsi="Calibri"/>
          <w:b w:val="0"/>
          <w:i w:val="0"/>
        </w:rPr>
        <w:t>Проще говоря: свои файлы вы кладёте во «Входные материалы» и «Встречи»; «Источники» — это уже результат разбора, живущий по контракту продукта.</w:t>
      </w:r>
    </w:p>
    <w:p>
      <w:pPr>
        <w:pStyle w:val="Heading1"/>
      </w:pPr>
      <w:r>
        <w:rPr>
          <w:rFonts w:ascii="Calibri" w:hAnsi="Calibri"/>
          <w:color w:val="1F3864"/>
        </w:rPr>
        <w:t>4. Быстрый старт</w:t>
      </w:r>
    </w:p>
    <w:p>
      <w:pPr>
        <w:spacing w:after="120"/>
      </w:pPr>
      <w:r>
        <w:rPr>
          <w:rFonts w:ascii="Calibri" w:hAnsi="Calibri"/>
          <w:b w:val="0"/>
          <w:i w:val="0"/>
        </w:rPr>
        <w:t>Минимальный путь, чтобы увидеть первый результат на своём проекте.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67"/>
            <w:shd w:val="clear" w:fill="1F386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№</w:t>
            </w:r>
          </w:p>
        </w:tc>
        <w:tc>
          <w:tcPr>
            <w:tcW w:type="dxa" w:w="2268"/>
            <w:shd w:val="clear" w:fill="1F386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Шаг</w:t>
            </w:r>
          </w:p>
        </w:tc>
        <w:tc>
          <w:tcPr>
            <w:tcW w:type="dxa" w:w="6520"/>
            <w:shd w:val="clear" w:fill="1F386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56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Установить плагин</w:t>
            </w:r>
          </w:p>
        </w:tc>
        <w:tc>
          <w:tcPr>
            <w:tcW w:type="dxa" w:w="6520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Подключить marketplace OPP и включить плагин в Claude Code.</w:t>
            </w:r>
          </w:p>
        </w:tc>
      </w:tr>
      <w:tr>
        <w:tc>
          <w:tcPr>
            <w:tcW w:type="dxa" w:w="567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</w:t>
            </w:r>
          </w:p>
        </w:tc>
        <w:tc>
          <w:tcPr>
            <w:tcW w:type="dxa" w:w="2268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Развернуть проект</w:t>
            </w:r>
          </w:p>
        </w:tc>
        <w:tc>
          <w:tcPr>
            <w:tcW w:type="dxa" w:w="6520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./opp deploy "&lt;Клиент&gt; — OPP" — создаётся рабочая папка: приёмные «Входные материалы/» и «Встречи/», технические «Источники/», «Проектная память/», «Документы/», паспорт и правила проекта. Онбординг opp:new-project проведёт по этому шагу и следующим в диалоге.</w:t>
            </w:r>
          </w:p>
        </w:tc>
      </w:tr>
      <w:tr>
        <w:tc>
          <w:tcPr>
            <w:tcW w:type="dxa" w:w="56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Заполнить паспорт</w:t>
            </w:r>
          </w:p>
        </w:tc>
        <w:tc>
          <w:tcPr>
            <w:tcW w:type="dxa" w:w="6520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Внести имя клиента, домен, каналы материалов в «Паспорт проекта» (навык может спросить в диалоге).</w:t>
            </w:r>
          </w:p>
        </w:tc>
      </w:tr>
      <w:tr>
        <w:tc>
          <w:tcPr>
            <w:tcW w:type="dxa" w:w="567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</w:t>
            </w:r>
          </w:p>
        </w:tc>
        <w:tc>
          <w:tcPr>
            <w:tcW w:type="dxa" w:w="2268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Положить материалы</w:t>
            </w:r>
          </w:p>
        </w:tc>
        <w:tc>
          <w:tcPr>
            <w:tcW w:type="dxa" w:w="6520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Сложить файлы заказчика во «Входные материалы/» (или прислать вложением в чат — навык сам скопирует их туда).</w:t>
            </w:r>
          </w:p>
        </w:tc>
      </w:tr>
      <w:tr>
        <w:tc>
          <w:tcPr>
            <w:tcW w:type="dxa" w:w="56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Принять материалы</w:t>
            </w:r>
          </w:p>
        </w:tc>
        <w:tc>
          <w:tcPr>
            <w:tcW w:type="dxa" w:w="6520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Один раз запустить ./opp ingest — материалы попадут в реестр источников; повторный прогон безопасен: уже принятые файлы пропускаются.</w:t>
            </w:r>
          </w:p>
        </w:tc>
      </w:tr>
      <w:tr>
        <w:tc>
          <w:tcPr>
            <w:tcW w:type="dxa" w:w="567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</w:t>
            </w:r>
          </w:p>
        </w:tc>
        <w:tc>
          <w:tcPr>
            <w:tcW w:type="dxa" w:w="2268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Посмотреть, что принято</w:t>
            </w:r>
          </w:p>
        </w:tc>
        <w:tc>
          <w:tcPr>
            <w:tcW w:type="dxa" w:w="6520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./opp ui открывает окно проекта в браузере — проверить реестр источников, убедиться, что ничего не потеряно и нет дублей.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54"/>
            <w:shd w:val="clear" w:fill="EEF1F7"/>
            <w:tcBorders>
              <w:left w:val="single" w:sz="18" w:space="0" w:color="1F3864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F3864"/>
                <w:sz w:val="20"/>
              </w:rPr>
              <w:t>Приём материалов идемпотентен</w:t>
            </w:r>
          </w:p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Повторный запуск ingest на тех же файлах не создаёт дублей — приём считает по хешу содержимого. Тот же файл с новым содержимым заводит новую версию с пометкой «обновлённая», а не тихо подменяет старую.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/>
          <w:color w:val="1F3864"/>
        </w:rPr>
        <w:t>5. Рабочий процесс проекта</w:t>
      </w:r>
    </w:p>
    <w:p>
      <w:pPr>
        <w:spacing w:after="120"/>
      </w:pPr>
      <w:r>
        <w:rPr>
          <w:rFonts w:ascii="Calibri" w:hAnsi="Calibri"/>
          <w:b w:val="0"/>
          <w:i w:val="0"/>
        </w:rPr>
        <w:t>Сквозной путь обследования. На каждом шаге вызывается свой навык; между шагами вы принимаете результат. Навыки со статусом «в разработке» появятся в следующих версиях — их место в конвейере уже зафиксировано.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1"/>
            <w:shd w:val="clear" w:fill="1F386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Этап</w:t>
            </w:r>
          </w:p>
        </w:tc>
        <w:tc>
          <w:tcPr>
            <w:tcW w:type="dxa" w:w="1701"/>
            <w:shd w:val="clear" w:fill="1F386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Навык</w:t>
            </w:r>
          </w:p>
        </w:tc>
        <w:tc>
          <w:tcPr>
            <w:tcW w:type="dxa" w:w="3175"/>
            <w:shd w:val="clear" w:fill="1F386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Что делает архитектор</w:t>
            </w:r>
          </w:p>
        </w:tc>
        <w:tc>
          <w:tcPr>
            <w:tcW w:type="dxa" w:w="2608"/>
            <w:shd w:val="clear" w:fill="1F386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Результат</w:t>
            </w:r>
          </w:p>
        </w:tc>
      </w:tr>
      <w:tr>
        <w:tc>
          <w:tcPr>
            <w:tcW w:type="dxa" w:w="187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Разворот</w:t>
            </w:r>
          </w:p>
        </w:tc>
        <w:tc>
          <w:tcPr>
            <w:tcW w:type="dxa" w:w="170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new-project</w:t>
            </w:r>
          </w:p>
        </w:tc>
        <w:tc>
          <w:tcPr>
            <w:tcW w:type="dxa" w:w="3175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Ответить на вводный опрос, приложить ТКП/анкету, подтвердить каналы; по желанию — завести git/GitHub проекта.</w:t>
            </w:r>
          </w:p>
        </w:tc>
        <w:tc>
          <w:tcPr>
            <w:tcW w:type="dxa" w:w="260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Рабочее пространство и паспорт проекта.</w:t>
            </w:r>
          </w:p>
        </w:tc>
      </w:tr>
      <w:tr>
        <w:tc>
          <w:tcPr>
            <w:tcW w:type="dxa" w:w="1871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Аудит материалов</w:t>
            </w:r>
          </w:p>
        </w:tc>
        <w:tc>
          <w:tcPr>
            <w:tcW w:type="dxa" w:w="1701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analyze-materials</w:t>
            </w:r>
          </w:p>
        </w:tc>
        <w:tc>
          <w:tcPr>
            <w:tcW w:type="dxa" w:w="3175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Проверить извлечённые факты и скелет процессов; спорное — уточнить.</w:t>
            </w:r>
          </w:p>
        </w:tc>
        <w:tc>
          <w:tcPr>
            <w:tcW w:type="dxa" w:w="2608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Протокол аудита материалов.</w:t>
            </w:r>
          </w:p>
        </w:tc>
      </w:tr>
      <w:tr>
        <w:tc>
          <w:tcPr>
            <w:tcW w:type="dxa" w:w="187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Разбор базы</w:t>
            </w:r>
            <w:r>
              <w:rPr>
                <w:rFonts w:ascii="Calibri" w:hAnsi="Calibri"/>
                <w:b/>
                <w:i/>
                <w:sz w:val="18"/>
              </w:rPr>
              <w:t xml:space="preserve"> (опц.)</w:t>
            </w:r>
          </w:p>
        </w:tc>
        <w:tc>
          <w:tcPr>
            <w:tcW w:type="dxa" w:w="170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db-extract</w:t>
            </w:r>
          </w:p>
        </w:tc>
        <w:tc>
          <w:tcPr>
            <w:tcW w:type="dxa" w:w="3175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Задать выгрузки из базы заказчика как ещё один канал фактов.</w:t>
            </w:r>
          </w:p>
        </w:tc>
        <w:tc>
          <w:tcPr>
            <w:tcW w:type="dxa" w:w="260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Факты из системы в памяти.</w:t>
            </w:r>
          </w:p>
        </w:tc>
      </w:tr>
      <w:tr>
        <w:tc>
          <w:tcPr>
            <w:tcW w:type="dxa" w:w="1871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Планирование встреч</w:t>
            </w:r>
          </w:p>
        </w:tc>
        <w:tc>
          <w:tcPr>
            <w:tcW w:type="dxa" w:w="1701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plan-meetings</w:t>
            </w:r>
          </w:p>
        </w:tc>
        <w:tc>
          <w:tcPr>
            <w:tcW w:type="dxa" w:w="3175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Утвердить план встреч и повестки перед отправкой заказчику.</w:t>
            </w:r>
          </w:p>
        </w:tc>
        <w:tc>
          <w:tcPr>
            <w:tcW w:type="dxa" w:w="2608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Полный план/факт встреч + повестки.</w:t>
            </w:r>
          </w:p>
        </w:tc>
      </w:tr>
      <w:tr>
        <w:tc>
          <w:tcPr>
            <w:tcW w:type="dxa" w:w="187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Встречи</w:t>
            </w:r>
          </w:p>
        </w:tc>
        <w:tc>
          <w:tcPr>
            <w:tcW w:type="dxa" w:w="170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analyze-meeting</w:t>
            </w:r>
          </w:p>
        </w:tc>
        <w:tc>
          <w:tcPr>
            <w:tcW w:type="dxa" w:w="3175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Подтвердить тип встречи; принять протокол; согласовать с заказчиком.</w:t>
            </w:r>
          </w:p>
        </w:tc>
        <w:tc>
          <w:tcPr>
            <w:tcW w:type="dxa" w:w="260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Типизированный протокол встречи.</w:t>
            </w:r>
          </w:p>
        </w:tc>
      </w:tr>
      <w:tr>
        <w:tc>
          <w:tcPr>
            <w:tcW w:type="dxa" w:w="1871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Синтез AS-IS</w:t>
            </w:r>
          </w:p>
        </w:tc>
        <w:tc>
          <w:tcPr>
            <w:tcW w:type="dxa" w:w="1701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synthesis</w:t>
            </w:r>
          </w:p>
        </w:tc>
        <w:tc>
          <w:tcPr>
            <w:tcW w:type="dxa" w:w="3175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Судить спорные проблемы; проверить, что ущерб доказан, а не «на глаз».</w:t>
            </w:r>
          </w:p>
        </w:tc>
        <w:tc>
          <w:tcPr>
            <w:tcW w:type="dxa" w:w="2608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Проблемы, ущерб, требования; книга памяти (xlsx).</w:t>
            </w:r>
          </w:p>
        </w:tc>
      </w:tr>
      <w:tr>
        <w:tc>
          <w:tcPr>
            <w:tcW w:type="dxa" w:w="187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Решения</w:t>
            </w:r>
            <w:r>
              <w:rPr>
                <w:rFonts w:ascii="Calibri" w:hAnsi="Calibri"/>
                <w:b/>
                <w:i/>
                <w:color w:val="993000"/>
                <w:sz w:val="18"/>
              </w:rPr>
              <w:t xml:space="preserve"> (в разработке)</w:t>
            </w:r>
          </w:p>
        </w:tc>
        <w:tc>
          <w:tcPr>
            <w:tcW w:type="dxa" w:w="170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solutions</w:t>
            </w:r>
          </w:p>
        </w:tc>
        <w:tc>
          <w:tcPr>
            <w:tcW w:type="dxa" w:w="3175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Выбрать решения и продукты; развилки платформ — за заказчиком.</w:t>
            </w:r>
          </w:p>
        </w:tc>
        <w:tc>
          <w:tcPr>
            <w:tcW w:type="dxa" w:w="260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Решения и целевые продукты.</w:t>
            </w:r>
          </w:p>
        </w:tc>
      </w:tr>
      <w:tr>
        <w:tc>
          <w:tcPr>
            <w:tcW w:type="dxa" w:w="1871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Целевая архитектура</w:t>
            </w:r>
            <w:r>
              <w:rPr>
                <w:rFonts w:ascii="Calibri" w:hAnsi="Calibri"/>
                <w:b/>
                <w:i/>
                <w:color w:val="993000"/>
                <w:sz w:val="18"/>
              </w:rPr>
              <w:t xml:space="preserve"> (в разработке)</w:t>
            </w:r>
          </w:p>
        </w:tc>
        <w:tc>
          <w:tcPr>
            <w:tcW w:type="dxa" w:w="1701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target-architecture</w:t>
            </w:r>
          </w:p>
        </w:tc>
        <w:tc>
          <w:tcPr>
            <w:tcW w:type="dxa" w:w="3175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Проверить целевую модель по уровням.</w:t>
            </w:r>
          </w:p>
        </w:tc>
        <w:tc>
          <w:tcPr>
            <w:tcW w:type="dxa" w:w="2608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TO-BE по уровням каркаса.</w:t>
            </w:r>
          </w:p>
        </w:tc>
      </w:tr>
      <w:tr>
        <w:tc>
          <w:tcPr>
            <w:tcW w:type="dxa" w:w="187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Дорожная карта</w:t>
            </w:r>
            <w:r>
              <w:rPr>
                <w:rFonts w:ascii="Calibri" w:hAnsi="Calibri"/>
                <w:b/>
                <w:i/>
                <w:color w:val="993000"/>
                <w:sz w:val="18"/>
              </w:rPr>
              <w:t xml:space="preserve"> (в разработке)</w:t>
            </w:r>
          </w:p>
        </w:tc>
        <w:tc>
          <w:tcPr>
            <w:tcW w:type="dxa" w:w="170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roadmap</w:t>
            </w:r>
          </w:p>
        </w:tc>
        <w:tc>
          <w:tcPr>
            <w:tcW w:type="dxa" w:w="3175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Утвердить волны и приоритеты.</w:t>
            </w:r>
          </w:p>
        </w:tc>
        <w:tc>
          <w:tcPr>
            <w:tcW w:type="dxa" w:w="260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Дорожная карта внедрения.</w:t>
            </w:r>
          </w:p>
        </w:tc>
      </w:tr>
      <w:tr>
        <w:tc>
          <w:tcPr>
            <w:tcW w:type="dxa" w:w="1871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Отчёт AS-IS</w:t>
            </w:r>
          </w:p>
        </w:tc>
        <w:tc>
          <w:tcPr>
            <w:tcW w:type="dxa" w:w="1701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report-asis</w:t>
            </w:r>
          </w:p>
        </w:tc>
        <w:tc>
          <w:tcPr>
            <w:tcW w:type="dxa" w:w="3175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Проверить полноту; выдать заказчику.</w:t>
            </w:r>
          </w:p>
        </w:tc>
        <w:tc>
          <w:tcPr>
            <w:tcW w:type="dxa" w:w="2608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Отчёт об обследовании AS-IS.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/>
          <w:color w:val="1F3864"/>
        </w:rPr>
        <w:t>6. Онбординг: что предложит new-project</w:t>
      </w:r>
    </w:p>
    <w:p>
      <w:pPr>
        <w:spacing w:after="120"/>
      </w:pPr>
      <w:r>
        <w:rPr>
          <w:rFonts w:ascii="Calibri" w:hAnsi="Calibri"/>
          <w:b w:val="0"/>
          <w:i w:val="0"/>
        </w:rPr>
        <w:t>Онбординг можно прервать и продолжить позже — прогресс хранится в файле &lt;проект&gt;/.статус.yaml; если вы запустите любой навык плагина в незавершённом проекте, он напомнит о незакрытом шаге и предложит его доделать.</w:t>
      </w:r>
    </w:p>
    <w:p>
      <w:pPr>
        <w:spacing w:after="120"/>
      </w:pPr>
      <w:r>
        <w:rPr>
          <w:rFonts w:ascii="Calibri" w:hAnsi="Calibri"/>
          <w:b w:val="0"/>
          <w:i w:val="0"/>
        </w:rPr>
        <w:t>В конце онбординга навык предлагает завести для проекта приватный репозиторий на GitHub — по вашему согласию:</w:t>
      </w:r>
    </w:p>
    <w:p>
      <w:pPr>
        <w:pStyle w:val="ListBullet"/>
        <w:spacing w:after="60"/>
      </w:pPr>
      <w:r>
        <w:rPr>
          <w:rFonts w:ascii="Calibri" w:hAnsi="Calibri"/>
          <w:b/>
        </w:rPr>
        <w:t xml:space="preserve">1. </w:t>
      </w:r>
      <w:r>
        <w:rPr>
          <w:rFonts w:ascii="Calibri" w:hAnsi="Calibri"/>
        </w:rPr>
        <w:t>git init в папке проекта → первый коммит.</w:t>
      </w:r>
    </w:p>
    <w:p>
      <w:pPr>
        <w:pStyle w:val="ListBullet"/>
        <w:spacing w:after="60"/>
      </w:pPr>
      <w:r>
        <w:rPr>
          <w:rFonts w:ascii="Calibri" w:hAnsi="Calibri"/>
          <w:b/>
        </w:rPr>
        <w:t xml:space="preserve">2. </w:t>
      </w:r>
      <w:r>
        <w:rPr>
          <w:rFonts w:ascii="Calibri" w:hAnsi="Calibri"/>
        </w:rPr>
        <w:t>gh repo create --private — репозиторий создаётся строго приватным, для совместной работы команды.</w:t>
      </w:r>
    </w:p>
    <w:p>
      <w:pPr>
        <w:pStyle w:val="ListBullet"/>
        <w:spacing w:after="60"/>
      </w:pPr>
      <w:r>
        <w:rPr>
          <w:rFonts w:ascii="Calibri" w:hAnsi="Calibri"/>
          <w:b/>
        </w:rPr>
        <w:t xml:space="preserve">3. </w:t>
      </w:r>
      <w:r>
        <w:rPr>
          <w:rFonts w:ascii="Calibri" w:hAnsi="Calibri"/>
        </w:rPr>
        <w:t>Если утилиты gh нет — навык честно об этом сообщит и покажет команды для ручного выполнения.</w:t>
      </w:r>
    </w:p>
    <w:p>
      <w:pPr>
        <w:spacing w:after="120"/>
      </w:pPr>
      <w:r>
        <w:rPr>
          <w:rFonts w:ascii="Calibri" w:hAnsi="Calibri"/>
          <w:b/>
          <w:i w:val="0"/>
          <w:color w:val="1F3864"/>
        </w:rPr>
        <w:t xml:space="preserve">Что уходит в репозиторий: </w:t>
      </w:r>
      <w:r>
        <w:rPr>
          <w:rFonts w:ascii="Calibri" w:hAnsi="Calibri"/>
          <w:b w:val="0"/>
          <w:i w:val="0"/>
        </w:rPr>
        <w:t>всё содержимое проекта, кроме секретов — то есть память, узлы-источники, документы, паспорт и правила, включая принятые файлы. Секреты (ключи API) в проекте не хранятся вовсе (см. следующий раздел), поэтому физически утечь в git не могут.</w:t>
      </w:r>
    </w:p>
    <w:p>
      <w:pPr>
        <w:spacing w:after="120"/>
      </w:pPr>
      <w:r>
        <w:rPr>
          <w:rFonts w:ascii="Calibri" w:hAnsi="Calibri"/>
          <w:b w:val="0"/>
          <w:i w:val="0"/>
        </w:rPr>
        <w:t>О чём навык предупреждает перед публикацией:</w:t>
      </w:r>
    </w:p>
    <w:p>
      <w:pPr>
        <w:pStyle w:val="ListBullet"/>
        <w:spacing w:after="60"/>
      </w:pPr>
      <w:r>
        <w:rPr>
          <w:rFonts w:ascii="Calibri" w:hAnsi="Calibri"/>
        </w:rPr>
        <w:t>в репозитории будут данные заказчика — приватность репозитория обязательна, не понижайте видимость на публичную;</w:t>
      </w:r>
    </w:p>
    <w:p>
      <w:pPr>
        <w:pStyle w:val="ListBullet"/>
        <w:spacing w:after="60"/>
      </w:pPr>
      <w:r>
        <w:rPr>
          <w:rFonts w:ascii="Calibri" w:hAnsi="Calibri"/>
        </w:rPr>
        <w:t>файлы больше 100 МБ GitHub не примет — это лимит платформы; такие файлы придётся исключать или переносить отдельно.</w:t>
      </w:r>
    </w:p>
    <w:p>
      <w:pPr>
        <w:spacing w:after="120"/>
      </w:pPr>
      <w:r>
        <w:rPr>
          <w:rFonts w:ascii="Calibri" w:hAnsi="Calibri"/>
          <w:b w:val="0"/>
          <w:i w:val="0"/>
        </w:rPr>
        <w:t>Отказ от git/GitHub ничего не блокирует — это предложение, а не обязательный шаг.</w:t>
      </w:r>
    </w:p>
    <w:p>
      <w:pPr>
        <w:pStyle w:val="Heading1"/>
      </w:pPr>
      <w:r>
        <w:rPr>
          <w:rFonts w:ascii="Calibri" w:hAnsi="Calibri"/>
          <w:color w:val="1F3864"/>
        </w:rPr>
        <w:t>7. Секреты: ключ Ньютона и другие API-ключи</w:t>
      </w:r>
    </w:p>
    <w:p>
      <w:pPr>
        <w:spacing w:after="120"/>
      </w:pPr>
      <w:r>
        <w:rPr>
          <w:rFonts w:ascii="Calibri" w:hAnsi="Calibri"/>
          <w:b w:val="0"/>
          <w:i w:val="0"/>
        </w:rPr>
        <w:t>Некоторые навыки обращаются к внешним сервисам (например, транскрибация записей встреч через Ньютон) и для этого нужен API-ключ. Ключи хранятся не в проекте, а глобально у сотрудника — в файле ~/.config/opp/secrets.env (права на файл — 600, доступ только вам).</w:t>
      </w:r>
    </w:p>
    <w:p>
      <w:pPr>
        <w:spacing w:after="120"/>
      </w:pPr>
      <w:r>
        <w:rPr>
          <w:rFonts w:ascii="Calibri" w:hAnsi="Calibri"/>
          <w:b w:val="0"/>
          <w:i w:val="0"/>
        </w:rPr>
        <w:t>Это значит:</w:t>
      </w:r>
    </w:p>
    <w:p>
      <w:pPr>
        <w:pStyle w:val="ListBullet"/>
        <w:spacing w:after="60"/>
      </w:pPr>
      <w:r>
        <w:rPr>
          <w:rFonts w:ascii="Calibri" w:hAnsi="Calibri"/>
        </w:rPr>
        <w:t>ключ персональный, а не проектный — один ключ работает во всех ваших проектах;</w:t>
      </w:r>
    </w:p>
    <w:p>
      <w:pPr>
        <w:pStyle w:val="ListBullet"/>
        <w:spacing w:after="60"/>
      </w:pPr>
      <w:r>
        <w:rPr>
          <w:rFonts w:ascii="Calibri" w:hAnsi="Calibri"/>
        </w:rPr>
        <w:t>в папке проекта секретов нет вовсе, поэтому они не могут утечь в git проекта, даже случайно;</w:t>
      </w:r>
    </w:p>
    <w:p>
      <w:pPr>
        <w:pStyle w:val="ListBullet"/>
        <w:spacing w:after="60"/>
      </w:pPr>
      <w:r>
        <w:rPr>
          <w:rFonts w:ascii="Calibri" w:hAnsi="Calibri"/>
        </w:rPr>
        <w:t>при первом обращении к сервису, если ключа нет, навык сам спросит его у вас в диалоге и запишет в этот файл — вводить его руками или лезть в конфиги не нужно;</w:t>
      </w:r>
    </w:p>
    <w:p>
      <w:pPr>
        <w:pStyle w:val="ListBullet"/>
        <w:spacing w:after="60"/>
      </w:pPr>
      <w:r>
        <w:rPr>
          <w:rFonts w:ascii="Calibri" w:hAnsi="Calibri"/>
        </w:rPr>
        <w:t>если сервис ответил ошибкой авторизации (ключ отозван или введён неверно), навык переспросит ключ заново и перезапишет файл.</w:t>
      </w:r>
    </w:p>
    <w:p>
      <w:pPr>
        <w:spacing w:after="120"/>
      </w:pPr>
      <w:r>
        <w:rPr>
          <w:rFonts w:ascii="Calibri" w:hAnsi="Calibri"/>
          <w:b w:val="0"/>
          <w:i w:val="0"/>
        </w:rPr>
        <w:t>Формат файла простой (KEY=VALUE построчно), можно посмотреть или поправить его руками, но обычно в этом нет необходимости — навык ведёт файл сам.</w:t>
      </w:r>
    </w:p>
    <w:p>
      <w:pPr>
        <w:pStyle w:val="Heading1"/>
      </w:pPr>
      <w:r>
        <w:rPr>
          <w:rFonts w:ascii="Calibri" w:hAnsi="Calibri"/>
          <w:color w:val="1F3864"/>
        </w:rPr>
        <w:t>8. Архитектор и ИИ: кто что делает</w:t>
      </w:r>
    </w:p>
    <w:p>
      <w:pPr>
        <w:spacing w:after="120"/>
      </w:pPr>
      <w:r>
        <w:rPr>
          <w:rFonts w:ascii="Calibri" w:hAnsi="Calibri"/>
          <w:b/>
          <w:i w:val="0"/>
          <w:color w:val="1F3864"/>
        </w:rPr>
        <w:t xml:space="preserve">ИИ исполняет: </w:t>
      </w:r>
      <w:r>
        <w:rPr>
          <w:rFonts w:ascii="Calibri" w:hAnsi="Calibri"/>
          <w:b w:val="0"/>
          <w:i w:val="0"/>
        </w:rPr>
        <w:t>читает материалы и записи, чеканит факты с провенансом, ведёт дедупликацию, собирает документы, проверяет целостность памяти. Он не выдумывает и честно помечает пробелы (открытые вопросы).</w:t>
      </w:r>
    </w:p>
    <w:p>
      <w:pPr>
        <w:spacing w:after="120"/>
      </w:pPr>
      <w:r>
        <w:rPr>
          <w:rFonts w:ascii="Calibri" w:hAnsi="Calibri"/>
          <w:b/>
          <w:i w:val="0"/>
          <w:color w:val="1F3864"/>
        </w:rPr>
        <w:t xml:space="preserve">Архитектор судит: </w:t>
      </w:r>
      <w:r>
        <w:rPr>
          <w:rFonts w:ascii="Calibri" w:hAnsi="Calibri"/>
          <w:b w:val="0"/>
          <w:i w:val="0"/>
        </w:rPr>
        <w:t>разрешает спорное, задаёт границы понятий, принимает каждый гейт, отвечает за стратегические развилки. Всё необратимое и выносимое заказчику решает человек, а не ИИ.</w:t>
      </w:r>
    </w:p>
    <w:p>
      <w:pPr>
        <w:spacing w:after="120"/>
      </w:pPr>
      <w:r>
        <w:rPr>
          <w:rFonts w:ascii="Calibri" w:hAnsi="Calibri"/>
          <w:b w:val="0"/>
          <w:i w:val="0"/>
        </w:rPr>
        <w:t>Правило: если факт не подтверждён или решение спорно — это открытый вопрос к вам, а не тихая догадка в документе.</w:t>
      </w:r>
    </w:p>
    <w:p>
      <w:pPr>
        <w:pStyle w:val="Heading1"/>
      </w:pPr>
      <w:r>
        <w:rPr>
          <w:rFonts w:ascii="Calibri" w:hAnsi="Calibri"/>
          <w:color w:val="1F3864"/>
        </w:rPr>
        <w:t>9. Выдача памяти: книга Excel и рабочие документы</w:t>
      </w:r>
    </w:p>
    <w:p>
      <w:pPr>
        <w:spacing w:after="120"/>
      </w:pPr>
      <w:r>
        <w:rPr>
          <w:rFonts w:ascii="Calibri" w:hAnsi="Calibri"/>
          <w:b w:val="0"/>
          <w:i w:val="0"/>
        </w:rPr>
        <w:t>После синтеза (и в любой момент дальше, по мере пополнения памяти) можно выгрузить всю проектную память одной командой:</w:t>
      </w:r>
    </w:p>
    <w:p>
      <w:pPr>
        <w:spacing w:after="120"/>
      </w:pPr>
      <w:r>
        <w:rPr>
          <w:rFonts w:ascii="Calibri" w:hAnsi="Calibri"/>
          <w:b/>
          <w:i w:val="0"/>
          <w:color w:val="1F3864"/>
        </w:rPr>
        <w:t>./opp export</w:t>
      </w:r>
    </w:p>
    <w:p>
      <w:pPr>
        <w:spacing w:after="120"/>
      </w:pPr>
      <w:r>
        <w:rPr>
          <w:rFonts w:ascii="Calibri" w:hAnsi="Calibri"/>
          <w:b w:val="0"/>
          <w:i w:val="0"/>
        </w:rPr>
        <w:t>Собирается книга «Память проекта.xlsx» в «Документы/»: титульный лист с названием проекта, счётчиками и оглавлением с гиперссылками; на каждую непустую таблицу — отдельный лист (имя листа = код таблицы, колонки — по контракту таблицы); служебная «история» изменений в книгу не выводится; шапка каждого листа заморожена, включён автофильтр, строки — зеброй для читаемости.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54"/>
            <w:shd w:val="clear" w:fill="EEF1F7"/>
            <w:tcBorders>
              <w:left w:val="single" w:sz="18" w:space="0" w:color="1F3864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F3864"/>
                <w:sz w:val="20"/>
              </w:rPr>
              <w:t>Книга — read-only представление</w:t>
            </w:r>
          </w:p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Как и остальные документы продукта, она не редактируется руками: если что-то нужно поправить, правка вносится в диалоге с навыком (он изменит факт в памяти), после чего книга пересобирается командой export заново.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/>
          <w:b w:val="0"/>
          <w:i w:val="0"/>
        </w:rPr>
        <w:t>Отдельно от книги синтез также готовит два рабочих документа: «Открытые вопросы» и «Гипотезы» — тоже как проекции памяти (docx), тоже пересобираемые, а не правимые вручную.</w:t>
      </w:r>
    </w:p>
    <w:p>
      <w:pPr>
        <w:pStyle w:val="Heading1"/>
      </w:pPr>
      <w:r>
        <w:rPr>
          <w:rFonts w:ascii="Calibri" w:hAnsi="Calibri"/>
          <w:color w:val="1F3864"/>
        </w:rPr>
        <w:t>10. Справочник команд ./opp</w:t>
      </w:r>
    </w:p>
    <w:p>
      <w:pPr>
        <w:spacing w:after="120"/>
      </w:pPr>
      <w:r>
        <w:rPr>
          <w:rFonts w:ascii="Calibri" w:hAnsi="Calibri"/>
          <w:b w:val="0"/>
          <w:i w:val="0"/>
        </w:rPr>
        <w:t>Основные команды. Навыки вызывают их сами; вручную они нужны для проверки и точечной работы.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14"/>
            <w:shd w:val="clear" w:fill="1F386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Команда</w:t>
            </w:r>
          </w:p>
        </w:tc>
        <w:tc>
          <w:tcPr>
            <w:tcW w:type="dxa" w:w="7540"/>
            <w:shd w:val="clear" w:fill="1F386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Что делает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deploy</w:t>
            </w:r>
          </w:p>
        </w:tc>
        <w:tc>
          <w:tcPr>
            <w:tcW w:type="dxa" w:w="7540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Развернуть рабочую папку нового проекта (приёмные и технические папки, паспорт, правила).</w:t>
            </w:r>
          </w:p>
        </w:tc>
      </w:tr>
      <w:tr>
        <w:tc>
          <w:tcPr>
            <w:tcW w:type="dxa" w:w="1814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ingest</w:t>
            </w:r>
          </w:p>
        </w:tc>
        <w:tc>
          <w:tcPr>
            <w:tcW w:type="dxa" w:w="7540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Принять источники в проект (сырой слой) — идемпотентно, по хешу содержимого.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extract</w:t>
            </w:r>
          </w:p>
        </w:tc>
        <w:tc>
          <w:tcPr>
            <w:tcW w:type="dxa" w:w="7540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Задание на извлечение строк конкретной таблицы из сырья проекта.</w:t>
            </w:r>
          </w:p>
        </w:tc>
      </w:tr>
      <w:tr>
        <w:tc>
          <w:tcPr>
            <w:tcW w:type="dxa" w:w="1814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framework</w:t>
            </w:r>
          </w:p>
        </w:tc>
        <w:tc>
          <w:tcPr>
            <w:tcW w:type="dxa" w:w="7540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Показать / перегенерировать описание каркаса (11 уровней) из данных.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triangulate</w:t>
            </w:r>
          </w:p>
        </w:tc>
        <w:tc>
          <w:tcPr>
            <w:tcW w:type="dxa" w:w="7540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Свести факты по уровням, показать белые пятна — вход синтеза.</w:t>
            </w:r>
          </w:p>
        </w:tc>
      </w:tr>
      <w:tr>
        <w:tc>
          <w:tcPr>
            <w:tcW w:type="dxa" w:w="1814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prove</w:t>
            </w:r>
          </w:p>
        </w:tc>
        <w:tc>
          <w:tcPr>
            <w:tcW w:type="dxa" w:w="7540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Проверить доказательства ущерба: каждая проблема выше гипотезы имеет расчёт.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requirements</w:t>
            </w:r>
          </w:p>
        </w:tc>
        <w:tc>
          <w:tcPr>
            <w:tcW w:type="dxa" w:w="7540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Отчёт по требованиям и покрытию проблем: непокрытые проблемы, требования без проблемы.</w:t>
            </w:r>
          </w:p>
        </w:tc>
      </w:tr>
      <w:tr>
        <w:tc>
          <w:tcPr>
            <w:tcW w:type="dxa" w:w="1814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solutions</w:t>
            </w:r>
          </w:p>
        </w:tc>
        <w:tc>
          <w:tcPr>
            <w:tcW w:type="dxa" w:w="7540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Отчёт по решениям (стадия осмысления).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tobe</w:t>
            </w:r>
          </w:p>
        </w:tc>
        <w:tc>
          <w:tcPr>
            <w:tcW w:type="dxa" w:w="7540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Собрать целевую картину по уровням.</w:t>
            </w:r>
          </w:p>
        </w:tc>
      </w:tr>
      <w:tr>
        <w:tc>
          <w:tcPr>
            <w:tcW w:type="dxa" w:w="1814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roadmap</w:t>
            </w:r>
          </w:p>
        </w:tc>
        <w:tc>
          <w:tcPr>
            <w:tcW w:type="dxa" w:w="7540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Собрать дорожную карту (волны, приоритеты).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render</w:t>
            </w:r>
          </w:p>
        </w:tc>
        <w:tc>
          <w:tcPr>
            <w:tcW w:type="dxa" w:w="7540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Собрать документ из памяти (протокол, отчёт, повестка, план встреч).</w:t>
            </w:r>
          </w:p>
        </w:tc>
      </w:tr>
      <w:tr>
        <w:tc>
          <w:tcPr>
            <w:tcW w:type="dxa" w:w="1814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split</w:t>
            </w:r>
          </w:p>
        </w:tc>
        <w:tc>
          <w:tcPr>
            <w:tcW w:type="dxa" w:w="7540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Вернуть согласованные правки из документа обратно в память.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export</w:t>
            </w:r>
          </w:p>
        </w:tc>
        <w:tc>
          <w:tcPr>
            <w:tcW w:type="dxa" w:w="7540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Экспорт памяти проекта в xlsx («Память проекта.xlsx») — read-only представление.</w:t>
            </w:r>
          </w:p>
        </w:tc>
      </w:tr>
      <w:tr>
        <w:tc>
          <w:tcPr>
            <w:tcW w:type="dxa" w:w="1814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lint</w:t>
            </w:r>
          </w:p>
        </w:tc>
        <w:tc>
          <w:tcPr>
            <w:tcW w:type="dxa" w:w="7540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Проверить память проекта на целостность (0 ошибок — условие выдачи).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verify</w:t>
            </w:r>
          </w:p>
        </w:tc>
        <w:tc>
          <w:tcPr>
            <w:tcW w:type="dxa" w:w="7540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Самопроверка продукта (для разработки плагина).</w:t>
            </w:r>
          </w:p>
        </w:tc>
      </w:tr>
      <w:tr>
        <w:tc>
          <w:tcPr>
            <w:tcW w:type="dxa" w:w="1814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status</w:t>
            </w:r>
          </w:p>
        </w:tc>
        <w:tc>
          <w:tcPr>
            <w:tcW w:type="dxa" w:w="7540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Сводка управляющего каталога проекта.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ui</w:t>
            </w:r>
          </w:p>
        </w:tc>
        <w:tc>
          <w:tcPr>
            <w:tcW w:type="dxa" w:w="7540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Открыть окно проекта в браузере (по умолчанию порт 8765).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/>
          <w:color w:val="1F3864"/>
        </w:rPr>
        <w:t>11. Правила, которые нельзя нарушать</w:t>
      </w:r>
    </w:p>
    <w:p>
      <w:pPr>
        <w:pStyle w:val="ListBullet"/>
        <w:spacing w:after="60"/>
      </w:pPr>
      <w:r>
        <w:rPr>
          <w:rFonts w:ascii="Calibri" w:hAnsi="Calibri"/>
          <w:b/>
        </w:rPr>
        <w:t xml:space="preserve">Не </w:t>
      </w:r>
      <w:r>
        <w:rPr>
          <w:rFonts w:ascii="Calibri" w:hAnsi="Calibri"/>
        </w:rPr>
        <w:t>выдумывать факты. Нет источника — это открытый вопрос, а не утверждение.</w:t>
      </w:r>
    </w:p>
    <w:p>
      <w:pPr>
        <w:pStyle w:val="ListBullet"/>
        <w:spacing w:after="60"/>
      </w:pPr>
      <w:r>
        <w:rPr>
          <w:rFonts w:ascii="Calibri" w:hAnsi="Calibri"/>
          <w:b/>
        </w:rPr>
        <w:t xml:space="preserve">Не </w:t>
      </w:r>
      <w:r>
        <w:rPr>
          <w:rFonts w:ascii="Calibri" w:hAnsi="Calibri"/>
        </w:rPr>
        <w:t>править тело документа руками. Правится память, документ пересобирается.</w:t>
      </w:r>
    </w:p>
    <w:p>
      <w:pPr>
        <w:pStyle w:val="ListBullet"/>
        <w:spacing w:after="60"/>
      </w:pPr>
      <w:r>
        <w:rPr>
          <w:rFonts w:ascii="Calibri" w:hAnsi="Calibri"/>
          <w:b/>
        </w:rPr>
        <w:t xml:space="preserve">Не </w:t>
      </w:r>
      <w:r>
        <w:rPr>
          <w:rFonts w:ascii="Calibri" w:hAnsi="Calibri"/>
        </w:rPr>
        <w:t>оставлять факт без провенанса — источник и место в нём обязательны.</w:t>
      </w:r>
    </w:p>
    <w:p>
      <w:pPr>
        <w:pStyle w:val="ListBullet"/>
        <w:spacing w:after="60"/>
      </w:pPr>
      <w:r>
        <w:rPr>
          <w:rFonts w:ascii="Calibri" w:hAnsi="Calibri"/>
          <w:b/>
        </w:rPr>
        <w:t xml:space="preserve">Не </w:t>
      </w:r>
      <w:r>
        <w:rPr>
          <w:rFonts w:ascii="Calibri" w:hAnsi="Calibri"/>
        </w:rPr>
        <w:t>вести знание вне памяти. Проектная память — единый источник правды.</w:t>
      </w:r>
    </w:p>
    <w:p>
      <w:pPr>
        <w:pStyle w:val="ListBullet"/>
        <w:spacing w:after="60"/>
      </w:pPr>
      <w:r>
        <w:rPr>
          <w:rFonts w:ascii="Calibri" w:hAnsi="Calibri"/>
          <w:b/>
        </w:rPr>
        <w:t xml:space="preserve">Всегда </w:t>
      </w:r>
      <w:r>
        <w:rPr>
          <w:rFonts w:ascii="Calibri" w:hAnsi="Calibri"/>
        </w:rPr>
        <w:t>запускать ./opp lint перед любой выдачей — ноль ошибок обязателен.</w:t>
      </w:r>
    </w:p>
    <w:p>
      <w:pPr>
        <w:pStyle w:val="Heading1"/>
      </w:pPr>
      <w:r>
        <w:rPr>
          <w:rFonts w:ascii="Calibri" w:hAnsi="Calibri"/>
          <w:color w:val="1F3864"/>
        </w:rPr>
        <w:t>Приложение А. Словарь терминов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81"/>
            <w:shd w:val="clear" w:fill="1F386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Термин</w:t>
            </w:r>
          </w:p>
        </w:tc>
        <w:tc>
          <w:tcPr>
            <w:tcW w:type="dxa" w:w="6973"/>
            <w:shd w:val="clear" w:fill="1F386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Значение</w:t>
            </w:r>
          </w:p>
        </w:tc>
      </w:tr>
      <w:tr>
        <w:tc>
          <w:tcPr>
            <w:tcW w:type="dxa" w:w="238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Проектная память</w:t>
            </w:r>
          </w:p>
        </w:tc>
        <w:tc>
          <w:tcPr>
            <w:tcW w:type="dxa" w:w="6973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Набор типизированных таблиц фактов — единственное место, где живёт знание о проекте.</w:t>
            </w:r>
          </w:p>
        </w:tc>
      </w:tr>
      <w:tr>
        <w:tc>
          <w:tcPr>
            <w:tcW w:type="dxa" w:w="2381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Провенанс</w:t>
            </w:r>
          </w:p>
        </w:tc>
        <w:tc>
          <w:tcPr>
            <w:tcW w:type="dxa" w:w="6973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Происхождение факта: ссылка на источник и точное место в нём (лист/раздел/таймкод).</w:t>
            </w:r>
          </w:p>
        </w:tc>
      </w:tr>
      <w:tr>
        <w:tc>
          <w:tcPr>
            <w:tcW w:type="dxa" w:w="238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Каркас (11 уровней)</w:t>
            </w:r>
          </w:p>
        </w:tc>
        <w:tc>
          <w:tcPr>
            <w:tcW w:type="dxa" w:w="6973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Ось обследования: от ценности и учётных моделей до систем, интеграций и инфраструктуры.</w:t>
            </w:r>
          </w:p>
        </w:tc>
      </w:tr>
      <w:tr>
        <w:tc>
          <w:tcPr>
            <w:tcW w:type="dxa" w:w="2381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Функциональный дефицит</w:t>
            </w:r>
          </w:p>
        </w:tc>
        <w:tc>
          <w:tcPr>
            <w:tcW w:type="dxa" w:w="6973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Нехватка функции относительно эталона типового решения.</w:t>
            </w:r>
          </w:p>
        </w:tc>
      </w:tr>
      <w:tr>
        <w:tc>
          <w:tcPr>
            <w:tcW w:type="dxa" w:w="238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Теневое ИТ</w:t>
            </w:r>
          </w:p>
        </w:tc>
        <w:tc>
          <w:tcPr>
            <w:tcW w:type="dxa" w:w="6973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Учёт и операции вне корпоративных систем (Excel, локальные базы).</w:t>
            </w:r>
          </w:p>
        </w:tc>
      </w:tr>
      <w:tr>
        <w:tc>
          <w:tcPr>
            <w:tcW w:type="dxa" w:w="2381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Системная роль</w:t>
            </w:r>
          </w:p>
        </w:tc>
        <w:tc>
          <w:tcPr>
            <w:tcW w:type="dxa" w:w="6973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Роль в системе с набором прав; отделена от организационной роли человека.</w:t>
            </w:r>
          </w:p>
        </w:tc>
      </w:tr>
      <w:tr>
        <w:tc>
          <w:tcPr>
            <w:tcW w:type="dxa" w:w="238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ОБЭ</w:t>
            </w:r>
          </w:p>
        </w:tc>
        <w:tc>
          <w:tcPr>
            <w:tcW w:type="dxa" w:w="6973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Отрицательный бизнес-эффект — измеримый ущерб от проблемы (объём × ставка × частота).</w:t>
            </w:r>
          </w:p>
        </w:tc>
      </w:tr>
      <w:tr>
        <w:tc>
          <w:tcPr>
            <w:tcW w:type="dxa" w:w="2381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Гейт</w:t>
            </w:r>
          </w:p>
        </w:tc>
        <w:tc>
          <w:tcPr>
            <w:tcW w:type="dxa" w:w="6973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Точка приёмки: этап не считается закрытым, пока архитектор не принял результат.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/>
          <w:color w:val="1F3864"/>
        </w:rPr>
        <w:t>Приложение Б. Вспомогательные навыки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81"/>
            <w:shd w:val="clear" w:fill="1F386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Навык</w:t>
            </w:r>
          </w:p>
        </w:tc>
        <w:tc>
          <w:tcPr>
            <w:tcW w:type="dxa" w:w="6973"/>
            <w:shd w:val="clear" w:fill="1F386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Назначение</w:t>
            </w:r>
          </w:p>
        </w:tc>
      </w:tr>
      <w:tr>
        <w:tc>
          <w:tcPr>
            <w:tcW w:type="dxa" w:w="238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db-extract</w:t>
            </w:r>
          </w:p>
        </w:tc>
        <w:tc>
          <w:tcPr>
            <w:tcW w:type="dxa" w:w="6973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Разбор выгрузок из базы заказчика как отдельного канала фактов.</w:t>
            </w:r>
          </w:p>
        </w:tc>
      </w:tr>
      <w:tr>
        <w:tc>
          <w:tcPr>
            <w:tcW w:type="dxa" w:w="2381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company-card</w:t>
            </w:r>
          </w:p>
        </w:tc>
        <w:tc>
          <w:tcPr>
            <w:tcW w:type="dxa" w:w="6973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Сбор карточки компании-заказчика.</w:t>
            </w:r>
          </w:p>
        </w:tc>
      </w:tr>
      <w:tr>
        <w:tc>
          <w:tcPr>
            <w:tcW w:type="dxa" w:w="238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build-knowledge-base</w:t>
            </w:r>
          </w:p>
        </w:tc>
        <w:tc>
          <w:tcPr>
            <w:tcW w:type="dxa" w:w="6973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Сборка ещё одной базы знаний по общим правилам (масштабирование продукта).</w:t>
            </w:r>
          </w:p>
        </w:tc>
      </w:tr>
      <w:tr>
        <w:tc>
          <w:tcPr>
            <w:tcW w:type="dxa" w:w="2381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theme-from-brand</w:t>
            </w:r>
          </w:p>
        </w:tc>
        <w:tc>
          <w:tcPr>
            <w:tcW w:type="dxa" w:w="6973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Тема оформления документов из бренда заказчика.</w:t>
            </w:r>
          </w:p>
        </w:tc>
      </w:tr>
    </w:tbl>
    <w:p>
      <w:pPr>
        <w:spacing w:after="40"/>
      </w:pPr>
    </w:p>
    <w:p>
      <w:pPr>
        <w:spacing w:after="200"/>
      </w:pPr>
    </w:p>
    <w:p>
      <w:pPr>
        <w:spacing w:after="120"/>
      </w:pPr>
      <w:r>
        <w:rPr>
          <w:rFonts w:ascii="Calibri" w:hAnsi="Calibri"/>
          <w:b w:val="0"/>
          <w:i/>
          <w:color w:val="555555"/>
          <w:sz w:val="19"/>
        </w:rPr>
        <w:t>Продукт развивается: набор навыков и команд пополняется. Актуальный состав всегда виден в плагине и в окне проекта (./opp ui).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