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2124" w14:textId="77777777" w:rsidR="00D61B36" w:rsidRDefault="00D61B36" w:rsidP="00D61B36">
      <w:pPr>
        <w:pStyle w:val="Default"/>
      </w:pPr>
    </w:p>
    <w:p w14:paraId="0B205278" w14:textId="77777777" w:rsidR="002D154F" w:rsidRDefault="00D61B36" w:rsidP="00D61B3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Cox Proportional Hazards Models </w:t>
      </w:r>
    </w:p>
    <w:p w14:paraId="21CEB56A" w14:textId="77777777" w:rsidR="002D154F" w:rsidRDefault="002D154F" w:rsidP="00D61B36">
      <w:pPr>
        <w:pStyle w:val="Default"/>
        <w:rPr>
          <w:sz w:val="22"/>
          <w:szCs w:val="22"/>
        </w:rPr>
      </w:pPr>
    </w:p>
    <w:p w14:paraId="2FA61691" w14:textId="406E2827" w:rsidR="00D61B36" w:rsidRDefault="002D154F" w:rsidP="00D61B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</w:t>
      </w:r>
      <w:r w:rsidR="00D61B36">
        <w:rPr>
          <w:sz w:val="22"/>
          <w:szCs w:val="22"/>
        </w:rPr>
        <w:t>he purpose of Cox proportional hazards regression is to model the hazard of the event (</w:t>
      </w:r>
      <w:proofErr w:type="gramStart"/>
      <w:r w:rsidR="00D61B36">
        <w:rPr>
          <w:sz w:val="22"/>
          <w:szCs w:val="22"/>
        </w:rPr>
        <w:t>e.g.</w:t>
      </w:r>
      <w:proofErr w:type="gramEnd"/>
      <w:r w:rsidR="00D61B36">
        <w:rPr>
          <w:sz w:val="22"/>
          <w:szCs w:val="22"/>
        </w:rPr>
        <w:t xml:space="preserve"> the instantaneous hazard or rate of death at time t, conditional on surviving until time </w:t>
      </w:r>
      <w:r w:rsidR="00D61B36" w:rsidRPr="00631EBC">
        <w:rPr>
          <w:i/>
          <w:iCs/>
          <w:sz w:val="22"/>
          <w:szCs w:val="22"/>
        </w:rPr>
        <w:t>t</w:t>
      </w:r>
      <w:r w:rsidR="00D61B36">
        <w:rPr>
          <w:sz w:val="22"/>
          <w:szCs w:val="22"/>
        </w:rPr>
        <w:t xml:space="preserve"> or later), </w:t>
      </w:r>
      <w:r w:rsidR="00D61B36" w:rsidRPr="002D154F">
        <w:rPr>
          <w:b/>
          <w:bCs/>
          <w:sz w:val="22"/>
          <w:szCs w:val="22"/>
        </w:rPr>
        <w:t>which we will denote</w:t>
      </w:r>
      <w:r w:rsidRPr="002D154F">
        <w:rPr>
          <w:b/>
          <w:bCs/>
          <w:sz w:val="22"/>
          <w:szCs w:val="22"/>
        </w:rPr>
        <w:t xml:space="preserve"> as</w:t>
      </w:r>
      <w:r w:rsidR="00D61B36" w:rsidRPr="002D154F">
        <w:rPr>
          <w:b/>
          <w:bCs/>
          <w:sz w:val="22"/>
          <w:szCs w:val="22"/>
        </w:rPr>
        <w:t xml:space="preserve"> h(t)</w:t>
      </w:r>
      <w:r w:rsidR="00D61B36">
        <w:rPr>
          <w:sz w:val="22"/>
          <w:szCs w:val="22"/>
        </w:rPr>
        <w:t>, as a function of a set of predictors X. We express the natural log of the hazard as a linear combination of predictors and the natural log of the baseline hazard h</w:t>
      </w:r>
      <w:r w:rsidR="00D61B36">
        <w:rPr>
          <w:sz w:val="14"/>
          <w:szCs w:val="14"/>
        </w:rPr>
        <w:t>0</w:t>
      </w:r>
      <w:r w:rsidR="00D61B36">
        <w:rPr>
          <w:sz w:val="22"/>
          <w:szCs w:val="22"/>
        </w:rPr>
        <w:t xml:space="preserve">(t): </w:t>
      </w:r>
    </w:p>
    <w:p w14:paraId="51141A5D" w14:textId="6B083F55" w:rsidR="00D61B36" w:rsidRDefault="00D61B36" w:rsidP="00D61B36">
      <w:pPr>
        <w:pStyle w:val="Default"/>
        <w:rPr>
          <w:sz w:val="22"/>
          <w:szCs w:val="22"/>
        </w:rPr>
      </w:pPr>
    </w:p>
    <w:p w14:paraId="11BC7931" w14:textId="725B42B6" w:rsidR="00D61B36" w:rsidRPr="00D61B36" w:rsidRDefault="00D61B36" w:rsidP="00D61B36">
      <w:pPr>
        <w:pStyle w:val="Default"/>
        <w:rPr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ln⁡</m:t>
          </m:r>
          <m:r>
            <w:rPr>
              <w:rFonts w:ascii="Cambria Math" w:hAnsi="Cambria Math"/>
              <w:sz w:val="22"/>
              <w:szCs w:val="22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]+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…+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β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sub>
          </m:sSub>
        </m:oMath>
      </m:oMathPara>
    </w:p>
    <w:p w14:paraId="1CBF44CA" w14:textId="77777777" w:rsidR="00D61B36" w:rsidRDefault="00D61B36" w:rsidP="00D61B36">
      <w:pPr>
        <w:pStyle w:val="Default"/>
        <w:rPr>
          <w:rFonts w:ascii="Courier New" w:hAnsi="Courier New" w:cs="Courier New"/>
          <w:sz w:val="22"/>
          <w:szCs w:val="22"/>
        </w:rPr>
      </w:pPr>
    </w:p>
    <w:p w14:paraId="77076A64" w14:textId="77777777" w:rsidR="002D154F" w:rsidRDefault="00D61B36" w:rsidP="00D61B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Note that the intercept term we usually see in a regression model is replaced by the baseline hazard: h</w:t>
      </w:r>
      <w:r>
        <w:rPr>
          <w:sz w:val="14"/>
          <w:szCs w:val="14"/>
        </w:rPr>
        <w:t>0</w:t>
      </w:r>
      <w:r>
        <w:rPr>
          <w:sz w:val="22"/>
          <w:szCs w:val="22"/>
        </w:rPr>
        <w:t>(t</w:t>
      </w:r>
      <w:proofErr w:type="gramStart"/>
      <w:r>
        <w:rPr>
          <w:sz w:val="22"/>
          <w:szCs w:val="22"/>
        </w:rPr>
        <w:t>).The</w:t>
      </w:r>
      <w:proofErr w:type="gramEnd"/>
      <w:r>
        <w:rPr>
          <w:sz w:val="22"/>
          <w:szCs w:val="22"/>
        </w:rPr>
        <w:t xml:space="preserve"> baseline hazard represents the rate of the event occurring at the baseline level of the covariates (all X=0). In the Cox model the baseline hazard h</w:t>
      </w:r>
      <w:r>
        <w:rPr>
          <w:sz w:val="14"/>
          <w:szCs w:val="14"/>
        </w:rPr>
        <w:t>0</w:t>
      </w:r>
      <w:r>
        <w:rPr>
          <w:sz w:val="22"/>
          <w:szCs w:val="22"/>
        </w:rPr>
        <w:t xml:space="preserve">(t) is not estimated. </w:t>
      </w:r>
    </w:p>
    <w:p w14:paraId="1D5DF4E3" w14:textId="77777777" w:rsidR="002D154F" w:rsidRDefault="002D154F" w:rsidP="00D61B36">
      <w:pPr>
        <w:pStyle w:val="Default"/>
        <w:rPr>
          <w:sz w:val="22"/>
          <w:szCs w:val="22"/>
        </w:rPr>
      </w:pPr>
    </w:p>
    <w:p w14:paraId="06820F57" w14:textId="72896E6B" w:rsidR="00D61B36" w:rsidRDefault="00D61B36" w:rsidP="00D61B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Pr="002D154F">
        <w:rPr>
          <w:b/>
          <w:bCs/>
          <w:i/>
          <w:iCs/>
          <w:sz w:val="22"/>
          <w:szCs w:val="22"/>
        </w:rPr>
        <w:t>stratified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Cox model allows for (but does not estimate) separate baseline hazards for each level of the stratification variable while estimating a single effect for each covariate; this is useful if the assumption of proportionality of the hazards are violated by a variable that you can stratify upon. The idea is that the assumption may not hold in the pooled dataset, but the assumption </w:t>
      </w:r>
      <w:r>
        <w:rPr>
          <w:i/>
          <w:iCs/>
          <w:sz w:val="22"/>
          <w:szCs w:val="22"/>
        </w:rPr>
        <w:t xml:space="preserve">does </w:t>
      </w:r>
      <w:r>
        <w:rPr>
          <w:sz w:val="22"/>
          <w:szCs w:val="22"/>
        </w:rPr>
        <w:t xml:space="preserve">hold within levels of the stratification variable. </w:t>
      </w:r>
    </w:p>
    <w:p w14:paraId="46933B78" w14:textId="77777777" w:rsidR="00D61B36" w:rsidRDefault="00D61B36" w:rsidP="00D61B36">
      <w:pPr>
        <w:pStyle w:val="Default"/>
        <w:rPr>
          <w:sz w:val="22"/>
          <w:szCs w:val="22"/>
        </w:rPr>
      </w:pPr>
    </w:p>
    <w:p w14:paraId="195D53A5" w14:textId="21EA28C4" w:rsidR="00D61B36" w:rsidRDefault="00D61B36" w:rsidP="00D61B36">
      <w:pPr>
        <w:pStyle w:val="Default"/>
        <w:spacing w:after="266"/>
        <w:rPr>
          <w:sz w:val="22"/>
          <w:szCs w:val="22"/>
        </w:rPr>
      </w:pPr>
      <w:r>
        <w:rPr>
          <w:sz w:val="22"/>
          <w:szCs w:val="22"/>
        </w:rPr>
        <w:t xml:space="preserve">The measure of effect estimated from proportional hazards regression is the </w:t>
      </w:r>
      <w:r w:rsidRPr="002D154F">
        <w:rPr>
          <w:b/>
          <w:bCs/>
          <w:sz w:val="22"/>
          <w:szCs w:val="22"/>
        </w:rPr>
        <w:t>hazard ratio</w:t>
      </w:r>
      <w:r>
        <w:rPr>
          <w:sz w:val="22"/>
          <w:szCs w:val="22"/>
        </w:rPr>
        <w:t xml:space="preserve">: a relative measure of how fast the event occurs in one group to how fast the event occurs in another group. </w:t>
      </w:r>
    </w:p>
    <w:p w14:paraId="2C5EADBF" w14:textId="12C73C81" w:rsidR="00D61B36" w:rsidRDefault="00D61B36" w:rsidP="00D61B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estimate the hazard ratio (HR) for X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>= 1 vs. X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 xml:space="preserve">= 0 </w:t>
      </w:r>
    </w:p>
    <w:p w14:paraId="473C32D5" w14:textId="22A0494A" w:rsidR="00D61B36" w:rsidRDefault="00D61B36" w:rsidP="00D61B36">
      <w:pPr>
        <w:pStyle w:val="Default"/>
        <w:rPr>
          <w:sz w:val="22"/>
          <w:szCs w:val="22"/>
        </w:rPr>
      </w:pPr>
    </w:p>
    <w:p w14:paraId="7A285473" w14:textId="2F100FA8" w:rsidR="00D61B36" w:rsidRPr="00D61B36" w:rsidRDefault="00D61B36" w:rsidP="00D61B36">
      <w:pPr>
        <w:pStyle w:val="Default"/>
        <w:rPr>
          <w:rFonts w:eastAsiaTheme="minorEastAsia"/>
          <w:sz w:val="22"/>
          <w:szCs w:val="22"/>
        </w:rPr>
      </w:pPr>
      <m:oMath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(HR)</m:t>
            </m:r>
          </m:e>
        </m:func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 | X=1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 | X=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d>
                  </m:den>
                </m:f>
              </m:e>
            </m:d>
          </m:e>
        </m:func>
        <m:r>
          <w:rPr>
            <w:rFonts w:ascii="Cambria Math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[h</m:t>
        </m:r>
        <m:d>
          <m:dPr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t </m:t>
            </m:r>
          </m:e>
        </m:d>
        <m:r>
          <w:rPr>
            <w:rFonts w:ascii="Cambria Math" w:hAnsi="Cambria Math"/>
            <w:sz w:val="22"/>
            <w:szCs w:val="22"/>
          </w:rPr>
          <m:t xml:space="preserve">X=1)]-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ln⁡</m:t>
        </m:r>
        <m:r>
          <w:rPr>
            <w:rFonts w:ascii="Cambria Math" w:hAnsi="Cambria Math"/>
            <w:sz w:val="22"/>
            <w:szCs w:val="22"/>
          </w:rPr>
          <m:t>[h</m:t>
        </m:r>
        <m:d>
          <m:dPr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t </m:t>
            </m:r>
          </m:e>
        </m:d>
        <m:r>
          <w:rPr>
            <w:rFonts w:ascii="Cambria Math" w:hAnsi="Cambria Math"/>
            <w:sz w:val="22"/>
            <w:szCs w:val="22"/>
          </w:rPr>
          <m:t>X=1)]</m:t>
        </m:r>
      </m:oMath>
      <w:r w:rsidR="00D279C7">
        <w:rPr>
          <w:rFonts w:eastAsiaTheme="minorEastAsia"/>
          <w:sz w:val="22"/>
          <w:szCs w:val="22"/>
        </w:rPr>
        <w:t xml:space="preserve"> </w:t>
      </w:r>
    </w:p>
    <w:p w14:paraId="737E3F31" w14:textId="5CB1F8B2" w:rsidR="00D61B36" w:rsidRDefault="00D61B36" w:rsidP="00D61B36">
      <w:pPr>
        <w:pStyle w:val="Default"/>
        <w:rPr>
          <w:rFonts w:eastAsiaTheme="minorEastAsia"/>
          <w:sz w:val="22"/>
          <w:szCs w:val="22"/>
        </w:rPr>
      </w:pPr>
    </w:p>
    <w:p w14:paraId="329EBE33" w14:textId="163569EA" w:rsidR="008B259B" w:rsidRPr="008B259B" w:rsidRDefault="008B259B" w:rsidP="00D61B36">
      <w:pPr>
        <w:pStyle w:val="Default"/>
        <w:rPr>
          <w:rFonts w:eastAsiaTheme="minorEastAsia"/>
          <w:b/>
          <w:bCs/>
          <w:sz w:val="22"/>
          <w:szCs w:val="22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2"/>
                <w:szCs w:val="22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HR</m:t>
                </m:r>
              </m:e>
            </m:d>
          </m:e>
        </m:func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[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(t))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(1)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- 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[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ln</m:t>
            </m:r>
          </m:fName>
          <m:e>
            <m:d>
              <m:dPr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(t))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(0)</m:t>
                </m:r>
              </m:e>
            </m:d>
          </m:e>
        </m:func>
        <m:r>
          <w:rPr>
            <w:rFonts w:ascii="Cambria Math" w:hAnsi="Cambria Math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D279C7">
        <w:rPr>
          <w:rFonts w:eastAsiaTheme="minorEastAsia"/>
          <w:b/>
          <w:bCs/>
          <w:sz w:val="22"/>
          <w:szCs w:val="22"/>
        </w:rPr>
        <w:t xml:space="preserve"> </w:t>
      </w:r>
    </w:p>
    <w:p w14:paraId="08C45397" w14:textId="6EC78DC3" w:rsidR="008B259B" w:rsidRDefault="008B259B" w:rsidP="00D61B36">
      <w:pPr>
        <w:pStyle w:val="Default"/>
        <w:rPr>
          <w:rFonts w:eastAsiaTheme="minorEastAsia"/>
          <w:b/>
          <w:bCs/>
          <w:sz w:val="22"/>
          <w:szCs w:val="22"/>
        </w:rPr>
      </w:pPr>
    </w:p>
    <w:p w14:paraId="78965DBC" w14:textId="1A2CED3C" w:rsidR="008B259B" w:rsidRPr="00CC406A" w:rsidRDefault="008B259B" w:rsidP="00D61B36">
      <w:pPr>
        <w:pStyle w:val="Default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HR=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exp⁡</m:t>
        </m:r>
        <m:r>
          <w:rPr>
            <w:rFonts w:ascii="Cambria Math" w:eastAsiaTheme="minorEastAsia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</m:t>
        </m:r>
      </m:oMath>
      <w:r w:rsidR="00D279C7">
        <w:rPr>
          <w:rFonts w:eastAsiaTheme="minorEastAsia"/>
          <w:sz w:val="22"/>
          <w:szCs w:val="22"/>
        </w:rPr>
        <w:t xml:space="preserve"> </w:t>
      </w:r>
    </w:p>
    <w:p w14:paraId="2F45413B" w14:textId="68A2240E" w:rsidR="00CC406A" w:rsidRDefault="00CC406A" w:rsidP="00D61B36">
      <w:pPr>
        <w:pStyle w:val="Default"/>
        <w:rPr>
          <w:rFonts w:eastAsiaTheme="minorEastAsia"/>
          <w:sz w:val="22"/>
          <w:szCs w:val="22"/>
        </w:rPr>
      </w:pPr>
    </w:p>
    <w:p w14:paraId="1528F695" w14:textId="4895C541" w:rsidR="00395FF1" w:rsidRPr="00A97486" w:rsidRDefault="00CC406A" w:rsidP="00A97486">
      <w:pPr>
        <w:pStyle w:val="Default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95% CI=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>exp⁡</m:t>
        </m:r>
        <m:r>
          <w:rPr>
            <w:rFonts w:ascii="Cambria Math" w:eastAsiaTheme="minorEastAsia" w:hAnsi="Cambria Math"/>
            <w:sz w:val="22"/>
            <w:szCs w:val="22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 xml:space="preserve"> ±(1.96*SE(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))]</m:t>
        </m:r>
      </m:oMath>
      <w:r w:rsidR="00D279C7">
        <w:rPr>
          <w:rFonts w:eastAsiaTheme="minorEastAsia"/>
          <w:sz w:val="22"/>
          <w:szCs w:val="22"/>
        </w:rPr>
        <w:t xml:space="preserve"> </w:t>
      </w:r>
    </w:p>
    <w:sectPr w:rsidR="00395FF1" w:rsidRPr="00A9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36"/>
    <w:rsid w:val="002D154F"/>
    <w:rsid w:val="00395FF1"/>
    <w:rsid w:val="00631EBC"/>
    <w:rsid w:val="008B259B"/>
    <w:rsid w:val="00A97486"/>
    <w:rsid w:val="00CC406A"/>
    <w:rsid w:val="00D279C7"/>
    <w:rsid w:val="00D61B36"/>
    <w:rsid w:val="00E02713"/>
    <w:rsid w:val="00F3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9DF2"/>
  <w15:chartTrackingRefBased/>
  <w15:docId w15:val="{8D7A94A9-6163-47A4-AD3C-E47FD0DA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1B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61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Ellermeier</dc:creator>
  <cp:keywords/>
  <dc:description/>
  <cp:lastModifiedBy>Nathan Ellermeier</cp:lastModifiedBy>
  <cp:revision>4</cp:revision>
  <dcterms:created xsi:type="dcterms:W3CDTF">2022-03-30T14:24:00Z</dcterms:created>
  <dcterms:modified xsi:type="dcterms:W3CDTF">2022-03-30T14:43:00Z</dcterms:modified>
</cp:coreProperties>
</file>