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75C4" w14:textId="367B76A4" w:rsidR="00AE63D5" w:rsidRPr="000018E3" w:rsidRDefault="00531271" w:rsidP="00AE63D5">
      <w:pPr>
        <w:pStyle w:val="Title"/>
        <w:rPr>
          <w:sz w:val="52"/>
          <w:szCs w:val="52"/>
        </w:rPr>
      </w:pPr>
      <w:r w:rsidRPr="000018E3">
        <w:rPr>
          <w:sz w:val="52"/>
          <w:szCs w:val="52"/>
        </w:rPr>
        <w:t>Risk Management, Audit, and Compliance Experience</w:t>
      </w:r>
      <w:r w:rsidR="00D97A3B" w:rsidRPr="000018E3">
        <w:rPr>
          <w:sz w:val="52"/>
          <w:szCs w:val="52"/>
        </w:rPr>
        <w:t xml:space="preserve"> for Daniel Giacomelli</w:t>
      </w:r>
    </w:p>
    <w:p w14:paraId="77050F62" w14:textId="7D700E54" w:rsidR="006653AE" w:rsidRDefault="00292288">
      <w:r>
        <w:t xml:space="preserve">My auditing experience started </w:t>
      </w:r>
      <w:r w:rsidR="00AB5F58">
        <w:t>when I was a Senior Consultant at CSC, subcontracted to “</w:t>
      </w:r>
      <w:r w:rsidR="00AB5F58" w:rsidRPr="00AB5F58">
        <w:t>The National Registry</w:t>
      </w:r>
      <w:r w:rsidR="00AB5F58">
        <w:t xml:space="preserve">” for the </w:t>
      </w:r>
      <w:r w:rsidR="00F15191">
        <w:t xml:space="preserve">Project Management Institute ISO 9001 certification.  I was part of their initial data gathering </w:t>
      </w:r>
      <w:r w:rsidR="00F237E1">
        <w:t>initiative for their audit</w:t>
      </w:r>
      <w:r w:rsidR="005806FC">
        <w:t xml:space="preserve"> which they </w:t>
      </w:r>
      <w:r w:rsidR="00F237E1">
        <w:t xml:space="preserve">obtained </w:t>
      </w:r>
      <w:r w:rsidR="005806FC">
        <w:t xml:space="preserve">in </w:t>
      </w:r>
      <w:r w:rsidR="00AB5F58">
        <w:t>1999.</w:t>
      </w:r>
      <w:r w:rsidR="00584092">
        <w:t xml:space="preserve">  </w:t>
      </w:r>
      <w:r w:rsidR="00531271">
        <w:t>Risk Management experience</w:t>
      </w:r>
      <w:r w:rsidR="00D32516">
        <w:t xml:space="preserve"> also</w:t>
      </w:r>
      <w:r w:rsidR="00531271">
        <w:t xml:space="preserve"> started with</w:t>
      </w:r>
      <w:r w:rsidR="00D32516">
        <w:t xml:space="preserve">in CSC as a consultant </w:t>
      </w:r>
      <w:r w:rsidR="00531271">
        <w:t xml:space="preserve">working </w:t>
      </w:r>
      <w:r w:rsidR="00D32516">
        <w:t xml:space="preserve">for </w:t>
      </w:r>
      <w:r w:rsidR="00531271">
        <w:t>Dupont</w:t>
      </w:r>
      <w:r w:rsidR="00D32516">
        <w:t xml:space="preserve">, </w:t>
      </w:r>
      <w:r w:rsidR="006653AE">
        <w:t xml:space="preserve">auditing their Agricultural testing processes for </w:t>
      </w:r>
      <w:hyperlink r:id="rId5" w:history="1">
        <w:r w:rsidR="006653AE" w:rsidRPr="006653AE">
          <w:rPr>
            <w:rStyle w:val="Hyperlink"/>
          </w:rPr>
          <w:t>FIFRA compliance</w:t>
        </w:r>
      </w:hyperlink>
      <w:r w:rsidR="006653AE">
        <w:t xml:space="preserve">.  </w:t>
      </w:r>
    </w:p>
    <w:p w14:paraId="3C72D32E" w14:textId="7DB539F3" w:rsidR="00086625" w:rsidRDefault="00FB4838">
      <w:r>
        <w:t xml:space="preserve">For CDI Corporation, as part of our strategic </w:t>
      </w:r>
      <w:r w:rsidR="003E66B7">
        <w:t xml:space="preserve">account toolkit, we created many tools to help assess risk, scope, and </w:t>
      </w:r>
      <w:r w:rsidR="006736A3">
        <w:t xml:space="preserve">aid with budget and contract negotiations.  </w:t>
      </w:r>
      <w:r w:rsidR="00D86854">
        <w:t xml:space="preserve">We used </w:t>
      </w:r>
      <w:r w:rsidR="00D86854" w:rsidRPr="00086625">
        <w:t xml:space="preserve">ITIL </w:t>
      </w:r>
      <w:r w:rsidR="00D86854">
        <w:t>as</w:t>
      </w:r>
      <w:r w:rsidR="00D86854" w:rsidRPr="00086625">
        <w:t xml:space="preserve"> a framework </w:t>
      </w:r>
      <w:r w:rsidR="00D86854">
        <w:t xml:space="preserve">to define and enable managed </w:t>
      </w:r>
      <w:r w:rsidR="00D86854" w:rsidRPr="00086625">
        <w:t>IT services</w:t>
      </w:r>
      <w:r w:rsidR="00D86854">
        <w:t xml:space="preserve"> and service levels.  If needed, we relied on </w:t>
      </w:r>
      <w:r w:rsidR="00D86854" w:rsidRPr="00086625">
        <w:t>COBIT</w:t>
      </w:r>
      <w:r w:rsidR="00D86854">
        <w:t xml:space="preserve"> to help with </w:t>
      </w:r>
      <w:r w:rsidR="00D86854" w:rsidRPr="00086625">
        <w:t xml:space="preserve">IT governance </w:t>
      </w:r>
      <w:r w:rsidR="00D86854">
        <w:t xml:space="preserve">and bridge the gap between </w:t>
      </w:r>
      <w:r w:rsidR="00D86854" w:rsidRPr="00086625">
        <w:t xml:space="preserve">the business </w:t>
      </w:r>
      <w:r w:rsidR="00D86854">
        <w:t xml:space="preserve">and </w:t>
      </w:r>
      <w:r w:rsidR="00D86854" w:rsidRPr="00086625">
        <w:t>IT investments</w:t>
      </w:r>
      <w:r w:rsidR="00B356B7">
        <w:t xml:space="preserve"> for some clients</w:t>
      </w:r>
      <w:r w:rsidR="00D86854">
        <w:t xml:space="preserve">.  The </w:t>
      </w:r>
      <w:r w:rsidR="00155119">
        <w:t>following</w:t>
      </w:r>
      <w:r w:rsidR="00D86854">
        <w:t xml:space="preserve"> are a </w:t>
      </w:r>
      <w:r w:rsidR="00D86854" w:rsidRPr="000E6125">
        <w:rPr>
          <w:u w:val="single"/>
        </w:rPr>
        <w:t>few</w:t>
      </w:r>
      <w:r w:rsidR="00D86854">
        <w:t xml:space="preserve"> sample</w:t>
      </w:r>
      <w:r w:rsidR="00155119">
        <w:t>s</w:t>
      </w:r>
      <w:r w:rsidR="00D86854">
        <w:t xml:space="preserve"> which can be provided of the </w:t>
      </w:r>
      <w:r w:rsidR="00155119">
        <w:t>tools\deliverables</w:t>
      </w:r>
      <w:r w:rsidR="00D83F5C">
        <w:t xml:space="preserve"> </w:t>
      </w:r>
      <w:r w:rsidR="00155119">
        <w:t>used:</w:t>
      </w:r>
      <w:r w:rsidR="00AE6BCD">
        <w:t xml:space="preserve">  </w:t>
      </w:r>
    </w:p>
    <w:p w14:paraId="4D2F1B32" w14:textId="2D5B883F" w:rsidR="00F1001D" w:rsidRDefault="00BB5F8D" w:rsidP="00155119">
      <w:pPr>
        <w:pStyle w:val="ListParagraph"/>
        <w:numPr>
          <w:ilvl w:val="0"/>
          <w:numId w:val="1"/>
        </w:numPr>
      </w:pPr>
      <w:r>
        <w:t xml:space="preserve">ITIL Service Support and Service Delivery </w:t>
      </w:r>
      <w:r w:rsidR="00DC36D7">
        <w:t>Audit</w:t>
      </w:r>
      <w:r w:rsidR="006C1B49">
        <w:t xml:space="preserve"> Worksheets</w:t>
      </w:r>
      <w:r w:rsidR="000D7EF1">
        <w:t xml:space="preserve"> (available upon request)</w:t>
      </w:r>
      <w:r w:rsidR="006C1B49">
        <w:t>.  These were</w:t>
      </w:r>
      <w:r w:rsidR="00E939D9">
        <w:t xml:space="preserve"> then</w:t>
      </w:r>
      <w:r w:rsidR="006C1B49">
        <w:t xml:space="preserve"> </w:t>
      </w:r>
      <w:r w:rsidR="00DC36D7">
        <w:t xml:space="preserve">included as part of the </w:t>
      </w:r>
      <w:proofErr w:type="spellStart"/>
      <w:r w:rsidR="00DC36D7">
        <w:t>Innovantage</w:t>
      </w:r>
      <w:proofErr w:type="spellEnd"/>
      <w:r w:rsidR="00DC36D7">
        <w:t xml:space="preserve"> 90-day assessment</w:t>
      </w:r>
      <w:r w:rsidR="00E939D9">
        <w:t xml:space="preserve"> (</w:t>
      </w:r>
      <w:proofErr w:type="spellStart"/>
      <w:r w:rsidR="000D7EF1" w:rsidRPr="000E6125">
        <w:rPr>
          <w:rFonts w:ascii="Courier New" w:hAnsi="Courier New" w:cs="Courier New"/>
        </w:rPr>
        <w:t>Nektar</w:t>
      </w:r>
      <w:proofErr w:type="spellEnd"/>
      <w:r w:rsidR="000D7EF1" w:rsidRPr="000E6125">
        <w:rPr>
          <w:rFonts w:ascii="Courier New" w:hAnsi="Courier New" w:cs="Courier New"/>
        </w:rPr>
        <w:t xml:space="preserve"> 90 Day Assessment v1.1.ppt</w:t>
      </w:r>
      <w:r w:rsidR="000D7EF1">
        <w:t>).</w:t>
      </w:r>
    </w:p>
    <w:p w14:paraId="43BFC653" w14:textId="3E506394" w:rsidR="00F1001D" w:rsidRDefault="00F1001D" w:rsidP="00155119">
      <w:pPr>
        <w:pStyle w:val="ListParagraph"/>
        <w:numPr>
          <w:ilvl w:val="0"/>
          <w:numId w:val="1"/>
        </w:numPr>
      </w:pPr>
      <w:r w:rsidRPr="00F1001D">
        <w:t xml:space="preserve">Microsoft Operations Framework </w:t>
      </w:r>
      <w:r w:rsidR="00C61A16">
        <w:t>(MOF)</w:t>
      </w:r>
      <w:r w:rsidRPr="00F1001D">
        <w:t xml:space="preserve"> Assessment</w:t>
      </w:r>
      <w:r w:rsidR="00235B63">
        <w:t xml:space="preserve"> (</w:t>
      </w:r>
      <w:r w:rsidR="00235B63" w:rsidRPr="00127218">
        <w:rPr>
          <w:rFonts w:ascii="Courier New" w:hAnsi="Courier New" w:cs="Courier New"/>
        </w:rPr>
        <w:t>MOF Assessment v1.0.xls</w:t>
      </w:r>
      <w:r w:rsidR="00C61A16">
        <w:t xml:space="preserve">, </w:t>
      </w:r>
      <w:r>
        <w:t>based on ITIL</w:t>
      </w:r>
      <w:r w:rsidR="00235B63">
        <w:t>)</w:t>
      </w:r>
    </w:p>
    <w:p w14:paraId="402D5A82" w14:textId="026236E0" w:rsidR="00135219" w:rsidRDefault="00135219" w:rsidP="00155119">
      <w:pPr>
        <w:pStyle w:val="ListParagraph"/>
        <w:numPr>
          <w:ilvl w:val="0"/>
          <w:numId w:val="1"/>
        </w:numPr>
      </w:pPr>
      <w:r>
        <w:t>Small Office Home Office Checklist (</w:t>
      </w:r>
      <w:r w:rsidRPr="00127218">
        <w:rPr>
          <w:rFonts w:ascii="Courier New" w:hAnsi="Courier New" w:cs="Courier New"/>
        </w:rPr>
        <w:t xml:space="preserve">CDI </w:t>
      </w:r>
      <w:proofErr w:type="spellStart"/>
      <w:r w:rsidRPr="00127218">
        <w:rPr>
          <w:rFonts w:ascii="Courier New" w:hAnsi="Courier New" w:cs="Courier New"/>
        </w:rPr>
        <w:t>Innovantage</w:t>
      </w:r>
      <w:proofErr w:type="spellEnd"/>
      <w:r w:rsidRPr="00127218">
        <w:rPr>
          <w:rFonts w:ascii="Courier New" w:hAnsi="Courier New" w:cs="Courier New"/>
        </w:rPr>
        <w:t xml:space="preserve"> SOHO.checklists.xls</w:t>
      </w:r>
      <w:r>
        <w:t>)</w:t>
      </w:r>
    </w:p>
    <w:p w14:paraId="797C4029" w14:textId="228AAA4D" w:rsidR="00FB4838" w:rsidRDefault="00156899" w:rsidP="00155119">
      <w:pPr>
        <w:pStyle w:val="ListParagraph"/>
        <w:numPr>
          <w:ilvl w:val="0"/>
          <w:numId w:val="1"/>
        </w:numPr>
      </w:pPr>
      <w:r>
        <w:t>Site Audit Guidelines (</w:t>
      </w:r>
      <w:r w:rsidRPr="00156899">
        <w:t>Site Audit Guidelines v1.1.doc</w:t>
      </w:r>
      <w:r>
        <w:t>)</w:t>
      </w:r>
    </w:p>
    <w:p w14:paraId="268984E8" w14:textId="2FF98681" w:rsidR="00C218A6" w:rsidRDefault="008B3125" w:rsidP="00155119">
      <w:pPr>
        <w:pStyle w:val="ListParagraph"/>
        <w:numPr>
          <w:ilvl w:val="0"/>
          <w:numId w:val="1"/>
        </w:numPr>
      </w:pPr>
      <w:r>
        <w:t>Security Self-Assessment</w:t>
      </w:r>
      <w:r w:rsidR="00B34A4A">
        <w:t xml:space="preserve"> (</w:t>
      </w:r>
      <w:r w:rsidR="00B34A4A" w:rsidRPr="00127218">
        <w:rPr>
          <w:rFonts w:ascii="Courier New" w:hAnsi="Courier New" w:cs="Courier New"/>
        </w:rPr>
        <w:t>Security Self Assessment.doc</w:t>
      </w:r>
      <w:r w:rsidR="00B34A4A">
        <w:t>)</w:t>
      </w:r>
      <w:r>
        <w:t xml:space="preserve">; </w:t>
      </w:r>
      <w:r w:rsidR="00C218A6">
        <w:t>Firewall Checklist</w:t>
      </w:r>
      <w:r w:rsidR="0051520E">
        <w:t xml:space="preserve"> (</w:t>
      </w:r>
      <w:r w:rsidR="0051520E" w:rsidRPr="0051520E">
        <w:t>FirewallChecklist.doc</w:t>
      </w:r>
      <w:proofErr w:type="gramStart"/>
      <w:r w:rsidR="0051520E">
        <w:t>)</w:t>
      </w:r>
      <w:r w:rsidR="003535EF">
        <w:t>;</w:t>
      </w:r>
      <w:proofErr w:type="gramEnd"/>
      <w:r w:rsidR="003535EF">
        <w:t xml:space="preserve"> </w:t>
      </w:r>
    </w:p>
    <w:p w14:paraId="211A3658" w14:textId="16F77EE1" w:rsidR="008E1C9F" w:rsidRDefault="00576592" w:rsidP="008E1C9F">
      <w:pPr>
        <w:pStyle w:val="ListParagraph"/>
        <w:numPr>
          <w:ilvl w:val="0"/>
          <w:numId w:val="1"/>
        </w:numPr>
      </w:pPr>
      <w:r>
        <w:t>Managed Technical Operations Project Risk Characteristics</w:t>
      </w:r>
      <w:r w:rsidR="00DD765F">
        <w:t xml:space="preserve"> (</w:t>
      </w:r>
      <w:proofErr w:type="spellStart"/>
      <w:r w:rsidR="00DD765F" w:rsidRPr="000E6125">
        <w:rPr>
          <w:rFonts w:ascii="Courier New" w:hAnsi="Courier New" w:cs="Courier New"/>
        </w:rPr>
        <w:t>MTOps</w:t>
      </w:r>
      <w:proofErr w:type="spellEnd"/>
      <w:r w:rsidR="00DD765F" w:rsidRPr="000E6125">
        <w:rPr>
          <w:rFonts w:ascii="Courier New" w:hAnsi="Courier New" w:cs="Courier New"/>
        </w:rPr>
        <w:t xml:space="preserve"> Risk Assessment v1.8.doc</w:t>
      </w:r>
      <w:r w:rsidR="00DD765F">
        <w:t>)</w:t>
      </w:r>
    </w:p>
    <w:p w14:paraId="239F60DE" w14:textId="42D2B4AF" w:rsidR="00FB4838" w:rsidRDefault="009F6277" w:rsidP="006A4C9E">
      <w:pPr>
        <w:pStyle w:val="ListParagraph"/>
        <w:numPr>
          <w:ilvl w:val="0"/>
          <w:numId w:val="1"/>
        </w:numPr>
      </w:pPr>
      <w:r>
        <w:t xml:space="preserve">For one Client in particular, </w:t>
      </w:r>
      <w:r w:rsidR="00C10F91">
        <w:t xml:space="preserve">I was part of a special security audit and Social Engineering testing for </w:t>
      </w:r>
      <w:hyperlink r:id="rId6" w:history="1">
        <w:r w:rsidR="00C10F91" w:rsidRPr="00AE63D5">
          <w:rPr>
            <w:rStyle w:val="Hyperlink"/>
          </w:rPr>
          <w:t>Eclipse Aviation</w:t>
        </w:r>
      </w:hyperlink>
      <w:r w:rsidR="00C10F91">
        <w:t xml:space="preserve"> which resulted in the company adopting</w:t>
      </w:r>
      <w:r>
        <w:t xml:space="preserve"> Common Criteria </w:t>
      </w:r>
      <w:r w:rsidR="00135BC0" w:rsidRPr="006A4C9E">
        <w:rPr>
          <w:i/>
        </w:rPr>
        <w:t xml:space="preserve">ISO/IEC 15408:1999.CC 2.0 </w:t>
      </w:r>
      <w:r w:rsidR="00135BC0">
        <w:t>as part of their FAA Certification.</w:t>
      </w:r>
      <w:r w:rsidR="006A4C9E">
        <w:t xml:space="preserve">  Our two deliverables became templates for other clients. (</w:t>
      </w:r>
      <w:r w:rsidR="006A4C9E" w:rsidRPr="000E6125">
        <w:rPr>
          <w:rFonts w:ascii="Courier New" w:hAnsi="Courier New" w:cs="Courier New"/>
        </w:rPr>
        <w:t>CLIENT Common Criteria v1.1.doc</w:t>
      </w:r>
      <w:r w:rsidR="006A4C9E">
        <w:t xml:space="preserve"> and </w:t>
      </w:r>
      <w:r w:rsidR="006A4C9E" w:rsidRPr="000E6125">
        <w:rPr>
          <w:rFonts w:ascii="Courier New" w:hAnsi="Courier New" w:cs="Courier New"/>
        </w:rPr>
        <w:t>CLIENT Policies and Procedures v1.1.doc</w:t>
      </w:r>
      <w:r w:rsidR="006A4C9E">
        <w:t>)</w:t>
      </w:r>
    </w:p>
    <w:p w14:paraId="364E55D6" w14:textId="02B59410" w:rsidR="00356C01" w:rsidRDefault="00356C01">
      <w:pPr>
        <w:pBdr>
          <w:bottom w:val="single" w:sz="12" w:space="1" w:color="auto"/>
        </w:pBdr>
      </w:pPr>
    </w:p>
    <w:p w14:paraId="654964CE" w14:textId="719683E1" w:rsidR="00531271" w:rsidRDefault="00F9109B">
      <w:r>
        <w:t xml:space="preserve">While at </w:t>
      </w:r>
      <w:r w:rsidR="00C10F91">
        <w:t>Canon</w:t>
      </w:r>
      <w:r w:rsidR="00FB4838">
        <w:t xml:space="preserve">, </w:t>
      </w:r>
      <w:r>
        <w:t>I was part of a</w:t>
      </w:r>
      <w:r w:rsidR="006A4C9E">
        <w:t xml:space="preserve">n audit team </w:t>
      </w:r>
      <w:r w:rsidR="00135BC0">
        <w:t xml:space="preserve">for </w:t>
      </w:r>
      <w:r w:rsidR="004513BB">
        <w:t xml:space="preserve">the Project Management Institute </w:t>
      </w:r>
      <w:r w:rsidR="00135BC0">
        <w:t xml:space="preserve">PMI.org </w:t>
      </w:r>
      <w:r w:rsidR="003341E7">
        <w:t xml:space="preserve">redesign, </w:t>
      </w:r>
      <w:r w:rsidR="00135BC0">
        <w:t xml:space="preserve">which </w:t>
      </w:r>
      <w:r w:rsidR="00AE63D5">
        <w:t xml:space="preserve">resulted in the company adopting </w:t>
      </w:r>
      <w:hyperlink r:id="rId7" w:history="1">
        <w:r w:rsidR="00AE63D5" w:rsidRPr="00AE63D5">
          <w:rPr>
            <w:rStyle w:val="Hyperlink"/>
          </w:rPr>
          <w:t>ISO 27001:2005</w:t>
        </w:r>
      </w:hyperlink>
      <w:r w:rsidR="00AE63D5">
        <w:t xml:space="preserve"> standards with </w:t>
      </w:r>
      <w:hyperlink r:id="rId8" w:history="1">
        <w:r w:rsidR="00AE63D5" w:rsidRPr="00AE63D5">
          <w:rPr>
            <w:rStyle w:val="Hyperlink"/>
          </w:rPr>
          <w:t>CIS Benchmarks</w:t>
        </w:r>
      </w:hyperlink>
      <w:r w:rsidR="00AE63D5">
        <w:t xml:space="preserve"> as part of their </w:t>
      </w:r>
      <w:r w:rsidR="003341E7">
        <w:t>internal technical audit</w:t>
      </w:r>
      <w:r w:rsidR="00A3617D">
        <w:t xml:space="preserve">.  </w:t>
      </w:r>
    </w:p>
    <w:p w14:paraId="6F91AC93" w14:textId="77777777" w:rsidR="00356C01" w:rsidRDefault="00356C01" w:rsidP="00356C01">
      <w:pPr>
        <w:pBdr>
          <w:bottom w:val="single" w:sz="12" w:space="1" w:color="auto"/>
        </w:pBdr>
      </w:pPr>
    </w:p>
    <w:p w14:paraId="0D3A8F3D" w14:textId="6B2E32C9" w:rsidR="00D30ECA" w:rsidRDefault="00D30ECA" w:rsidP="00D30ECA">
      <w:r>
        <w:t xml:space="preserve">With CIGNA, while launching the new Individual plans, </w:t>
      </w:r>
      <w:r w:rsidR="00AB1F52">
        <w:t xml:space="preserve">we needed to modify the Online Application </w:t>
      </w:r>
      <w:r w:rsidR="00F524AA">
        <w:t xml:space="preserve">to adhere to new Industry Compliance for both Federal and individual state regulations for Health Insurance as changes were being made for Obamacare.  </w:t>
      </w:r>
      <w:r w:rsidR="00E97184">
        <w:t>We successfully created plans for each state, for each compliance item.  (</w:t>
      </w:r>
      <w:r w:rsidR="00E97184" w:rsidRPr="00643083">
        <w:rPr>
          <w:rFonts w:ascii="Courier New" w:hAnsi="Courier New" w:cs="Courier New"/>
        </w:rPr>
        <w:t>IR446 OLA Compliance PDF Revised Project Plan 2011-01-13.pdf</w:t>
      </w:r>
      <w:r w:rsidR="00E97184">
        <w:t xml:space="preserve">).  We also identified a </w:t>
      </w:r>
      <w:r>
        <w:t>risk</w:t>
      </w:r>
      <w:r w:rsidR="00E97184">
        <w:t xml:space="preserve"> which </w:t>
      </w:r>
      <w:r>
        <w:t xml:space="preserve">turned into a large issue with capacity and turn-around times within Underwriting.  We identified options for improvement including BPR, automation, and outsourcing, then </w:t>
      </w:r>
      <w:r w:rsidR="00A744AC">
        <w:t xml:space="preserve">I </w:t>
      </w:r>
      <w:r>
        <w:t>devised a plan, created metrics and model to track impact and trending analysis to eliminate the backlog.</w:t>
      </w:r>
      <w:r w:rsidR="009929FB">
        <w:t xml:space="preserve"> (</w:t>
      </w:r>
      <w:r w:rsidR="009929FB" w:rsidRPr="009929FB">
        <w:rPr>
          <w:rFonts w:ascii="Courier New" w:hAnsi="Courier New" w:cs="Courier New"/>
        </w:rPr>
        <w:t>Underwriting Capacity and Backlog Elimination Summary 2009-07.ppt</w:t>
      </w:r>
      <w:r w:rsidR="009929FB">
        <w:t>)</w:t>
      </w:r>
    </w:p>
    <w:p w14:paraId="69321F5E" w14:textId="77777777" w:rsidR="00356C01" w:rsidRDefault="00356C01" w:rsidP="00356C01">
      <w:pPr>
        <w:pBdr>
          <w:bottom w:val="single" w:sz="12" w:space="1" w:color="auto"/>
        </w:pBdr>
      </w:pPr>
    </w:p>
    <w:p w14:paraId="3FC5E479" w14:textId="574167F0" w:rsidR="007B08DD" w:rsidRDefault="005C7A9E">
      <w:r>
        <w:t xml:space="preserve">While at FirstLab, </w:t>
      </w:r>
      <w:r w:rsidR="003676B7">
        <w:t>I was brought in to revamp the entire Infrastructure and ensure PCI Compliance</w:t>
      </w:r>
      <w:r w:rsidR="00F31979">
        <w:t xml:space="preserve"> and </w:t>
      </w:r>
      <w:r w:rsidR="003676B7">
        <w:t>Annual A</w:t>
      </w:r>
      <w:r w:rsidR="00F31979">
        <w:t>u</w:t>
      </w:r>
      <w:r w:rsidR="003676B7">
        <w:t>d</w:t>
      </w:r>
      <w:r w:rsidR="00F31979">
        <w:t xml:space="preserve">it success.  </w:t>
      </w:r>
      <w:r w:rsidR="007929DE">
        <w:t xml:space="preserve">Using the tools created from CDI, </w:t>
      </w:r>
      <w:r w:rsidR="00432500">
        <w:t>I</w:t>
      </w:r>
      <w:r w:rsidR="00F31979">
        <w:t xml:space="preserve"> </w:t>
      </w:r>
      <w:r w:rsidR="008769D6">
        <w:t xml:space="preserve">created initial IT Policies, PMO and Governance models, and performed </w:t>
      </w:r>
      <w:r w:rsidR="009414EA">
        <w:t xml:space="preserve">a variety of </w:t>
      </w:r>
      <w:r w:rsidR="008769D6">
        <w:t>internal</w:t>
      </w:r>
      <w:r w:rsidR="00432500">
        <w:t xml:space="preserve"> and external</w:t>
      </w:r>
      <w:r w:rsidR="008769D6">
        <w:t xml:space="preserve"> audits</w:t>
      </w:r>
      <w:r w:rsidR="00D86C23">
        <w:t>.  The f</w:t>
      </w:r>
      <w:r w:rsidR="00F31979">
        <w:t>irst external penetration test and audit for security</w:t>
      </w:r>
      <w:r w:rsidR="00D86C23">
        <w:t xml:space="preserve"> discovered 15 severe </w:t>
      </w:r>
      <w:r w:rsidR="002E1B87">
        <w:t>issues, all of which were mitigated.  HIPAA training was never performed</w:t>
      </w:r>
      <w:r w:rsidR="009E4904">
        <w:t xml:space="preserve"> prior to my arrival</w:t>
      </w:r>
      <w:r w:rsidR="002E1B87">
        <w:t xml:space="preserve">, which became a requirement </w:t>
      </w:r>
      <w:r w:rsidR="00E32639">
        <w:t xml:space="preserve">for all employees, and </w:t>
      </w:r>
      <w:r w:rsidR="009E4904">
        <w:t xml:space="preserve">included HITRUST </w:t>
      </w:r>
      <w:r w:rsidR="00E32639">
        <w:t>training</w:t>
      </w:r>
      <w:r w:rsidR="009E4904">
        <w:t xml:space="preserve"> for all IT employees.  </w:t>
      </w:r>
      <w:r w:rsidR="00804E5D">
        <w:t xml:space="preserve">First </w:t>
      </w:r>
      <w:r w:rsidR="002A3DF9">
        <w:t>Software audit resulted in</w:t>
      </w:r>
      <w:r w:rsidR="005D19D9">
        <w:t xml:space="preserve"> the IT department to</w:t>
      </w:r>
      <w:r w:rsidR="002A3DF9">
        <w:t xml:space="preserve"> obtain Microsoft Gold Partner </w:t>
      </w:r>
      <w:r w:rsidR="00804E5D">
        <w:t xml:space="preserve">to save over $200k annually in licensing fees, and </w:t>
      </w:r>
      <w:r w:rsidR="005D19D9">
        <w:t>avoid additional costs owed</w:t>
      </w:r>
      <w:r w:rsidR="006F37A6">
        <w:t xml:space="preserve"> (</w:t>
      </w:r>
      <w:r w:rsidR="006F37A6" w:rsidRPr="000F7157">
        <w:rPr>
          <w:rFonts w:ascii="Courier New" w:hAnsi="Courier New" w:cs="Courier New"/>
        </w:rPr>
        <w:t>FirstLab Information Technology and Security.docx</w:t>
      </w:r>
      <w:r w:rsidR="006F37A6">
        <w:t>)</w:t>
      </w:r>
      <w:r w:rsidR="005D19D9">
        <w:t xml:space="preserve">.  </w:t>
      </w:r>
      <w:r w:rsidR="00054F54">
        <w:t xml:space="preserve">As a result, the first Business Continuity and Disaster Recovery plan was created </w:t>
      </w:r>
      <w:r w:rsidR="00041438">
        <w:t xml:space="preserve">for both FirstLab and </w:t>
      </w:r>
      <w:proofErr w:type="spellStart"/>
      <w:r w:rsidR="00041438">
        <w:t>Genomind</w:t>
      </w:r>
      <w:proofErr w:type="spellEnd"/>
      <w:r w:rsidR="00790E82">
        <w:t xml:space="preserve"> (</w:t>
      </w:r>
      <w:r w:rsidR="00790E82" w:rsidRPr="00790E82">
        <w:rPr>
          <w:rFonts w:ascii="Courier New" w:hAnsi="Courier New" w:cs="Courier New"/>
        </w:rPr>
        <w:t>RID BC-DR Plan 2011-</w:t>
      </w:r>
      <w:r w:rsidR="00790E82" w:rsidRPr="00790E82">
        <w:rPr>
          <w:rFonts w:ascii="Courier New" w:hAnsi="Courier New" w:cs="Courier New"/>
        </w:rPr>
        <w:lastRenderedPageBreak/>
        <w:t>10.doc</w:t>
      </w:r>
      <w:r w:rsidR="00790E82">
        <w:t>)</w:t>
      </w:r>
      <w:r w:rsidR="00041438">
        <w:t xml:space="preserve">.  </w:t>
      </w:r>
      <w:r w:rsidR="007B08DD">
        <w:t xml:space="preserve">I was </w:t>
      </w:r>
      <w:r w:rsidR="00790E82">
        <w:t xml:space="preserve">part of the team to have </w:t>
      </w:r>
      <w:r w:rsidR="00355F64">
        <w:t>FirstLab becom</w:t>
      </w:r>
      <w:r w:rsidR="00790E82">
        <w:t>e</w:t>
      </w:r>
      <w:r w:rsidR="00355F64">
        <w:t xml:space="preserve"> a </w:t>
      </w:r>
      <w:r w:rsidR="006234EE" w:rsidRPr="006234EE">
        <w:t>Certified</w:t>
      </w:r>
      <w:r w:rsidR="00790E82">
        <w:t xml:space="preserve"> -</w:t>
      </w:r>
      <w:r w:rsidR="006234EE" w:rsidRPr="006234EE">
        <w:t xml:space="preserve"> Third Party Administrator (C-TPA) by the Substance Abuse Program Administrators Association (SAPAA).</w:t>
      </w:r>
      <w:r w:rsidR="00ED0132">
        <w:t xml:space="preserve">  For </w:t>
      </w:r>
      <w:proofErr w:type="spellStart"/>
      <w:r w:rsidR="00ED0132">
        <w:t>Genomind</w:t>
      </w:r>
      <w:proofErr w:type="spellEnd"/>
      <w:r w:rsidR="00ED0132">
        <w:t xml:space="preserve">, </w:t>
      </w:r>
      <w:r w:rsidR="006053C0">
        <w:t>the infrastructure upgrades</w:t>
      </w:r>
      <w:r w:rsidR="00CC191A">
        <w:t xml:space="preserve">, governance and policies </w:t>
      </w:r>
      <w:r w:rsidR="006053C0">
        <w:t>es</w:t>
      </w:r>
      <w:r w:rsidR="00ED0132">
        <w:t xml:space="preserve">tablished the foundation </w:t>
      </w:r>
      <w:r w:rsidR="006053C0">
        <w:t xml:space="preserve">for </w:t>
      </w:r>
      <w:r w:rsidR="00D41964">
        <w:t xml:space="preserve">services to </w:t>
      </w:r>
      <w:r w:rsidR="008075C0">
        <w:t>work with</w:t>
      </w:r>
      <w:r w:rsidR="00D41964">
        <w:t xml:space="preserve"> the</w:t>
      </w:r>
      <w:r w:rsidR="008075C0">
        <w:t xml:space="preserve"> </w:t>
      </w:r>
      <w:r w:rsidR="008075C0" w:rsidRPr="008075C0">
        <w:t>College of American Pathologists (CAP)</w:t>
      </w:r>
      <w:r w:rsidR="008075C0">
        <w:t xml:space="preserve"> </w:t>
      </w:r>
      <w:r w:rsidR="00041438">
        <w:t>for accredi</w:t>
      </w:r>
      <w:r w:rsidR="007853C2">
        <w:t xml:space="preserve">tation </w:t>
      </w:r>
      <w:r w:rsidR="008075C0">
        <w:t xml:space="preserve">to </w:t>
      </w:r>
      <w:r w:rsidR="00D41964">
        <w:t>ensure</w:t>
      </w:r>
      <w:r w:rsidR="008075C0">
        <w:t xml:space="preserve"> our</w:t>
      </w:r>
      <w:r w:rsidR="00D41964">
        <w:t xml:space="preserve"> 3</w:t>
      </w:r>
      <w:r w:rsidR="00D41964" w:rsidRPr="00D41964">
        <w:rPr>
          <w:vertAlign w:val="superscript"/>
        </w:rPr>
        <w:t>rd</w:t>
      </w:r>
      <w:r w:rsidR="00D41964">
        <w:t xml:space="preserve"> party </w:t>
      </w:r>
      <w:r w:rsidR="008075C0">
        <w:t xml:space="preserve">labs </w:t>
      </w:r>
      <w:r w:rsidR="003F2314" w:rsidRPr="003F2314">
        <w:t>hold certification to perform highly complex testing under the Clinical Laboratory Improvement Amendments (CLIA)</w:t>
      </w:r>
      <w:r w:rsidR="003F2314">
        <w:t>.</w:t>
      </w:r>
      <w:r w:rsidR="00D84AB5">
        <w:t xml:space="preserve"> </w:t>
      </w:r>
    </w:p>
    <w:p w14:paraId="6CA583D0" w14:textId="77777777" w:rsidR="00356C01" w:rsidRDefault="00356C01" w:rsidP="00356C01">
      <w:pPr>
        <w:pBdr>
          <w:bottom w:val="single" w:sz="12" w:space="1" w:color="auto"/>
        </w:pBdr>
      </w:pPr>
    </w:p>
    <w:p w14:paraId="7BB658A9" w14:textId="1595B08B" w:rsidR="00833C3A" w:rsidRDefault="007853C2" w:rsidP="00833C3A">
      <w:r>
        <w:t xml:space="preserve">For the City of Philadelphia, </w:t>
      </w:r>
      <w:r w:rsidR="00DD7D07">
        <w:t xml:space="preserve">implementation of the EHR </w:t>
      </w:r>
      <w:r w:rsidR="00665602">
        <w:t xml:space="preserve">needed to comply with Meaningful Use (MU) and HIPAA Security Rules </w:t>
      </w:r>
      <w:r w:rsidR="00833C3A">
        <w:t>to</w:t>
      </w:r>
      <w:r w:rsidR="00665602">
        <w:t xml:space="preserve"> receive MU credits.  </w:t>
      </w:r>
      <w:r w:rsidR="006C1430">
        <w:t>The SRA tool</w:t>
      </w:r>
      <w:r w:rsidR="00833C3A">
        <w:t xml:space="preserve"> </w:t>
      </w:r>
      <w:r w:rsidR="00B96DA9" w:rsidRPr="00B96DA9">
        <w:t>references components of  the National Institute of Standards and Technology (NIST) Special Publications (SP) 800-66 and 800-30 as guidance for a security risk assessment</w:t>
      </w:r>
      <w:r w:rsidR="00AB4C46">
        <w:t xml:space="preserve"> to</w:t>
      </w:r>
      <w:r w:rsidR="00833C3A">
        <w:t xml:space="preserve"> identify conditions where Electronic Protected Health Information (EPHI) could be disclosed without proper authorization, improperly modified, or made unavailable when needed. This information is then used to make risk management decisions on what reasonable and appropriate safeguards are needed to reduce risk to an acceptable level.</w:t>
      </w:r>
      <w:r w:rsidR="00AB4C46">
        <w:t xml:space="preserve">  I was responsible to perform these annual audits and assessments</w:t>
      </w:r>
      <w:r w:rsidR="0001438F">
        <w:t>; and a</w:t>
      </w:r>
      <w:r w:rsidR="00095DD6">
        <w:t xml:space="preserve">s the tool and program matured, </w:t>
      </w:r>
      <w:r w:rsidR="00AF6A2B">
        <w:t>so did my responsibilities</w:t>
      </w:r>
      <w:r w:rsidR="00C36392">
        <w:t xml:space="preserve"> </w:t>
      </w:r>
      <w:r w:rsidR="00095DD6">
        <w:t>to provid</w:t>
      </w:r>
      <w:r w:rsidR="00C36392">
        <w:t>e</w:t>
      </w:r>
      <w:r w:rsidR="00095DD6">
        <w:t xml:space="preserve"> Monthly Operations and Security audits</w:t>
      </w:r>
      <w:r w:rsidR="00C36392">
        <w:t>, and annual asset</w:t>
      </w:r>
      <w:r w:rsidR="0014435E">
        <w:t>\</w:t>
      </w:r>
      <w:r w:rsidR="00C36392">
        <w:t>inventory audits.</w:t>
      </w:r>
      <w:r w:rsidR="00826C5A">
        <w:t xml:space="preserve"> </w:t>
      </w:r>
      <w:r w:rsidR="00CE129F">
        <w:t xml:space="preserve"> </w:t>
      </w:r>
      <w:r w:rsidR="00E86EF7">
        <w:t xml:space="preserve">Using TOGAF to create the big picture enterprise architecture helped with risk and impact analysis for these audits.  </w:t>
      </w:r>
      <w:r w:rsidR="00CE129F">
        <w:t xml:space="preserve">This </w:t>
      </w:r>
      <w:r w:rsidR="00096920">
        <w:t>information</w:t>
      </w:r>
      <w:r w:rsidR="00CA67D4">
        <w:t xml:space="preserve"> also</w:t>
      </w:r>
      <w:r w:rsidR="00096920">
        <w:t xml:space="preserve"> supported the </w:t>
      </w:r>
      <w:hyperlink r:id="rId9" w:history="1">
        <w:r w:rsidR="00CE129F" w:rsidRPr="00D955CF">
          <w:rPr>
            <w:rStyle w:val="Hyperlink"/>
          </w:rPr>
          <w:t>City</w:t>
        </w:r>
        <w:r w:rsidR="00096920">
          <w:rPr>
            <w:rStyle w:val="Hyperlink"/>
          </w:rPr>
          <w:t xml:space="preserve"> of Philadelphia</w:t>
        </w:r>
        <w:r w:rsidR="00CE129F" w:rsidRPr="00D955CF">
          <w:rPr>
            <w:rStyle w:val="Hyperlink"/>
          </w:rPr>
          <w:t xml:space="preserve"> </w:t>
        </w:r>
        <w:r w:rsidR="00D955CF" w:rsidRPr="00D955CF">
          <w:rPr>
            <w:rStyle w:val="Hyperlink"/>
          </w:rPr>
          <w:t xml:space="preserve">DPH </w:t>
        </w:r>
        <w:r w:rsidR="00CE129F" w:rsidRPr="00D955CF">
          <w:rPr>
            <w:rStyle w:val="Hyperlink"/>
          </w:rPr>
          <w:t xml:space="preserve">achieving </w:t>
        </w:r>
        <w:r w:rsidR="00D955CF" w:rsidRPr="00D955CF">
          <w:rPr>
            <w:rStyle w:val="Hyperlink"/>
          </w:rPr>
          <w:t>accreditation</w:t>
        </w:r>
      </w:hyperlink>
      <w:r w:rsidR="00D955CF">
        <w:t xml:space="preserve">.  </w:t>
      </w:r>
      <w:r w:rsidR="00826C5A">
        <w:t xml:space="preserve"> From previous experience, I authored the </w:t>
      </w:r>
      <w:r w:rsidR="00F74130">
        <w:t>EHR policies and governance models including support, escalation, BCDR, and Access agreements.</w:t>
      </w:r>
      <w:r w:rsidR="00C64A66">
        <w:t xml:space="preserve">  Sample Documents include:</w:t>
      </w:r>
    </w:p>
    <w:p w14:paraId="5E8F1025" w14:textId="4935F6E5" w:rsidR="00784319" w:rsidRPr="00481D3F" w:rsidRDefault="00784319" w:rsidP="00481D3F">
      <w:pPr>
        <w:pStyle w:val="ListParagraph"/>
        <w:numPr>
          <w:ilvl w:val="0"/>
          <w:numId w:val="2"/>
        </w:numPr>
        <w:rPr>
          <w:rFonts w:ascii="Courier New" w:hAnsi="Courier New" w:cs="Courier New"/>
        </w:rPr>
      </w:pPr>
      <w:r w:rsidRPr="00481D3F">
        <w:rPr>
          <w:rFonts w:ascii="Courier New" w:hAnsi="Courier New" w:cs="Courier New"/>
        </w:rPr>
        <w:t>Facility Walkthrough Checklist - PDPH-AHS-HCx.doc</w:t>
      </w:r>
    </w:p>
    <w:p w14:paraId="364D7F97" w14:textId="48AC302C" w:rsidR="00C64A66" w:rsidRPr="00481D3F" w:rsidRDefault="00C64A66" w:rsidP="00481D3F">
      <w:pPr>
        <w:pStyle w:val="ListParagraph"/>
        <w:numPr>
          <w:ilvl w:val="0"/>
          <w:numId w:val="2"/>
        </w:numPr>
        <w:rPr>
          <w:rFonts w:ascii="Courier New" w:hAnsi="Courier New" w:cs="Courier New"/>
        </w:rPr>
      </w:pPr>
      <w:r w:rsidRPr="00481D3F">
        <w:rPr>
          <w:rFonts w:ascii="Courier New" w:hAnsi="Courier New" w:cs="Courier New"/>
        </w:rPr>
        <w:t>Health Center PHI Assessment EXEC Summary 2018.docx</w:t>
      </w:r>
    </w:p>
    <w:p w14:paraId="10C0E280" w14:textId="668F58B8" w:rsidR="00C64A66" w:rsidRPr="00481D3F" w:rsidRDefault="00490170" w:rsidP="00481D3F">
      <w:pPr>
        <w:pStyle w:val="ListParagraph"/>
        <w:numPr>
          <w:ilvl w:val="0"/>
          <w:numId w:val="2"/>
        </w:numPr>
        <w:rPr>
          <w:rFonts w:ascii="Courier New" w:hAnsi="Courier New" w:cs="Courier New"/>
        </w:rPr>
      </w:pPr>
      <w:r w:rsidRPr="00481D3F">
        <w:rPr>
          <w:rFonts w:ascii="Courier New" w:hAnsi="Courier New" w:cs="Courier New"/>
        </w:rPr>
        <w:t>AHS EHR OCR HIPAA TOC 2019.xlsx</w:t>
      </w:r>
    </w:p>
    <w:p w14:paraId="1D743D10" w14:textId="7AA13038" w:rsidR="00833C3A" w:rsidRPr="00481D3F" w:rsidRDefault="00286467" w:rsidP="00481D3F">
      <w:pPr>
        <w:pStyle w:val="ListParagraph"/>
        <w:numPr>
          <w:ilvl w:val="0"/>
          <w:numId w:val="2"/>
        </w:numPr>
        <w:rPr>
          <w:rFonts w:ascii="Courier New" w:hAnsi="Courier New" w:cs="Courier New"/>
        </w:rPr>
      </w:pPr>
      <w:r w:rsidRPr="00481D3F">
        <w:rPr>
          <w:rFonts w:ascii="Courier New" w:hAnsi="Courier New" w:cs="Courier New"/>
        </w:rPr>
        <w:t xml:space="preserve">DPH AHS EHR </w:t>
      </w:r>
      <w:r w:rsidRPr="0056279A">
        <w:rPr>
          <w:rFonts w:ascii="Courier New" w:hAnsi="Courier New" w:cs="Courier New"/>
        </w:rPr>
        <w:t>SRA</w:t>
      </w:r>
      <w:r w:rsidRPr="00481D3F">
        <w:rPr>
          <w:rFonts w:ascii="Courier New" w:hAnsi="Courier New" w:cs="Courier New"/>
        </w:rPr>
        <w:t xml:space="preserve"> 2019-11.pdf</w:t>
      </w:r>
    </w:p>
    <w:p w14:paraId="62F67F40" w14:textId="61A611BA" w:rsidR="00096920" w:rsidRPr="00481D3F" w:rsidRDefault="00481D3F" w:rsidP="00481D3F">
      <w:pPr>
        <w:pStyle w:val="ListParagraph"/>
        <w:numPr>
          <w:ilvl w:val="0"/>
          <w:numId w:val="2"/>
        </w:numPr>
        <w:rPr>
          <w:rFonts w:ascii="Courier New" w:hAnsi="Courier New" w:cs="Courier New"/>
        </w:rPr>
      </w:pPr>
      <w:r w:rsidRPr="00481D3F">
        <w:rPr>
          <w:rFonts w:ascii="Courier New" w:hAnsi="Courier New" w:cs="Courier New"/>
        </w:rPr>
        <w:t>EHR Monthly Security Ops 6-2020.pdf</w:t>
      </w:r>
    </w:p>
    <w:p w14:paraId="2B42B5B3" w14:textId="3D563594" w:rsidR="003B1291" w:rsidRDefault="003B1291">
      <w:r>
        <w:t xml:space="preserve">Being an Architect has provided many </w:t>
      </w:r>
      <w:r w:rsidR="00F60911">
        <w:t xml:space="preserve">opportunities as a SME or Lead for Operational and Technical Audit projects and initiatives.  Defining </w:t>
      </w:r>
      <w:r>
        <w:t xml:space="preserve">the ‘current state’ </w:t>
      </w:r>
      <w:r w:rsidR="00F60911">
        <w:t>within the ‘</w:t>
      </w:r>
      <w:r>
        <w:t>big picture</w:t>
      </w:r>
      <w:r w:rsidR="00F60911">
        <w:t>’</w:t>
      </w:r>
      <w:r w:rsidR="00481D3F">
        <w:t xml:space="preserve">, moving from Going from conceptual to logical and physical diagrams, </w:t>
      </w:r>
      <w:r>
        <w:t>makes it more intuitive to see gaps, risks, and imp</w:t>
      </w:r>
      <w:r w:rsidR="00F60911">
        <w:t xml:space="preserve">act areas, and identify mitigations, improvements, and solutions.  Always taking a People, Process, and Technology approach to whichever framework and tool is used.  </w:t>
      </w:r>
      <w:r w:rsidR="00107B50">
        <w:t>Regardless of role\title, I have always assisted or lead projects</w:t>
      </w:r>
      <w:r w:rsidR="006C5778">
        <w:t xml:space="preserve">.  Seems I have a knack for creating requirements\checklists and devising plans.  </w:t>
      </w:r>
      <w:r w:rsidR="000E6CA9">
        <w:t xml:space="preserve">Many projects came out of the initial City SRA Audit </w:t>
      </w:r>
      <w:r w:rsidR="00E81232">
        <w:t>to</w:t>
      </w:r>
      <w:r w:rsidR="000E6CA9">
        <w:t xml:space="preserve"> achieve </w:t>
      </w:r>
      <w:r w:rsidR="002A2467">
        <w:t xml:space="preserve">MU credits and accreditation.  </w:t>
      </w:r>
      <w:r w:rsidR="003D0A10">
        <w:t xml:space="preserve">In 2019, </w:t>
      </w:r>
      <w:r w:rsidR="00FE4E94">
        <w:t xml:space="preserve">City OIT decided to </w:t>
      </w:r>
      <w:r w:rsidR="003D0A10">
        <w:t xml:space="preserve">look to </w:t>
      </w:r>
      <w:r w:rsidR="00FE4E94">
        <w:t>NIST audit tools using SCAP content for Microsoft</w:t>
      </w:r>
      <w:r w:rsidR="00007E5F">
        <w:t>.</w:t>
      </w:r>
    </w:p>
    <w:p w14:paraId="2720A306" w14:textId="77777777" w:rsidR="003D0A10" w:rsidRDefault="003D0A10" w:rsidP="003D0A10">
      <w:pPr>
        <w:pBdr>
          <w:bottom w:val="single" w:sz="12" w:space="1" w:color="auto"/>
        </w:pBdr>
      </w:pPr>
    </w:p>
    <w:p w14:paraId="5A7FA2F9" w14:textId="745359D8" w:rsidR="00007E5F" w:rsidRDefault="00EF73E8" w:rsidP="0050300E">
      <w:r>
        <w:t>At Talkiatry, we decided to use the SRA</w:t>
      </w:r>
      <w:r w:rsidR="000B7DCD">
        <w:t xml:space="preserve"> for </w:t>
      </w:r>
      <w:r w:rsidR="00D34AC5">
        <w:t xml:space="preserve">establishing benchmarks and showing progress, </w:t>
      </w:r>
      <w:r>
        <w:t>but</w:t>
      </w:r>
      <w:r w:rsidR="00D34AC5">
        <w:t xml:space="preserve"> also: N</w:t>
      </w:r>
      <w:r>
        <w:t xml:space="preserve">IST </w:t>
      </w:r>
      <w:r w:rsidR="00DD0144">
        <w:t xml:space="preserve">SP </w:t>
      </w:r>
      <w:hyperlink r:id="rId10" w:history="1">
        <w:r w:rsidRPr="00DF1CAA">
          <w:rPr>
            <w:rStyle w:val="Hyperlink"/>
          </w:rPr>
          <w:t>800-30</w:t>
        </w:r>
      </w:hyperlink>
      <w:r w:rsidR="0050300E">
        <w:t>, Guide for Conducting Risk Assessments</w:t>
      </w:r>
      <w:r w:rsidR="00D34AC5">
        <w:t xml:space="preserve">; </w:t>
      </w:r>
      <w:r w:rsidR="00482DB3">
        <w:t xml:space="preserve">the Prose </w:t>
      </w:r>
      <w:hyperlink r:id="rId11" w:history="1">
        <w:r w:rsidR="00482DB3" w:rsidRPr="000B7DCD">
          <w:rPr>
            <w:rStyle w:val="Hyperlink"/>
          </w:rPr>
          <w:t>Azure Security Benchmark 1.0 Checklist</w:t>
        </w:r>
      </w:hyperlink>
      <w:r w:rsidR="007B5123">
        <w:t xml:space="preserve">; and </w:t>
      </w:r>
      <w:r w:rsidR="00DD0144">
        <w:t xml:space="preserve">review </w:t>
      </w:r>
      <w:hyperlink r:id="rId12" w:history="1">
        <w:r w:rsidR="00DD0144" w:rsidRPr="00DD0144">
          <w:rPr>
            <w:rStyle w:val="Hyperlink"/>
          </w:rPr>
          <w:t>NIST SP 800-53</w:t>
        </w:r>
      </w:hyperlink>
      <w:r w:rsidR="00DD0144">
        <w:t xml:space="preserve"> </w:t>
      </w:r>
      <w:r w:rsidR="00106AB7" w:rsidRPr="00106AB7">
        <w:t>Security and Privacy Controls for Information Systems and Organizations</w:t>
      </w:r>
      <w:r w:rsidR="00106AB7">
        <w:t>.</w:t>
      </w:r>
      <w:r w:rsidR="007B5123">
        <w:t xml:space="preserve"> </w:t>
      </w:r>
    </w:p>
    <w:p w14:paraId="4A24672A" w14:textId="77777777" w:rsidR="00356C01" w:rsidRDefault="00356C01"/>
    <w:p w14:paraId="50742321" w14:textId="1AA51507" w:rsidR="00F60911" w:rsidRDefault="00E81232">
      <w:r>
        <w:t xml:space="preserve">I’ve learned to use what is appropriate for </w:t>
      </w:r>
      <w:r w:rsidR="00F108B8">
        <w:t xml:space="preserve">Strategic Planning and Design, which may be different from Tactical analysis and Delivery: </w:t>
      </w:r>
      <w:r w:rsidR="00F60911">
        <w:t>NIST with Core, Tiers, and Profiles; ITIL for IT Service</w:t>
      </w:r>
      <w:r w:rsidR="002A2467">
        <w:t xml:space="preserve"> Management</w:t>
      </w:r>
      <w:r w:rsidR="00F60911">
        <w:t xml:space="preserve"> and Governance</w:t>
      </w:r>
      <w:r w:rsidR="002A2467">
        <w:t>; CO</w:t>
      </w:r>
      <w:r w:rsidR="00DB56AF">
        <w:t>B</w:t>
      </w:r>
      <w:r w:rsidR="002A2467">
        <w:t xml:space="preserve">IT to </w:t>
      </w:r>
      <w:r w:rsidR="00DB56AF">
        <w:t xml:space="preserve">increase </w:t>
      </w:r>
      <w:r w:rsidR="00336684">
        <w:t>quality and reliability</w:t>
      </w:r>
      <w:r w:rsidR="00775815">
        <w:t>, reduce risk,</w:t>
      </w:r>
      <w:r w:rsidR="00DB56AF">
        <w:t xml:space="preserve"> with better agility and collaboration</w:t>
      </w:r>
      <w:r w:rsidR="002A2467">
        <w:t xml:space="preserve">; TOGAF </w:t>
      </w:r>
      <w:r w:rsidR="003C2600">
        <w:t>to organize and manage technology through Architecture</w:t>
      </w:r>
      <w:r w:rsidR="00CE181E">
        <w:t>.</w:t>
      </w:r>
      <w:r w:rsidR="00F60911">
        <w:t xml:space="preserve"> </w:t>
      </w:r>
    </w:p>
    <w:p w14:paraId="189C9D56" w14:textId="4FE6181F" w:rsidR="003B1291" w:rsidRDefault="00D97A3B">
      <w:r w:rsidRPr="00D97A3B">
        <w:rPr>
          <w:i/>
          <w:iCs/>
        </w:rPr>
        <w:t>Items in</w:t>
      </w:r>
      <w:r>
        <w:t xml:space="preserve"> </w:t>
      </w:r>
      <w:r w:rsidRPr="00D97A3B">
        <w:rPr>
          <w:rFonts w:ascii="Courier New" w:hAnsi="Courier New" w:cs="Courier New"/>
        </w:rPr>
        <w:t>Courier Font denote sample</w:t>
      </w:r>
      <w:r>
        <w:rPr>
          <w:rFonts w:ascii="Courier New" w:hAnsi="Courier New" w:cs="Courier New"/>
        </w:rPr>
        <w:t xml:space="preserve"> artifacts</w:t>
      </w:r>
      <w:r>
        <w:t xml:space="preserve"> </w:t>
      </w:r>
      <w:r w:rsidRPr="00D97A3B">
        <w:rPr>
          <w:i/>
          <w:iCs/>
        </w:rPr>
        <w:t xml:space="preserve">which </w:t>
      </w:r>
      <w:r w:rsidR="00AA7217">
        <w:rPr>
          <w:i/>
          <w:iCs/>
        </w:rPr>
        <w:t>may</w:t>
      </w:r>
      <w:r w:rsidRPr="00D97A3B">
        <w:rPr>
          <w:i/>
          <w:iCs/>
        </w:rPr>
        <w:t xml:space="preserve"> be provided upon request and approval</w:t>
      </w:r>
      <w:r>
        <w:t>.</w:t>
      </w:r>
    </w:p>
    <w:sectPr w:rsidR="003B1291" w:rsidSect="00CE18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378A8"/>
    <w:multiLevelType w:val="hybridMultilevel"/>
    <w:tmpl w:val="F2A4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C0BD1"/>
    <w:multiLevelType w:val="hybridMultilevel"/>
    <w:tmpl w:val="1EFA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08004">
    <w:abstractNumId w:val="0"/>
  </w:num>
  <w:num w:numId="2" w16cid:durableId="20251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71"/>
    <w:rsid w:val="000018E3"/>
    <w:rsid w:val="00007E5F"/>
    <w:rsid w:val="0001438F"/>
    <w:rsid w:val="00041438"/>
    <w:rsid w:val="00054F54"/>
    <w:rsid w:val="00086625"/>
    <w:rsid w:val="00095DD6"/>
    <w:rsid w:val="00096920"/>
    <w:rsid w:val="000B0805"/>
    <w:rsid w:val="000B7DCD"/>
    <w:rsid w:val="000D7EF1"/>
    <w:rsid w:val="000E6125"/>
    <w:rsid w:val="000E6CA9"/>
    <w:rsid w:val="000F7157"/>
    <w:rsid w:val="00106AB7"/>
    <w:rsid w:val="00107B50"/>
    <w:rsid w:val="00127218"/>
    <w:rsid w:val="00135219"/>
    <w:rsid w:val="00135BC0"/>
    <w:rsid w:val="0014435E"/>
    <w:rsid w:val="00155119"/>
    <w:rsid w:val="00156899"/>
    <w:rsid w:val="001716CB"/>
    <w:rsid w:val="00172962"/>
    <w:rsid w:val="00235B63"/>
    <w:rsid w:val="00286467"/>
    <w:rsid w:val="00292288"/>
    <w:rsid w:val="002935D2"/>
    <w:rsid w:val="002A2467"/>
    <w:rsid w:val="002A3DF9"/>
    <w:rsid w:val="002E1B87"/>
    <w:rsid w:val="00304D61"/>
    <w:rsid w:val="003341E7"/>
    <w:rsid w:val="00336684"/>
    <w:rsid w:val="003423D5"/>
    <w:rsid w:val="0035322E"/>
    <w:rsid w:val="003535EF"/>
    <w:rsid w:val="00355F64"/>
    <w:rsid w:val="00356C01"/>
    <w:rsid w:val="003676B7"/>
    <w:rsid w:val="003845F1"/>
    <w:rsid w:val="003B1291"/>
    <w:rsid w:val="003C2600"/>
    <w:rsid w:val="003D0A10"/>
    <w:rsid w:val="003E66B7"/>
    <w:rsid w:val="003F2314"/>
    <w:rsid w:val="003F5D77"/>
    <w:rsid w:val="00432500"/>
    <w:rsid w:val="004513BB"/>
    <w:rsid w:val="004817A2"/>
    <w:rsid w:val="00481D3F"/>
    <w:rsid w:val="00482DB3"/>
    <w:rsid w:val="00482E37"/>
    <w:rsid w:val="00490170"/>
    <w:rsid w:val="0050300E"/>
    <w:rsid w:val="00513920"/>
    <w:rsid w:val="0051520E"/>
    <w:rsid w:val="00531271"/>
    <w:rsid w:val="00544734"/>
    <w:rsid w:val="0056279A"/>
    <w:rsid w:val="00576592"/>
    <w:rsid w:val="005806FC"/>
    <w:rsid w:val="00584092"/>
    <w:rsid w:val="005C7A9E"/>
    <w:rsid w:val="005D19D9"/>
    <w:rsid w:val="006053C0"/>
    <w:rsid w:val="0062149F"/>
    <w:rsid w:val="006234EE"/>
    <w:rsid w:val="00643083"/>
    <w:rsid w:val="00643458"/>
    <w:rsid w:val="006653AE"/>
    <w:rsid w:val="00665602"/>
    <w:rsid w:val="006736A3"/>
    <w:rsid w:val="006A4C9E"/>
    <w:rsid w:val="006C1430"/>
    <w:rsid w:val="006C1B49"/>
    <w:rsid w:val="006C5778"/>
    <w:rsid w:val="006F37A6"/>
    <w:rsid w:val="00775815"/>
    <w:rsid w:val="00784319"/>
    <w:rsid w:val="007853C2"/>
    <w:rsid w:val="00790E82"/>
    <w:rsid w:val="007929DE"/>
    <w:rsid w:val="007935B9"/>
    <w:rsid w:val="007A71CE"/>
    <w:rsid w:val="007B08DD"/>
    <w:rsid w:val="007B5123"/>
    <w:rsid w:val="007F791B"/>
    <w:rsid w:val="00804E5D"/>
    <w:rsid w:val="008075C0"/>
    <w:rsid w:val="00826C5A"/>
    <w:rsid w:val="00833C3A"/>
    <w:rsid w:val="00833FA9"/>
    <w:rsid w:val="0084149E"/>
    <w:rsid w:val="008769D6"/>
    <w:rsid w:val="008B3125"/>
    <w:rsid w:val="008E1C9F"/>
    <w:rsid w:val="0091150B"/>
    <w:rsid w:val="009414EA"/>
    <w:rsid w:val="009809CB"/>
    <w:rsid w:val="009818BC"/>
    <w:rsid w:val="009929FB"/>
    <w:rsid w:val="009C4178"/>
    <w:rsid w:val="009E3198"/>
    <w:rsid w:val="009E4904"/>
    <w:rsid w:val="009F6277"/>
    <w:rsid w:val="00A3617D"/>
    <w:rsid w:val="00A744AC"/>
    <w:rsid w:val="00AA7217"/>
    <w:rsid w:val="00AB1F52"/>
    <w:rsid w:val="00AB4C46"/>
    <w:rsid w:val="00AB5F58"/>
    <w:rsid w:val="00AE63D5"/>
    <w:rsid w:val="00AE6BCD"/>
    <w:rsid w:val="00AF6A2B"/>
    <w:rsid w:val="00B25A1F"/>
    <w:rsid w:val="00B34A4A"/>
    <w:rsid w:val="00B356B7"/>
    <w:rsid w:val="00B96DA9"/>
    <w:rsid w:val="00BB5F8D"/>
    <w:rsid w:val="00C10F91"/>
    <w:rsid w:val="00C218A6"/>
    <w:rsid w:val="00C335BE"/>
    <w:rsid w:val="00C36392"/>
    <w:rsid w:val="00C57037"/>
    <w:rsid w:val="00C61A16"/>
    <w:rsid w:val="00C64A66"/>
    <w:rsid w:val="00CA67D4"/>
    <w:rsid w:val="00CC191A"/>
    <w:rsid w:val="00CE129F"/>
    <w:rsid w:val="00CE181E"/>
    <w:rsid w:val="00D30ECA"/>
    <w:rsid w:val="00D32516"/>
    <w:rsid w:val="00D34AC5"/>
    <w:rsid w:val="00D41964"/>
    <w:rsid w:val="00D83F5C"/>
    <w:rsid w:val="00D84AB5"/>
    <w:rsid w:val="00D85258"/>
    <w:rsid w:val="00D86854"/>
    <w:rsid w:val="00D86C23"/>
    <w:rsid w:val="00D91637"/>
    <w:rsid w:val="00D955CF"/>
    <w:rsid w:val="00D97A3B"/>
    <w:rsid w:val="00DB56AF"/>
    <w:rsid w:val="00DC36D7"/>
    <w:rsid w:val="00DD0144"/>
    <w:rsid w:val="00DD765F"/>
    <w:rsid w:val="00DD7D07"/>
    <w:rsid w:val="00DF0006"/>
    <w:rsid w:val="00DF1CAA"/>
    <w:rsid w:val="00E32639"/>
    <w:rsid w:val="00E750E7"/>
    <w:rsid w:val="00E81232"/>
    <w:rsid w:val="00E86EF7"/>
    <w:rsid w:val="00E939D9"/>
    <w:rsid w:val="00E97184"/>
    <w:rsid w:val="00ED0132"/>
    <w:rsid w:val="00EF73E8"/>
    <w:rsid w:val="00F1001D"/>
    <w:rsid w:val="00F108B8"/>
    <w:rsid w:val="00F15191"/>
    <w:rsid w:val="00F237E1"/>
    <w:rsid w:val="00F31979"/>
    <w:rsid w:val="00F524AA"/>
    <w:rsid w:val="00F60911"/>
    <w:rsid w:val="00F74130"/>
    <w:rsid w:val="00F9109B"/>
    <w:rsid w:val="00FB2B51"/>
    <w:rsid w:val="00FB4838"/>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2B13"/>
  <w15:chartTrackingRefBased/>
  <w15:docId w15:val="{736D84C4-FE0E-41CF-BAEA-FB591E6E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3AE"/>
    <w:rPr>
      <w:color w:val="0563C1" w:themeColor="hyperlink"/>
      <w:u w:val="single"/>
    </w:rPr>
  </w:style>
  <w:style w:type="character" w:styleId="UnresolvedMention">
    <w:name w:val="Unresolved Mention"/>
    <w:basedOn w:val="DefaultParagraphFont"/>
    <w:uiPriority w:val="99"/>
    <w:semiHidden/>
    <w:unhideWhenUsed/>
    <w:rsid w:val="006653AE"/>
    <w:rPr>
      <w:color w:val="605E5C"/>
      <w:shd w:val="clear" w:color="auto" w:fill="E1DFDD"/>
    </w:rPr>
  </w:style>
  <w:style w:type="paragraph" w:styleId="Title">
    <w:name w:val="Title"/>
    <w:basedOn w:val="Normal"/>
    <w:next w:val="Normal"/>
    <w:link w:val="TitleChar"/>
    <w:uiPriority w:val="10"/>
    <w:qFormat/>
    <w:rsid w:val="00AE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D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341E7"/>
    <w:rPr>
      <w:color w:val="954F72" w:themeColor="followedHyperlink"/>
      <w:u w:val="single"/>
    </w:rPr>
  </w:style>
  <w:style w:type="paragraph" w:styleId="ListParagraph">
    <w:name w:val="List Paragraph"/>
    <w:basedOn w:val="Normal"/>
    <w:uiPriority w:val="34"/>
    <w:qFormat/>
    <w:rsid w:val="00155119"/>
    <w:pPr>
      <w:ind w:left="720"/>
      <w:contextualSpacing/>
    </w:pPr>
  </w:style>
  <w:style w:type="paragraph" w:styleId="BalloonText">
    <w:name w:val="Balloon Text"/>
    <w:basedOn w:val="Normal"/>
    <w:link w:val="BalloonTextChar"/>
    <w:uiPriority w:val="99"/>
    <w:semiHidden/>
    <w:unhideWhenUsed/>
    <w:rsid w:val="000F7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1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curity.org/cis-benchma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standard/42103.html" TargetMode="External"/><Relationship Id="rId12" Type="http://schemas.openxmlformats.org/officeDocument/2006/relationships/hyperlink" Target="https://csrc.nist.gov/publications/detail/sp/800-30/rev-1/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clipse_Aviation" TargetMode="External"/><Relationship Id="rId11" Type="http://schemas.openxmlformats.org/officeDocument/2006/relationships/hyperlink" Target="https://ncp.nist.gov/checklist/954" TargetMode="External"/><Relationship Id="rId5" Type="http://schemas.openxmlformats.org/officeDocument/2006/relationships/hyperlink" Target="https://www.epa.gov/sites/production/files/documents/apcol-fifra.pdf" TargetMode="External"/><Relationship Id="rId10" Type="http://schemas.openxmlformats.org/officeDocument/2006/relationships/hyperlink" Target="https://csrc.nist.gov/publications/detail/sp/800-30/rev-1/final" TargetMode="External"/><Relationship Id="rId4" Type="http://schemas.openxmlformats.org/officeDocument/2006/relationships/webSettings" Target="webSettings.xml"/><Relationship Id="rId9" Type="http://schemas.openxmlformats.org/officeDocument/2006/relationships/hyperlink" Target="https://www.phila.gov/2018-10-31-public-health-accredi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Giacomelli</dc:creator>
  <cp:keywords/>
  <dc:description/>
  <cp:lastModifiedBy>Dan Giacomelli</cp:lastModifiedBy>
  <cp:revision>160</cp:revision>
  <dcterms:created xsi:type="dcterms:W3CDTF">2020-11-17T20:52:00Z</dcterms:created>
  <dcterms:modified xsi:type="dcterms:W3CDTF">2022-04-12T15:46:00Z</dcterms:modified>
</cp:coreProperties>
</file>