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E182B8" w14:textId="49FD75E1" w:rsidR="000C7012" w:rsidRPr="00033D22" w:rsidRDefault="00033D22" w:rsidP="003F467C">
      <w:pPr>
        <w:spacing w:after="0" w:line="240" w:lineRule="auto"/>
        <w:rPr>
          <w:rFonts w:ascii="Arial" w:hAnsi="Arial" w:cs="Arial"/>
          <w:b/>
          <w:bCs/>
          <w:sz w:val="24"/>
          <w:szCs w:val="24"/>
          <w:lang w:val="ca-ES"/>
        </w:rPr>
      </w:pPr>
      <w:r w:rsidRPr="00033D22">
        <w:rPr>
          <w:rFonts w:ascii="Arial" w:hAnsi="Arial" w:cs="Arial"/>
          <w:b/>
          <w:bCs/>
          <w:sz w:val="24"/>
          <w:szCs w:val="24"/>
          <w:lang w:val="ca-ES"/>
        </w:rPr>
        <w:t>User note accompanying ‘Deep_Geothermal_Areas_V2.shp’</w:t>
      </w:r>
    </w:p>
    <w:p w14:paraId="675FE4A6" w14:textId="77777777" w:rsidR="00033D22" w:rsidRPr="00033D22" w:rsidRDefault="00033D22" w:rsidP="003F467C">
      <w:pPr>
        <w:spacing w:after="0" w:line="240" w:lineRule="auto"/>
        <w:rPr>
          <w:rFonts w:ascii="Arial" w:hAnsi="Arial" w:cs="Arial"/>
          <w:lang w:val="ca-ES"/>
        </w:rPr>
      </w:pPr>
    </w:p>
    <w:p w14:paraId="72FEE9B4" w14:textId="48561102" w:rsidR="009370DA" w:rsidRPr="009370DA" w:rsidRDefault="006A3DF3" w:rsidP="009370DA">
      <w:pPr>
        <w:pStyle w:val="ListParagraph"/>
        <w:numPr>
          <w:ilvl w:val="0"/>
          <w:numId w:val="4"/>
        </w:numPr>
        <w:spacing w:after="0" w:line="240" w:lineRule="auto"/>
        <w:jc w:val="both"/>
        <w:rPr>
          <w:rFonts w:ascii="Arial" w:eastAsia="Times New Roman" w:hAnsi="Arial" w:cs="Arial"/>
          <w:bCs/>
          <w:color w:val="000000" w:themeColor="text1"/>
          <w:szCs w:val="27"/>
        </w:rPr>
      </w:pPr>
      <w:r w:rsidRPr="009370DA">
        <w:rPr>
          <w:rFonts w:ascii="Arial" w:eastAsia="Times New Roman" w:hAnsi="Arial" w:cs="Arial"/>
          <w:bCs/>
          <w:color w:val="000000" w:themeColor="text1"/>
          <w:szCs w:val="27"/>
        </w:rPr>
        <w:t>This shapefile shows polygons where there is favourable geology for deep geothermal exploration in the UK</w:t>
      </w:r>
      <w:r w:rsidR="00691673" w:rsidRPr="009370DA">
        <w:rPr>
          <w:rFonts w:ascii="Arial" w:eastAsia="Times New Roman" w:hAnsi="Arial" w:cs="Arial"/>
          <w:bCs/>
          <w:color w:val="000000" w:themeColor="text1"/>
          <w:szCs w:val="27"/>
        </w:rPr>
        <w:t xml:space="preserve"> </w:t>
      </w:r>
      <w:r w:rsidR="00691673" w:rsidRPr="009370DA">
        <w:rPr>
          <w:rFonts w:ascii="Arial" w:eastAsia="Times New Roman" w:hAnsi="Arial" w:cs="Arial"/>
          <w:bCs/>
          <w:color w:val="000000" w:themeColor="text1"/>
          <w:szCs w:val="27"/>
          <w:u w:val="single"/>
        </w:rPr>
        <w:t>and</w:t>
      </w:r>
      <w:r w:rsidR="00691673" w:rsidRPr="009370DA">
        <w:rPr>
          <w:rFonts w:ascii="Arial" w:eastAsia="Times New Roman" w:hAnsi="Arial" w:cs="Arial"/>
          <w:bCs/>
          <w:color w:val="000000" w:themeColor="text1"/>
          <w:szCs w:val="27"/>
        </w:rPr>
        <w:t xml:space="preserve"> for the sedimentary basins</w:t>
      </w:r>
      <w:r w:rsidR="00C02E79">
        <w:rPr>
          <w:rFonts w:ascii="Arial" w:eastAsia="Times New Roman" w:hAnsi="Arial" w:cs="Arial"/>
          <w:bCs/>
          <w:color w:val="000000" w:themeColor="text1"/>
          <w:szCs w:val="27"/>
        </w:rPr>
        <w:t>,</w:t>
      </w:r>
      <w:r w:rsidR="00691673" w:rsidRPr="009370DA">
        <w:rPr>
          <w:rFonts w:ascii="Arial" w:eastAsia="Times New Roman" w:hAnsi="Arial" w:cs="Arial"/>
          <w:bCs/>
          <w:color w:val="000000" w:themeColor="text1"/>
          <w:szCs w:val="27"/>
        </w:rPr>
        <w:t xml:space="preserve"> the areas have been considered in more detailed geothermal stud</w:t>
      </w:r>
      <w:r w:rsidR="00C02E79">
        <w:rPr>
          <w:rFonts w:ascii="Arial" w:eastAsia="Times New Roman" w:hAnsi="Arial" w:cs="Arial"/>
          <w:bCs/>
          <w:color w:val="000000" w:themeColor="text1"/>
          <w:szCs w:val="27"/>
        </w:rPr>
        <w:t>ies</w:t>
      </w:r>
      <w:r w:rsidRPr="009370DA">
        <w:rPr>
          <w:rFonts w:ascii="Arial" w:eastAsia="Times New Roman" w:hAnsi="Arial" w:cs="Arial"/>
          <w:bCs/>
          <w:color w:val="000000" w:themeColor="text1"/>
          <w:szCs w:val="27"/>
        </w:rPr>
        <w:t>.</w:t>
      </w:r>
      <w:r w:rsidR="00691673" w:rsidRPr="009370DA">
        <w:rPr>
          <w:rFonts w:ascii="Arial" w:eastAsia="Times New Roman" w:hAnsi="Arial" w:cs="Arial"/>
          <w:bCs/>
          <w:color w:val="000000" w:themeColor="text1"/>
          <w:szCs w:val="27"/>
        </w:rPr>
        <w:t xml:space="preserve"> </w:t>
      </w:r>
    </w:p>
    <w:p w14:paraId="387BB98E" w14:textId="6F2F0752" w:rsidR="009370DA" w:rsidRPr="009370DA" w:rsidRDefault="00052D23" w:rsidP="009370DA">
      <w:pPr>
        <w:pStyle w:val="ListParagraph"/>
        <w:numPr>
          <w:ilvl w:val="0"/>
          <w:numId w:val="4"/>
        </w:numPr>
        <w:spacing w:after="0" w:line="240" w:lineRule="auto"/>
        <w:jc w:val="both"/>
        <w:rPr>
          <w:rFonts w:ascii="Arial" w:eastAsia="Times New Roman" w:hAnsi="Arial" w:cs="Arial"/>
          <w:bCs/>
          <w:color w:val="000000" w:themeColor="text1"/>
          <w:szCs w:val="27"/>
        </w:rPr>
      </w:pPr>
      <w:r w:rsidRPr="00052D23">
        <w:rPr>
          <w:rFonts w:ascii="Arial" w:eastAsia="Times New Roman" w:hAnsi="Arial" w:cs="Arial"/>
          <w:bCs/>
          <w:color w:val="000000" w:themeColor="text1"/>
          <w:szCs w:val="27"/>
        </w:rPr>
        <w:t xml:space="preserve">Known areas of sedimentary basins or productive aquifers </w:t>
      </w:r>
      <w:r w:rsidRPr="00052D23">
        <w:rPr>
          <w:rFonts w:ascii="Arial" w:eastAsia="Times New Roman" w:hAnsi="Arial" w:cs="Arial"/>
          <w:bCs/>
          <w:color w:val="000000" w:themeColor="text1"/>
          <w:szCs w:val="27"/>
          <w:u w:val="single"/>
        </w:rPr>
        <w:t>have been excluded</w:t>
      </w:r>
      <w:r w:rsidR="00172137" w:rsidRPr="009370DA">
        <w:rPr>
          <w:rFonts w:ascii="Arial" w:eastAsia="Times New Roman" w:hAnsi="Arial" w:cs="Arial"/>
          <w:bCs/>
          <w:color w:val="000000" w:themeColor="text1"/>
          <w:szCs w:val="27"/>
        </w:rPr>
        <w:t xml:space="preserve">, where they have not yet been evaluated for geothermal potential at any level of detail. </w:t>
      </w:r>
    </w:p>
    <w:p w14:paraId="3E3D3579" w14:textId="484E2C12" w:rsidR="00691673" w:rsidRPr="009370DA" w:rsidRDefault="006A3DF3" w:rsidP="009370DA">
      <w:pPr>
        <w:pStyle w:val="ListParagraph"/>
        <w:numPr>
          <w:ilvl w:val="0"/>
          <w:numId w:val="4"/>
        </w:numPr>
        <w:spacing w:after="0" w:line="240" w:lineRule="auto"/>
        <w:jc w:val="both"/>
        <w:rPr>
          <w:rFonts w:ascii="Arial" w:eastAsia="Times New Roman" w:hAnsi="Arial" w:cs="Arial"/>
          <w:bCs/>
          <w:color w:val="000000" w:themeColor="text1"/>
          <w:szCs w:val="27"/>
        </w:rPr>
      </w:pPr>
      <w:r w:rsidRPr="009370DA">
        <w:rPr>
          <w:rFonts w:ascii="Arial" w:eastAsia="Times New Roman" w:hAnsi="Arial" w:cs="Arial"/>
          <w:b/>
          <w:color w:val="000000" w:themeColor="text1"/>
          <w:szCs w:val="27"/>
        </w:rPr>
        <w:t>The areas</w:t>
      </w:r>
      <w:r w:rsidR="00691673" w:rsidRPr="009370DA">
        <w:rPr>
          <w:rFonts w:ascii="Arial" w:eastAsia="Times New Roman" w:hAnsi="Arial" w:cs="Arial"/>
          <w:b/>
          <w:color w:val="000000" w:themeColor="text1"/>
          <w:szCs w:val="27"/>
        </w:rPr>
        <w:t xml:space="preserve"> included</w:t>
      </w:r>
      <w:r w:rsidRPr="009370DA">
        <w:rPr>
          <w:rFonts w:ascii="Arial" w:eastAsia="Times New Roman" w:hAnsi="Arial" w:cs="Arial"/>
          <w:b/>
          <w:color w:val="000000" w:themeColor="text1"/>
          <w:szCs w:val="27"/>
        </w:rPr>
        <w:t xml:space="preserve"> are the whole</w:t>
      </w:r>
      <w:r w:rsidR="00C02E79">
        <w:rPr>
          <w:rFonts w:ascii="Arial" w:eastAsia="Times New Roman" w:hAnsi="Arial" w:cs="Arial"/>
          <w:b/>
          <w:color w:val="000000" w:themeColor="text1"/>
          <w:szCs w:val="27"/>
        </w:rPr>
        <w:t xml:space="preserve"> sedimentary</w:t>
      </w:r>
      <w:r w:rsidRPr="009370DA">
        <w:rPr>
          <w:rFonts w:ascii="Arial" w:eastAsia="Times New Roman" w:hAnsi="Arial" w:cs="Arial"/>
          <w:b/>
          <w:color w:val="000000" w:themeColor="text1"/>
          <w:szCs w:val="27"/>
        </w:rPr>
        <w:t xml:space="preserve"> basin extents, or extents of granitic intrusions, as opposed to the smaller areas with heat-in-place or proved, recoverable resources over certain temperatures and depths</w:t>
      </w:r>
      <w:r w:rsidRPr="009370DA">
        <w:rPr>
          <w:rFonts w:ascii="Arial" w:eastAsia="Times New Roman" w:hAnsi="Arial" w:cs="Arial"/>
          <w:bCs/>
          <w:color w:val="000000" w:themeColor="text1"/>
          <w:szCs w:val="27"/>
        </w:rPr>
        <w:t xml:space="preserve">. </w:t>
      </w:r>
    </w:p>
    <w:p w14:paraId="34FC172E" w14:textId="1F8A16BF" w:rsidR="00691673" w:rsidRPr="009370DA" w:rsidRDefault="00691673" w:rsidP="009370DA">
      <w:pPr>
        <w:pStyle w:val="ListParagraph"/>
        <w:numPr>
          <w:ilvl w:val="0"/>
          <w:numId w:val="4"/>
        </w:numPr>
        <w:spacing w:after="0" w:line="240" w:lineRule="auto"/>
        <w:jc w:val="both"/>
        <w:rPr>
          <w:rFonts w:ascii="Arial" w:eastAsia="Times New Roman" w:hAnsi="Arial" w:cs="Arial"/>
          <w:bCs/>
          <w:color w:val="000000" w:themeColor="text1"/>
          <w:szCs w:val="27"/>
        </w:rPr>
      </w:pPr>
      <w:r w:rsidRPr="009370DA">
        <w:rPr>
          <w:rFonts w:ascii="Arial" w:eastAsia="Times New Roman" w:hAnsi="Arial" w:cs="Arial"/>
          <w:bCs/>
          <w:color w:val="000000" w:themeColor="text1"/>
          <w:szCs w:val="27"/>
        </w:rPr>
        <w:t xml:space="preserve">Coordinate Reference System is British National Grid. </w:t>
      </w:r>
      <w:r w:rsidR="002312F0">
        <w:rPr>
          <w:rFonts w:ascii="Arial" w:eastAsia="Times New Roman" w:hAnsi="Arial" w:cs="Arial"/>
          <w:bCs/>
          <w:color w:val="000000" w:themeColor="text1"/>
          <w:szCs w:val="27"/>
        </w:rPr>
        <w:t xml:space="preserve">Northern Ireland data is also presented in British National Grid because of the UK extent of the information. </w:t>
      </w:r>
    </w:p>
    <w:p w14:paraId="653E1FFE" w14:textId="3840515E" w:rsidR="006A3DF3" w:rsidRPr="009370DA" w:rsidRDefault="006A3DF3" w:rsidP="009370DA">
      <w:pPr>
        <w:pStyle w:val="ListParagraph"/>
        <w:numPr>
          <w:ilvl w:val="0"/>
          <w:numId w:val="4"/>
        </w:numPr>
        <w:spacing w:after="0" w:line="240" w:lineRule="auto"/>
        <w:jc w:val="both"/>
        <w:rPr>
          <w:rFonts w:ascii="Arial" w:eastAsia="Times New Roman" w:hAnsi="Arial" w:cs="Arial"/>
          <w:bCs/>
          <w:color w:val="000000" w:themeColor="text1"/>
          <w:szCs w:val="27"/>
        </w:rPr>
      </w:pPr>
      <w:r w:rsidRPr="009370DA">
        <w:rPr>
          <w:rFonts w:ascii="Arial" w:eastAsia="Times New Roman" w:hAnsi="Arial" w:cs="Arial"/>
          <w:bCs/>
          <w:color w:val="000000" w:themeColor="text1"/>
          <w:szCs w:val="27"/>
        </w:rPr>
        <w:t>Additional columns are as required to be supplied for inclusion in the GSEU project (</w:t>
      </w:r>
      <w:hyperlink r:id="rId8" w:history="1">
        <w:r w:rsidRPr="009370DA">
          <w:rPr>
            <w:rStyle w:val="Hyperlink"/>
            <w:rFonts w:ascii="Arial" w:eastAsia="Times New Roman" w:hAnsi="Arial" w:cs="Arial"/>
            <w:bCs/>
            <w:szCs w:val="27"/>
          </w:rPr>
          <w:t>https://www.geologicalservice.eu/</w:t>
        </w:r>
      </w:hyperlink>
      <w:r w:rsidRPr="009370DA">
        <w:rPr>
          <w:rFonts w:ascii="Arial" w:eastAsia="Times New Roman" w:hAnsi="Arial" w:cs="Arial"/>
          <w:bCs/>
          <w:color w:val="000000" w:themeColor="text1"/>
          <w:szCs w:val="27"/>
        </w:rPr>
        <w:t xml:space="preserve">). These include a ‘Geothermal Play Code’, ‘Geothermal Play Type’ ‘Plate Tectonic Setting’ ‘Geologic Habitat’ and ‘Geological Controls’ fields following the classification scheme of Moeck, I. S. (2014, Catalog of geothermal play types based on geologic controls. Renewable and Sustainable Energy Reviews, 37, 867-882). </w:t>
      </w:r>
    </w:p>
    <w:p w14:paraId="5B505F17" w14:textId="13B308C5" w:rsidR="007A63DB" w:rsidRPr="003C6A84" w:rsidRDefault="006A3DF3" w:rsidP="009370DA">
      <w:pPr>
        <w:pStyle w:val="ListParagraph"/>
        <w:numPr>
          <w:ilvl w:val="0"/>
          <w:numId w:val="4"/>
        </w:numPr>
        <w:spacing w:after="0" w:line="240" w:lineRule="auto"/>
        <w:jc w:val="both"/>
        <w:rPr>
          <w:rFonts w:ascii="Arial" w:hAnsi="Arial" w:cs="Arial"/>
        </w:rPr>
      </w:pPr>
      <w:r w:rsidRPr="009370DA">
        <w:rPr>
          <w:rFonts w:ascii="Arial" w:eastAsia="Times New Roman" w:hAnsi="Arial" w:cs="Arial"/>
          <w:bCs/>
          <w:color w:val="000000" w:themeColor="text1"/>
          <w:szCs w:val="27"/>
        </w:rPr>
        <w:t>Additional fields have been added for BGS for classification</w:t>
      </w:r>
      <w:r w:rsidR="003637E8" w:rsidRPr="009370DA">
        <w:rPr>
          <w:rFonts w:ascii="Arial" w:eastAsia="Times New Roman" w:hAnsi="Arial" w:cs="Arial"/>
          <w:bCs/>
          <w:color w:val="000000" w:themeColor="text1"/>
          <w:szCs w:val="27"/>
        </w:rPr>
        <w:t xml:space="preserve">, </w:t>
      </w:r>
      <w:r w:rsidR="009370DA">
        <w:rPr>
          <w:rFonts w:ascii="Arial" w:eastAsia="Times New Roman" w:hAnsi="Arial" w:cs="Arial"/>
          <w:bCs/>
          <w:color w:val="000000" w:themeColor="text1"/>
          <w:szCs w:val="27"/>
        </w:rPr>
        <w:t>colouring up</w:t>
      </w:r>
      <w:r w:rsidRPr="009370DA">
        <w:rPr>
          <w:rFonts w:ascii="Arial" w:eastAsia="Times New Roman" w:hAnsi="Arial" w:cs="Arial"/>
          <w:bCs/>
          <w:color w:val="000000" w:themeColor="text1"/>
          <w:szCs w:val="27"/>
        </w:rPr>
        <w:t xml:space="preserve">. </w:t>
      </w:r>
    </w:p>
    <w:p w14:paraId="1AE25BDC" w14:textId="77777777" w:rsidR="003C6A84" w:rsidRDefault="003C6A84" w:rsidP="003C6A84">
      <w:pPr>
        <w:spacing w:after="0" w:line="240" w:lineRule="auto"/>
        <w:jc w:val="both"/>
        <w:rPr>
          <w:rFonts w:ascii="Arial" w:hAnsi="Arial" w:cs="Arial"/>
        </w:rPr>
      </w:pPr>
    </w:p>
    <w:p w14:paraId="7A3CA7C1" w14:textId="0C9466E4" w:rsidR="003C6A84" w:rsidRPr="003C6A84" w:rsidRDefault="003C6A84" w:rsidP="003C6A84">
      <w:pPr>
        <w:spacing w:after="0" w:line="240" w:lineRule="auto"/>
        <w:jc w:val="both"/>
        <w:rPr>
          <w:rFonts w:ascii="Arial" w:hAnsi="Arial" w:cs="Arial"/>
        </w:rPr>
      </w:pPr>
      <w:r>
        <w:rPr>
          <w:rFonts w:ascii="Arial" w:hAnsi="Arial" w:cs="Arial"/>
        </w:rPr>
        <w:t>Table of attribute (field) names and description of their contents</w:t>
      </w:r>
    </w:p>
    <w:p w14:paraId="4769A95D" w14:textId="77777777" w:rsidR="003F467C" w:rsidRPr="00033D22" w:rsidRDefault="003F467C" w:rsidP="003F467C">
      <w:pPr>
        <w:spacing w:after="0" w:line="240" w:lineRule="auto"/>
        <w:rPr>
          <w:rFonts w:ascii="Arial" w:hAnsi="Arial" w:cs="Arial"/>
        </w:rPr>
      </w:pPr>
      <w:r w:rsidRPr="00033D22">
        <w:rPr>
          <w:rFonts w:ascii="Arial" w:hAnsi="Arial" w:cs="Arial"/>
          <w:lang w:val="ca-ES"/>
        </w:rPr>
        <w:t> </w:t>
      </w:r>
    </w:p>
    <w:tbl>
      <w:tblPr>
        <w:tblStyle w:val="TableGrid"/>
        <w:tblW w:w="9067" w:type="dxa"/>
        <w:tblLayout w:type="fixed"/>
        <w:tblLook w:val="04A0" w:firstRow="1" w:lastRow="0" w:firstColumn="1" w:lastColumn="0" w:noHBand="0" w:noVBand="1"/>
      </w:tblPr>
      <w:tblGrid>
        <w:gridCol w:w="1413"/>
        <w:gridCol w:w="1417"/>
        <w:gridCol w:w="1276"/>
        <w:gridCol w:w="3260"/>
        <w:gridCol w:w="1701"/>
      </w:tblGrid>
      <w:tr w:rsidR="00997C33" w:rsidRPr="00997C33" w14:paraId="05002406" w14:textId="77777777" w:rsidTr="002312F0">
        <w:trPr>
          <w:trHeight w:val="465"/>
        </w:trPr>
        <w:tc>
          <w:tcPr>
            <w:tcW w:w="1413" w:type="dxa"/>
          </w:tcPr>
          <w:p w14:paraId="303A69B7" w14:textId="57627000" w:rsidR="00997C33" w:rsidRPr="00997C33" w:rsidRDefault="00997C33" w:rsidP="009370DA">
            <w:pPr>
              <w:rPr>
                <w:rFonts w:ascii="Arial" w:eastAsia="Arial" w:hAnsi="Arial" w:cs="Arial"/>
                <w:b/>
                <w:bCs/>
                <w:sz w:val="18"/>
                <w:szCs w:val="18"/>
              </w:rPr>
            </w:pPr>
            <w:r w:rsidRPr="00997C33">
              <w:rPr>
                <w:rFonts w:ascii="Arial" w:eastAsia="Arial" w:hAnsi="Arial" w:cs="Arial"/>
                <w:b/>
                <w:bCs/>
                <w:sz w:val="18"/>
                <w:szCs w:val="18"/>
              </w:rPr>
              <w:t>Att</w:t>
            </w:r>
            <w:r>
              <w:rPr>
                <w:rFonts w:ascii="Arial" w:eastAsia="Arial" w:hAnsi="Arial" w:cs="Arial"/>
                <w:b/>
                <w:bCs/>
                <w:sz w:val="18"/>
                <w:szCs w:val="18"/>
              </w:rPr>
              <w:t>r</w:t>
            </w:r>
            <w:r w:rsidRPr="00997C33">
              <w:rPr>
                <w:rFonts w:ascii="Arial" w:eastAsia="Arial" w:hAnsi="Arial" w:cs="Arial"/>
                <w:b/>
                <w:bCs/>
                <w:sz w:val="18"/>
                <w:szCs w:val="18"/>
              </w:rPr>
              <w:t>ibute name</w:t>
            </w:r>
          </w:p>
        </w:tc>
        <w:tc>
          <w:tcPr>
            <w:tcW w:w="1417" w:type="dxa"/>
            <w:vAlign w:val="center"/>
          </w:tcPr>
          <w:p w14:paraId="23B7FE82" w14:textId="1B9B4F35" w:rsidR="00997C33" w:rsidRPr="00997C33" w:rsidRDefault="00997C33" w:rsidP="009370DA">
            <w:pPr>
              <w:rPr>
                <w:rFonts w:ascii="Arial" w:hAnsi="Arial" w:cs="Arial"/>
                <w:b/>
                <w:bCs/>
                <w:sz w:val="18"/>
                <w:szCs w:val="18"/>
                <w:lang w:val="ca-ES"/>
              </w:rPr>
            </w:pPr>
            <w:r w:rsidRPr="00997C33">
              <w:rPr>
                <w:rFonts w:ascii="Arial" w:eastAsia="Arial" w:hAnsi="Arial" w:cs="Arial"/>
                <w:b/>
                <w:bCs/>
                <w:sz w:val="18"/>
                <w:szCs w:val="18"/>
              </w:rPr>
              <w:t>Attribute Alias</w:t>
            </w:r>
          </w:p>
        </w:tc>
        <w:tc>
          <w:tcPr>
            <w:tcW w:w="1276" w:type="dxa"/>
          </w:tcPr>
          <w:p w14:paraId="1B6D8D41" w14:textId="0CB261E0" w:rsidR="00997C33" w:rsidRPr="00997C33" w:rsidRDefault="00997C33" w:rsidP="009370DA">
            <w:pPr>
              <w:rPr>
                <w:rFonts w:ascii="Arial" w:eastAsia="Arial" w:hAnsi="Arial" w:cs="Arial"/>
                <w:b/>
                <w:bCs/>
                <w:sz w:val="18"/>
                <w:szCs w:val="18"/>
              </w:rPr>
            </w:pPr>
            <w:r w:rsidRPr="00997C33">
              <w:rPr>
                <w:rFonts w:ascii="Arial" w:eastAsia="Arial" w:hAnsi="Arial" w:cs="Arial"/>
                <w:b/>
                <w:bCs/>
                <w:sz w:val="18"/>
                <w:szCs w:val="18"/>
              </w:rPr>
              <w:t>Full name</w:t>
            </w:r>
          </w:p>
        </w:tc>
        <w:tc>
          <w:tcPr>
            <w:tcW w:w="3260" w:type="dxa"/>
            <w:vAlign w:val="center"/>
          </w:tcPr>
          <w:p w14:paraId="64AB9299" w14:textId="4E5BDD6C" w:rsidR="00997C33" w:rsidRPr="00997C33" w:rsidRDefault="00997C33" w:rsidP="009370DA">
            <w:pPr>
              <w:rPr>
                <w:rFonts w:ascii="Arial" w:hAnsi="Arial" w:cs="Arial"/>
                <w:b/>
                <w:bCs/>
                <w:sz w:val="18"/>
                <w:szCs w:val="18"/>
              </w:rPr>
            </w:pPr>
            <w:r w:rsidRPr="00997C33">
              <w:rPr>
                <w:rFonts w:ascii="Arial" w:eastAsia="Arial" w:hAnsi="Arial" w:cs="Arial"/>
                <w:b/>
                <w:bCs/>
                <w:sz w:val="18"/>
                <w:szCs w:val="18"/>
              </w:rPr>
              <w:t>Attribute field description of contents</w:t>
            </w:r>
          </w:p>
        </w:tc>
        <w:tc>
          <w:tcPr>
            <w:tcW w:w="1701" w:type="dxa"/>
            <w:vAlign w:val="center"/>
          </w:tcPr>
          <w:p w14:paraId="6BA71C93" w14:textId="7BCDDD99" w:rsidR="00997C33" w:rsidRPr="00997C33" w:rsidRDefault="00997C33" w:rsidP="009370DA">
            <w:pPr>
              <w:rPr>
                <w:rFonts w:ascii="Arial" w:hAnsi="Arial" w:cs="Arial"/>
                <w:b/>
                <w:bCs/>
                <w:sz w:val="18"/>
                <w:szCs w:val="18"/>
              </w:rPr>
            </w:pPr>
            <w:r w:rsidRPr="00997C33">
              <w:rPr>
                <w:rFonts w:ascii="Arial" w:eastAsia="Arial" w:hAnsi="Arial" w:cs="Arial"/>
                <w:b/>
                <w:bCs/>
                <w:sz w:val="18"/>
                <w:szCs w:val="18"/>
              </w:rPr>
              <w:t>Example of attribute content</w:t>
            </w:r>
          </w:p>
        </w:tc>
      </w:tr>
      <w:tr w:rsidR="00997C33" w:rsidRPr="00997C33" w14:paraId="5F888655" w14:textId="77777777" w:rsidTr="002312F0">
        <w:trPr>
          <w:trHeight w:val="288"/>
        </w:trPr>
        <w:tc>
          <w:tcPr>
            <w:tcW w:w="1413" w:type="dxa"/>
            <w:vAlign w:val="center"/>
          </w:tcPr>
          <w:p w14:paraId="43F0C375" w14:textId="14C1C782" w:rsidR="00997C33" w:rsidRPr="00997C33" w:rsidRDefault="00997C33" w:rsidP="00997C33">
            <w:pPr>
              <w:jc w:val="center"/>
              <w:rPr>
                <w:rFonts w:ascii="Arial" w:eastAsia="Arial" w:hAnsi="Arial" w:cs="Arial"/>
                <w:sz w:val="18"/>
                <w:szCs w:val="18"/>
              </w:rPr>
            </w:pPr>
            <w:r>
              <w:rPr>
                <w:rFonts w:ascii="Arial" w:eastAsia="Arial" w:hAnsi="Arial" w:cs="Arial"/>
                <w:sz w:val="18"/>
                <w:szCs w:val="18"/>
              </w:rPr>
              <w:t>Partner1</w:t>
            </w:r>
          </w:p>
        </w:tc>
        <w:tc>
          <w:tcPr>
            <w:tcW w:w="1417" w:type="dxa"/>
            <w:vAlign w:val="center"/>
          </w:tcPr>
          <w:p w14:paraId="076BCC9B" w14:textId="4BF65391" w:rsidR="00997C33" w:rsidRPr="00997C33" w:rsidRDefault="00997C33" w:rsidP="00F84935">
            <w:pPr>
              <w:rPr>
                <w:rFonts w:ascii="Arial" w:eastAsia="Times New Roman" w:hAnsi="Arial" w:cs="Arial"/>
                <w:sz w:val="18"/>
                <w:szCs w:val="18"/>
                <w:lang w:eastAsia="ca-ES"/>
              </w:rPr>
            </w:pPr>
            <w:r w:rsidRPr="00997C33">
              <w:rPr>
                <w:rFonts w:ascii="Arial" w:eastAsia="Arial" w:hAnsi="Arial" w:cs="Arial"/>
                <w:sz w:val="18"/>
                <w:szCs w:val="18"/>
              </w:rPr>
              <w:t>Partner</w:t>
            </w:r>
          </w:p>
        </w:tc>
        <w:tc>
          <w:tcPr>
            <w:tcW w:w="1276" w:type="dxa"/>
            <w:vAlign w:val="center"/>
          </w:tcPr>
          <w:p w14:paraId="4D95048A" w14:textId="0A0C3680" w:rsidR="00997C33" w:rsidRPr="00997C33" w:rsidRDefault="00997C33" w:rsidP="00F84935">
            <w:pPr>
              <w:rPr>
                <w:rFonts w:ascii="Arial" w:eastAsia="Times New Roman" w:hAnsi="Arial" w:cs="Arial"/>
                <w:sz w:val="18"/>
                <w:szCs w:val="18"/>
                <w:lang w:eastAsia="ca-ES"/>
              </w:rPr>
            </w:pPr>
            <w:r w:rsidRPr="00997C33">
              <w:rPr>
                <w:rFonts w:ascii="Arial" w:eastAsia="Arial" w:hAnsi="Arial" w:cs="Arial"/>
                <w:sz w:val="18"/>
                <w:szCs w:val="18"/>
              </w:rPr>
              <w:t>Partner</w:t>
            </w:r>
          </w:p>
        </w:tc>
        <w:tc>
          <w:tcPr>
            <w:tcW w:w="3260" w:type="dxa"/>
            <w:vAlign w:val="center"/>
          </w:tcPr>
          <w:p w14:paraId="68DBFEBE" w14:textId="1193933C" w:rsidR="00997C33" w:rsidRPr="00997C33" w:rsidRDefault="00997C33" w:rsidP="00F84935">
            <w:pPr>
              <w:rPr>
                <w:rFonts w:ascii="Arial" w:eastAsia="Times New Roman" w:hAnsi="Arial" w:cs="Arial"/>
                <w:sz w:val="18"/>
                <w:szCs w:val="18"/>
                <w:lang w:eastAsia="ca-ES"/>
              </w:rPr>
            </w:pPr>
            <w:r w:rsidRPr="00997C33">
              <w:rPr>
                <w:rFonts w:ascii="Arial" w:eastAsia="Arial" w:hAnsi="Arial" w:cs="Arial"/>
                <w:sz w:val="18"/>
                <w:szCs w:val="18"/>
              </w:rPr>
              <w:t xml:space="preserve">The acronym of the partner institution. </w:t>
            </w:r>
            <w:r w:rsidRPr="00997C33">
              <w:rPr>
                <w:rFonts w:ascii="Arial" w:eastAsia="Times New Roman" w:hAnsi="Arial" w:cs="Arial"/>
                <w:sz w:val="18"/>
                <w:szCs w:val="18"/>
                <w:lang w:eastAsia="ca-ES"/>
              </w:rPr>
              <w:t>Needed for the GSEU project.</w:t>
            </w:r>
          </w:p>
        </w:tc>
        <w:tc>
          <w:tcPr>
            <w:tcW w:w="1701" w:type="dxa"/>
            <w:vAlign w:val="center"/>
          </w:tcPr>
          <w:p w14:paraId="5AC8AC58" w14:textId="65842A41" w:rsidR="00997C33" w:rsidRPr="00997C33" w:rsidRDefault="00997C33" w:rsidP="00F84935">
            <w:pPr>
              <w:rPr>
                <w:rFonts w:ascii="Arial" w:eastAsia="Times New Roman" w:hAnsi="Arial" w:cs="Arial"/>
                <w:sz w:val="18"/>
                <w:szCs w:val="18"/>
                <w:lang w:eastAsia="ca-ES"/>
              </w:rPr>
            </w:pPr>
            <w:r w:rsidRPr="00997C33">
              <w:rPr>
                <w:rFonts w:ascii="Arial" w:eastAsia="Arial" w:hAnsi="Arial" w:cs="Arial"/>
                <w:sz w:val="18"/>
                <w:szCs w:val="18"/>
              </w:rPr>
              <w:t>BGS</w:t>
            </w:r>
          </w:p>
        </w:tc>
      </w:tr>
      <w:tr w:rsidR="00997C33" w:rsidRPr="00997C33" w14:paraId="22E2DE1D" w14:textId="77777777" w:rsidTr="002312F0">
        <w:trPr>
          <w:trHeight w:val="288"/>
        </w:trPr>
        <w:tc>
          <w:tcPr>
            <w:tcW w:w="1413" w:type="dxa"/>
            <w:vAlign w:val="center"/>
          </w:tcPr>
          <w:p w14:paraId="0CEC13EE" w14:textId="4B5113DC" w:rsidR="00997C33" w:rsidRPr="00997C33" w:rsidRDefault="00997C33" w:rsidP="00997C33">
            <w:pPr>
              <w:jc w:val="center"/>
              <w:rPr>
                <w:rFonts w:ascii="Arial" w:eastAsia="Times New Roman" w:hAnsi="Arial" w:cs="Arial"/>
                <w:sz w:val="18"/>
                <w:szCs w:val="18"/>
                <w:lang w:eastAsia="ca-ES"/>
              </w:rPr>
            </w:pPr>
            <w:r>
              <w:rPr>
                <w:rFonts w:ascii="Arial" w:eastAsia="Times New Roman" w:hAnsi="Arial" w:cs="Arial"/>
                <w:sz w:val="18"/>
                <w:szCs w:val="18"/>
                <w:lang w:eastAsia="ca-ES"/>
              </w:rPr>
              <w:t>Geothermal</w:t>
            </w:r>
          </w:p>
        </w:tc>
        <w:tc>
          <w:tcPr>
            <w:tcW w:w="1417" w:type="dxa"/>
            <w:vAlign w:val="center"/>
          </w:tcPr>
          <w:p w14:paraId="7172ADF4" w14:textId="06873AEC" w:rsidR="00997C33" w:rsidRPr="00997C33" w:rsidRDefault="00997C33" w:rsidP="00F84935">
            <w:pPr>
              <w:rPr>
                <w:rFonts w:ascii="Arial" w:hAnsi="Arial" w:cs="Arial"/>
                <w:sz w:val="18"/>
                <w:szCs w:val="18"/>
              </w:rPr>
            </w:pPr>
            <w:r w:rsidRPr="00997C33">
              <w:rPr>
                <w:rFonts w:ascii="Arial" w:eastAsia="Times New Roman" w:hAnsi="Arial" w:cs="Arial"/>
                <w:sz w:val="18"/>
                <w:szCs w:val="18"/>
                <w:lang w:eastAsia="ca-ES"/>
              </w:rPr>
              <w:t>GTPlaycode</w:t>
            </w:r>
          </w:p>
        </w:tc>
        <w:tc>
          <w:tcPr>
            <w:tcW w:w="1276" w:type="dxa"/>
            <w:vAlign w:val="center"/>
          </w:tcPr>
          <w:p w14:paraId="67F3F9AB" w14:textId="447E1272" w:rsidR="00997C33" w:rsidRPr="00997C33" w:rsidRDefault="00997C33" w:rsidP="00F84935">
            <w:pPr>
              <w:rPr>
                <w:rFonts w:ascii="Arial" w:eastAsia="Times New Roman" w:hAnsi="Arial" w:cs="Arial"/>
                <w:sz w:val="18"/>
                <w:szCs w:val="18"/>
                <w:lang w:eastAsia="ca-ES"/>
              </w:rPr>
            </w:pPr>
            <w:r w:rsidRPr="00997C33">
              <w:rPr>
                <w:rFonts w:ascii="Arial" w:eastAsia="Times New Roman" w:hAnsi="Arial" w:cs="Arial"/>
                <w:sz w:val="18"/>
                <w:szCs w:val="18"/>
                <w:lang w:eastAsia="ca-ES"/>
              </w:rPr>
              <w:t>Geothermal Play Code</w:t>
            </w:r>
          </w:p>
        </w:tc>
        <w:tc>
          <w:tcPr>
            <w:tcW w:w="3260" w:type="dxa"/>
            <w:vAlign w:val="center"/>
          </w:tcPr>
          <w:p w14:paraId="5788572F" w14:textId="772F61C7" w:rsidR="00997C33" w:rsidRPr="00997C33" w:rsidRDefault="00997C33" w:rsidP="00F84935">
            <w:pPr>
              <w:rPr>
                <w:rFonts w:ascii="Arial" w:hAnsi="Arial" w:cs="Arial"/>
                <w:sz w:val="18"/>
                <w:szCs w:val="18"/>
              </w:rPr>
            </w:pPr>
            <w:r w:rsidRPr="00997C33">
              <w:rPr>
                <w:rFonts w:ascii="Arial" w:eastAsia="Times New Roman" w:hAnsi="Arial" w:cs="Arial"/>
                <w:sz w:val="18"/>
                <w:szCs w:val="18"/>
                <w:lang w:eastAsia="ca-ES"/>
              </w:rPr>
              <w:t>Country code, classification code 'ConductionConvectionType' and unique and consecutive number starting from 001. Needed for the GSEU project.</w:t>
            </w:r>
          </w:p>
        </w:tc>
        <w:tc>
          <w:tcPr>
            <w:tcW w:w="1701" w:type="dxa"/>
            <w:vAlign w:val="center"/>
          </w:tcPr>
          <w:p w14:paraId="33C4E06F" w14:textId="5E83BED7" w:rsidR="00997C33" w:rsidRPr="00997C33" w:rsidRDefault="00997C33" w:rsidP="00F84935">
            <w:pPr>
              <w:rPr>
                <w:rFonts w:ascii="Arial" w:hAnsi="Arial" w:cs="Arial"/>
                <w:sz w:val="18"/>
                <w:szCs w:val="18"/>
              </w:rPr>
            </w:pPr>
            <w:bookmarkStart w:id="0" w:name="_Hlk157005114"/>
            <w:r w:rsidRPr="00997C33">
              <w:rPr>
                <w:rFonts w:ascii="Arial" w:eastAsia="Times New Roman" w:hAnsi="Arial" w:cs="Arial"/>
                <w:sz w:val="18"/>
                <w:szCs w:val="18"/>
                <w:lang w:eastAsia="ca-ES"/>
              </w:rPr>
              <w:t>UK_CD1_001</w:t>
            </w:r>
            <w:bookmarkEnd w:id="0"/>
          </w:p>
        </w:tc>
      </w:tr>
      <w:tr w:rsidR="00997C33" w:rsidRPr="00997C33" w14:paraId="43DC35BA" w14:textId="77777777" w:rsidTr="002312F0">
        <w:trPr>
          <w:trHeight w:val="705"/>
        </w:trPr>
        <w:tc>
          <w:tcPr>
            <w:tcW w:w="1413" w:type="dxa"/>
            <w:vAlign w:val="center"/>
          </w:tcPr>
          <w:p w14:paraId="4468AE94" w14:textId="5178486B" w:rsidR="00997C33" w:rsidRPr="00997C33" w:rsidRDefault="00997C33" w:rsidP="00997C33">
            <w:pPr>
              <w:jc w:val="center"/>
              <w:rPr>
                <w:rFonts w:ascii="Arial" w:eastAsia="Arial" w:hAnsi="Arial" w:cs="Arial"/>
                <w:sz w:val="18"/>
                <w:szCs w:val="18"/>
              </w:rPr>
            </w:pPr>
            <w:r>
              <w:rPr>
                <w:rFonts w:ascii="Arial" w:eastAsia="Arial" w:hAnsi="Arial" w:cs="Arial"/>
                <w:sz w:val="18"/>
                <w:szCs w:val="18"/>
              </w:rPr>
              <w:t>Geotherm_1</w:t>
            </w:r>
          </w:p>
        </w:tc>
        <w:tc>
          <w:tcPr>
            <w:tcW w:w="1417" w:type="dxa"/>
            <w:vAlign w:val="center"/>
          </w:tcPr>
          <w:p w14:paraId="0A9BCBA5" w14:textId="57C53AAC" w:rsidR="00997C33" w:rsidRPr="00997C33" w:rsidRDefault="00997C33" w:rsidP="00F84935">
            <w:pPr>
              <w:rPr>
                <w:rFonts w:ascii="Arial" w:hAnsi="Arial" w:cs="Arial"/>
                <w:sz w:val="18"/>
                <w:szCs w:val="18"/>
              </w:rPr>
            </w:pPr>
            <w:r w:rsidRPr="00997C33">
              <w:rPr>
                <w:rFonts w:ascii="Arial" w:eastAsia="Arial" w:hAnsi="Arial" w:cs="Arial"/>
                <w:sz w:val="18"/>
                <w:szCs w:val="18"/>
              </w:rPr>
              <w:t>GTPlayName</w:t>
            </w:r>
          </w:p>
        </w:tc>
        <w:tc>
          <w:tcPr>
            <w:tcW w:w="1276" w:type="dxa"/>
            <w:vAlign w:val="center"/>
          </w:tcPr>
          <w:p w14:paraId="1317F536" w14:textId="0A6D9B8A"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Geothermal Play Name</w:t>
            </w:r>
          </w:p>
        </w:tc>
        <w:tc>
          <w:tcPr>
            <w:tcW w:w="3260" w:type="dxa"/>
            <w:vAlign w:val="center"/>
          </w:tcPr>
          <w:p w14:paraId="15E02800" w14:textId="2AFEFC0B" w:rsidR="00997C33" w:rsidRPr="00997C33" w:rsidRDefault="00997C33" w:rsidP="00F84935">
            <w:pPr>
              <w:rPr>
                <w:rFonts w:ascii="Arial" w:hAnsi="Arial" w:cs="Arial"/>
                <w:sz w:val="18"/>
                <w:szCs w:val="18"/>
              </w:rPr>
            </w:pPr>
            <w:r w:rsidRPr="00997C33">
              <w:rPr>
                <w:rFonts w:ascii="Arial" w:eastAsia="Arial" w:hAnsi="Arial" w:cs="Arial"/>
                <w:sz w:val="18"/>
                <w:szCs w:val="18"/>
              </w:rPr>
              <w:t>Name of the geothermal play</w:t>
            </w:r>
          </w:p>
        </w:tc>
        <w:tc>
          <w:tcPr>
            <w:tcW w:w="1701" w:type="dxa"/>
            <w:vAlign w:val="center"/>
          </w:tcPr>
          <w:p w14:paraId="543D0456" w14:textId="145B13B2" w:rsidR="00997C33" w:rsidRPr="00997C33" w:rsidRDefault="00997C33" w:rsidP="00F84935">
            <w:pPr>
              <w:rPr>
                <w:rFonts w:ascii="Arial" w:hAnsi="Arial" w:cs="Arial"/>
                <w:sz w:val="18"/>
                <w:szCs w:val="18"/>
              </w:rPr>
            </w:pPr>
            <w:r w:rsidRPr="00997C33">
              <w:rPr>
                <w:rFonts w:ascii="Arial" w:eastAsia="Arial" w:hAnsi="Arial" w:cs="Arial"/>
                <w:sz w:val="18"/>
                <w:szCs w:val="18"/>
              </w:rPr>
              <w:t>Worcester-Wessex basins Permo-Trias</w:t>
            </w:r>
          </w:p>
        </w:tc>
      </w:tr>
      <w:tr w:rsidR="00997C33" w:rsidRPr="00997C33" w14:paraId="0C916FB0" w14:textId="77777777" w:rsidTr="002312F0">
        <w:trPr>
          <w:trHeight w:val="576"/>
        </w:trPr>
        <w:tc>
          <w:tcPr>
            <w:tcW w:w="1413" w:type="dxa"/>
            <w:vAlign w:val="center"/>
          </w:tcPr>
          <w:p w14:paraId="78DC2881" w14:textId="1E2A12C1" w:rsidR="00997C33" w:rsidRPr="00997C33" w:rsidRDefault="00997C33" w:rsidP="00997C33">
            <w:pPr>
              <w:jc w:val="center"/>
              <w:rPr>
                <w:rFonts w:ascii="Arial" w:eastAsia="Arial" w:hAnsi="Arial" w:cs="Arial"/>
                <w:sz w:val="18"/>
                <w:szCs w:val="18"/>
              </w:rPr>
            </w:pPr>
            <w:r>
              <w:rPr>
                <w:rFonts w:ascii="Arial" w:eastAsia="Arial" w:hAnsi="Arial" w:cs="Arial"/>
                <w:sz w:val="18"/>
                <w:szCs w:val="18"/>
              </w:rPr>
              <w:t>Geographic</w:t>
            </w:r>
          </w:p>
        </w:tc>
        <w:tc>
          <w:tcPr>
            <w:tcW w:w="1417" w:type="dxa"/>
            <w:vAlign w:val="center"/>
          </w:tcPr>
          <w:p w14:paraId="7205FC48" w14:textId="7EFE3249" w:rsidR="00997C33" w:rsidRPr="00997C33" w:rsidRDefault="00997C33" w:rsidP="00F84935">
            <w:pPr>
              <w:rPr>
                <w:rFonts w:ascii="Arial" w:hAnsi="Arial" w:cs="Arial"/>
                <w:sz w:val="18"/>
                <w:szCs w:val="18"/>
              </w:rPr>
            </w:pPr>
            <w:r w:rsidRPr="00997C33">
              <w:rPr>
                <w:rFonts w:ascii="Arial" w:eastAsia="Arial" w:hAnsi="Arial" w:cs="Arial"/>
                <w:sz w:val="18"/>
                <w:szCs w:val="18"/>
              </w:rPr>
              <w:t>GeogLocn</w:t>
            </w:r>
          </w:p>
        </w:tc>
        <w:tc>
          <w:tcPr>
            <w:tcW w:w="1276" w:type="dxa"/>
            <w:vAlign w:val="center"/>
          </w:tcPr>
          <w:p w14:paraId="000BEAEC" w14:textId="6FF2301A"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Geographical Location</w:t>
            </w:r>
          </w:p>
        </w:tc>
        <w:tc>
          <w:tcPr>
            <w:tcW w:w="3260" w:type="dxa"/>
            <w:vAlign w:val="center"/>
          </w:tcPr>
          <w:p w14:paraId="6AAC3C95" w14:textId="11577C53" w:rsidR="00997C33" w:rsidRPr="00997C33" w:rsidRDefault="002312F0" w:rsidP="00F84935">
            <w:pPr>
              <w:rPr>
                <w:rFonts w:ascii="Arial" w:hAnsi="Arial" w:cs="Arial"/>
                <w:sz w:val="18"/>
                <w:szCs w:val="18"/>
              </w:rPr>
            </w:pPr>
            <w:r>
              <w:rPr>
                <w:rFonts w:ascii="Arial" w:eastAsia="Arial" w:hAnsi="Arial" w:cs="Arial"/>
                <w:sz w:val="18"/>
                <w:szCs w:val="18"/>
              </w:rPr>
              <w:t>Code signifying the area within the country from '</w:t>
            </w:r>
            <w:r w:rsidR="00997C33" w:rsidRPr="00997C33">
              <w:rPr>
                <w:rFonts w:ascii="Arial" w:eastAsia="Arial" w:hAnsi="Arial" w:cs="Arial"/>
                <w:sz w:val="18"/>
                <w:szCs w:val="18"/>
              </w:rPr>
              <w:t>Nomenclature des Unités territoriales statistiques</w:t>
            </w:r>
            <w:r>
              <w:rPr>
                <w:rFonts w:ascii="Arial" w:eastAsia="Arial" w:hAnsi="Arial" w:cs="Arial"/>
                <w:sz w:val="18"/>
                <w:szCs w:val="18"/>
              </w:rPr>
              <w:t>'</w:t>
            </w:r>
            <w:r w:rsidR="00997C33" w:rsidRPr="00997C33">
              <w:rPr>
                <w:rFonts w:ascii="Arial" w:eastAsia="Arial" w:hAnsi="Arial" w:cs="Arial"/>
                <w:sz w:val="18"/>
                <w:szCs w:val="18"/>
              </w:rPr>
              <w:t xml:space="preserve"> 'NUTS_ID' (Level 2) of the shape in coordinate system, ETRS_1989_LAEA. WKID: 3035 Authority: EPSG. </w:t>
            </w:r>
            <w:r w:rsidR="00997C33" w:rsidRPr="00997C33">
              <w:rPr>
                <w:rFonts w:ascii="Arial" w:eastAsia="Times New Roman" w:hAnsi="Arial" w:cs="Arial"/>
                <w:sz w:val="18"/>
                <w:szCs w:val="18"/>
                <w:lang w:eastAsia="ca-ES"/>
              </w:rPr>
              <w:t>Needed for the GSEU project.</w:t>
            </w:r>
          </w:p>
        </w:tc>
        <w:tc>
          <w:tcPr>
            <w:tcW w:w="1701" w:type="dxa"/>
            <w:vAlign w:val="center"/>
          </w:tcPr>
          <w:p w14:paraId="5EEEDC97" w14:textId="74099682" w:rsidR="00997C33" w:rsidRPr="00997C33" w:rsidRDefault="002312F0" w:rsidP="00F84935">
            <w:pPr>
              <w:rPr>
                <w:rFonts w:ascii="Arial" w:hAnsi="Arial" w:cs="Arial"/>
                <w:sz w:val="18"/>
                <w:szCs w:val="18"/>
              </w:rPr>
            </w:pPr>
            <w:r>
              <w:rPr>
                <w:rFonts w:ascii="Arial" w:eastAsia="Arial" w:hAnsi="Arial" w:cs="Arial"/>
                <w:sz w:val="18"/>
                <w:szCs w:val="18"/>
              </w:rPr>
              <w:t>UKE</w:t>
            </w:r>
            <w:r w:rsidR="00997C33" w:rsidRPr="00997C33">
              <w:rPr>
                <w:rFonts w:ascii="Arial" w:eastAsia="Arial" w:hAnsi="Arial" w:cs="Arial"/>
                <w:sz w:val="18"/>
                <w:szCs w:val="18"/>
              </w:rPr>
              <w:t xml:space="preserve"> </w:t>
            </w:r>
          </w:p>
        </w:tc>
      </w:tr>
      <w:tr w:rsidR="00997C33" w:rsidRPr="00997C33" w14:paraId="364E1C91" w14:textId="77777777" w:rsidTr="002312F0">
        <w:trPr>
          <w:trHeight w:val="576"/>
        </w:trPr>
        <w:tc>
          <w:tcPr>
            <w:tcW w:w="1413" w:type="dxa"/>
            <w:vAlign w:val="center"/>
          </w:tcPr>
          <w:p w14:paraId="0A0618F5" w14:textId="0D769CE2" w:rsidR="00997C33" w:rsidRPr="00997C33" w:rsidRDefault="00997C33" w:rsidP="00997C33">
            <w:pPr>
              <w:jc w:val="center"/>
              <w:rPr>
                <w:rFonts w:ascii="Arial" w:eastAsia="Arial" w:hAnsi="Arial" w:cs="Arial"/>
                <w:sz w:val="18"/>
                <w:szCs w:val="18"/>
              </w:rPr>
            </w:pPr>
            <w:r>
              <w:rPr>
                <w:rFonts w:ascii="Arial" w:eastAsia="Arial" w:hAnsi="Arial" w:cs="Arial"/>
                <w:sz w:val="18"/>
                <w:szCs w:val="18"/>
              </w:rPr>
              <w:t>Geograph_1</w:t>
            </w:r>
          </w:p>
        </w:tc>
        <w:tc>
          <w:tcPr>
            <w:tcW w:w="1417" w:type="dxa"/>
            <w:vAlign w:val="center"/>
          </w:tcPr>
          <w:p w14:paraId="42767CD1" w14:textId="310AE529" w:rsidR="00997C33" w:rsidRPr="00997C33" w:rsidRDefault="00997C33" w:rsidP="00F84935">
            <w:pPr>
              <w:rPr>
                <w:rFonts w:ascii="Arial" w:hAnsi="Arial" w:cs="Arial"/>
                <w:sz w:val="18"/>
                <w:szCs w:val="18"/>
              </w:rPr>
            </w:pPr>
            <w:r w:rsidRPr="00997C33">
              <w:rPr>
                <w:rFonts w:ascii="Arial" w:eastAsia="Arial" w:hAnsi="Arial" w:cs="Arial"/>
                <w:sz w:val="18"/>
                <w:szCs w:val="18"/>
              </w:rPr>
              <w:t>GeogCountr</w:t>
            </w:r>
          </w:p>
        </w:tc>
        <w:tc>
          <w:tcPr>
            <w:tcW w:w="1276" w:type="dxa"/>
            <w:vAlign w:val="center"/>
          </w:tcPr>
          <w:p w14:paraId="07BB00FA" w14:textId="62FDCF7C"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Geographical Country</w:t>
            </w:r>
          </w:p>
        </w:tc>
        <w:tc>
          <w:tcPr>
            <w:tcW w:w="3260" w:type="dxa"/>
            <w:vAlign w:val="center"/>
          </w:tcPr>
          <w:p w14:paraId="569F3B83" w14:textId="012F4254" w:rsidR="00997C33" w:rsidRPr="00997C33" w:rsidRDefault="002312F0" w:rsidP="00F84935">
            <w:pPr>
              <w:rPr>
                <w:rFonts w:ascii="Arial" w:hAnsi="Arial" w:cs="Arial"/>
                <w:sz w:val="18"/>
                <w:szCs w:val="18"/>
              </w:rPr>
            </w:pPr>
            <w:r>
              <w:rPr>
                <w:rFonts w:ascii="Arial" w:eastAsia="Arial" w:hAnsi="Arial" w:cs="Arial"/>
                <w:sz w:val="18"/>
                <w:szCs w:val="18"/>
              </w:rPr>
              <w:t xml:space="preserve">Code signifying the country from </w:t>
            </w:r>
            <w:r>
              <w:rPr>
                <w:rFonts w:ascii="Arial" w:eastAsia="Arial" w:hAnsi="Arial" w:cs="Arial"/>
                <w:sz w:val="18"/>
                <w:szCs w:val="18"/>
              </w:rPr>
              <w:t>'</w:t>
            </w:r>
            <w:r w:rsidR="00997C33" w:rsidRPr="00997C33">
              <w:rPr>
                <w:rFonts w:ascii="Arial" w:eastAsia="Arial" w:hAnsi="Arial" w:cs="Arial"/>
                <w:sz w:val="18"/>
                <w:szCs w:val="18"/>
              </w:rPr>
              <w:t>Nomenclature des Unités territoriales statistiques</w:t>
            </w:r>
            <w:r>
              <w:rPr>
                <w:rFonts w:ascii="Arial" w:eastAsia="Arial" w:hAnsi="Arial" w:cs="Arial"/>
                <w:sz w:val="18"/>
                <w:szCs w:val="18"/>
              </w:rPr>
              <w:t>'</w:t>
            </w:r>
            <w:r w:rsidR="00997C33" w:rsidRPr="00997C33">
              <w:rPr>
                <w:rFonts w:ascii="Arial" w:eastAsia="Arial" w:hAnsi="Arial" w:cs="Arial"/>
                <w:sz w:val="18"/>
                <w:szCs w:val="18"/>
              </w:rPr>
              <w:t xml:space="preserve"> 'NUTS_ID' (Level 0) of the shape in coordinate system, ETRS_1989_LAEA. WKID: 3035 Authority: EPSG. </w:t>
            </w:r>
            <w:r w:rsidR="00997C33" w:rsidRPr="00997C33">
              <w:rPr>
                <w:rFonts w:ascii="Arial" w:eastAsia="Times New Roman" w:hAnsi="Arial" w:cs="Arial"/>
                <w:sz w:val="18"/>
                <w:szCs w:val="18"/>
                <w:lang w:eastAsia="ca-ES"/>
              </w:rPr>
              <w:t>Needed for the GSEU project.</w:t>
            </w:r>
          </w:p>
        </w:tc>
        <w:tc>
          <w:tcPr>
            <w:tcW w:w="1701" w:type="dxa"/>
            <w:vAlign w:val="center"/>
          </w:tcPr>
          <w:p w14:paraId="5DFFB84C" w14:textId="166B4B8E" w:rsidR="00997C33" w:rsidRPr="00997C33" w:rsidRDefault="002312F0" w:rsidP="00F84935">
            <w:pPr>
              <w:rPr>
                <w:rFonts w:ascii="Arial" w:hAnsi="Arial" w:cs="Arial"/>
                <w:sz w:val="18"/>
                <w:szCs w:val="18"/>
              </w:rPr>
            </w:pPr>
            <w:r>
              <w:rPr>
                <w:rFonts w:ascii="Arial" w:eastAsia="Arial" w:hAnsi="Arial" w:cs="Arial"/>
                <w:sz w:val="18"/>
                <w:szCs w:val="18"/>
              </w:rPr>
              <w:t>UK</w:t>
            </w:r>
          </w:p>
        </w:tc>
      </w:tr>
      <w:tr w:rsidR="00997C33" w:rsidRPr="00997C33" w14:paraId="3E5C4797" w14:textId="77777777" w:rsidTr="002312F0">
        <w:trPr>
          <w:trHeight w:val="288"/>
        </w:trPr>
        <w:tc>
          <w:tcPr>
            <w:tcW w:w="1413" w:type="dxa"/>
            <w:vAlign w:val="center"/>
          </w:tcPr>
          <w:p w14:paraId="1B9414B9" w14:textId="2A310AFA" w:rsidR="00997C33" w:rsidRPr="00997C33" w:rsidRDefault="00997C33" w:rsidP="00997C33">
            <w:pPr>
              <w:jc w:val="center"/>
              <w:rPr>
                <w:rFonts w:ascii="Arial" w:eastAsia="Arial" w:hAnsi="Arial" w:cs="Arial"/>
                <w:sz w:val="18"/>
                <w:szCs w:val="18"/>
              </w:rPr>
            </w:pPr>
            <w:r w:rsidRPr="00997C33">
              <w:rPr>
                <w:rFonts w:ascii="Arial" w:eastAsia="Arial" w:hAnsi="Arial" w:cs="Arial"/>
                <w:sz w:val="18"/>
                <w:szCs w:val="18"/>
              </w:rPr>
              <w:t>CondConvTy</w:t>
            </w:r>
          </w:p>
        </w:tc>
        <w:tc>
          <w:tcPr>
            <w:tcW w:w="1417" w:type="dxa"/>
            <w:vAlign w:val="center"/>
          </w:tcPr>
          <w:p w14:paraId="6052DF26" w14:textId="26F83849" w:rsidR="00997C33" w:rsidRPr="00997C33" w:rsidRDefault="00997C33" w:rsidP="00F84935">
            <w:pPr>
              <w:rPr>
                <w:rFonts w:ascii="Arial" w:hAnsi="Arial" w:cs="Arial"/>
                <w:sz w:val="18"/>
                <w:szCs w:val="18"/>
              </w:rPr>
            </w:pPr>
            <w:r w:rsidRPr="00997C33">
              <w:rPr>
                <w:rFonts w:ascii="Arial" w:eastAsia="Arial" w:hAnsi="Arial" w:cs="Arial"/>
                <w:sz w:val="18"/>
                <w:szCs w:val="18"/>
              </w:rPr>
              <w:t>CondConvTy</w:t>
            </w:r>
          </w:p>
        </w:tc>
        <w:tc>
          <w:tcPr>
            <w:tcW w:w="1276" w:type="dxa"/>
            <w:vAlign w:val="center"/>
          </w:tcPr>
          <w:p w14:paraId="108889F7" w14:textId="222E7EBC"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Conduction Convection Type</w:t>
            </w:r>
          </w:p>
        </w:tc>
        <w:tc>
          <w:tcPr>
            <w:tcW w:w="3260" w:type="dxa"/>
            <w:vAlign w:val="center"/>
          </w:tcPr>
          <w:p w14:paraId="66479888" w14:textId="2C213204" w:rsidR="00997C33" w:rsidRPr="00997C33" w:rsidRDefault="00997C33" w:rsidP="00F84935">
            <w:pPr>
              <w:rPr>
                <w:rFonts w:ascii="Arial" w:hAnsi="Arial" w:cs="Arial"/>
                <w:sz w:val="18"/>
                <w:szCs w:val="18"/>
              </w:rPr>
            </w:pPr>
            <w:r w:rsidRPr="00997C33">
              <w:rPr>
                <w:rFonts w:ascii="Arial" w:eastAsia="Arial" w:hAnsi="Arial" w:cs="Arial"/>
                <w:sz w:val="18"/>
                <w:szCs w:val="18"/>
              </w:rPr>
              <w:t>Moeck, 2014 codification of the geothermal play identified</w:t>
            </w:r>
          </w:p>
        </w:tc>
        <w:tc>
          <w:tcPr>
            <w:tcW w:w="1701" w:type="dxa"/>
            <w:vAlign w:val="center"/>
          </w:tcPr>
          <w:p w14:paraId="7ABCF6FD" w14:textId="0066ABC0" w:rsidR="00997C33" w:rsidRPr="00997C33" w:rsidRDefault="00997C33" w:rsidP="00F84935">
            <w:pPr>
              <w:rPr>
                <w:rFonts w:ascii="Arial" w:hAnsi="Arial" w:cs="Arial"/>
                <w:sz w:val="18"/>
                <w:szCs w:val="18"/>
              </w:rPr>
            </w:pPr>
            <w:r w:rsidRPr="00997C33">
              <w:rPr>
                <w:rFonts w:ascii="Arial" w:eastAsia="Arial" w:hAnsi="Arial" w:cs="Arial"/>
                <w:sz w:val="18"/>
                <w:szCs w:val="18"/>
              </w:rPr>
              <w:t>CD3</w:t>
            </w:r>
          </w:p>
        </w:tc>
      </w:tr>
      <w:tr w:rsidR="00997C33" w:rsidRPr="00997C33" w14:paraId="2037034A" w14:textId="77777777" w:rsidTr="002312F0">
        <w:trPr>
          <w:trHeight w:val="288"/>
        </w:trPr>
        <w:tc>
          <w:tcPr>
            <w:tcW w:w="1413" w:type="dxa"/>
            <w:vAlign w:val="center"/>
          </w:tcPr>
          <w:p w14:paraId="63162B01" w14:textId="2D3E40CF" w:rsidR="00997C33" w:rsidRPr="00997C33" w:rsidRDefault="00997C33" w:rsidP="00997C33">
            <w:pPr>
              <w:jc w:val="center"/>
              <w:rPr>
                <w:rFonts w:ascii="Arial" w:eastAsia="Arial" w:hAnsi="Arial" w:cs="Arial"/>
                <w:sz w:val="18"/>
                <w:szCs w:val="18"/>
              </w:rPr>
            </w:pPr>
            <w:r>
              <w:rPr>
                <w:rFonts w:ascii="Arial" w:eastAsia="Arial" w:hAnsi="Arial" w:cs="Arial"/>
                <w:sz w:val="18"/>
                <w:szCs w:val="18"/>
              </w:rPr>
              <w:t>Geotherm</w:t>
            </w:r>
            <w:r w:rsidR="002312F0">
              <w:rPr>
                <w:rFonts w:ascii="Arial" w:eastAsia="Arial" w:hAnsi="Arial" w:cs="Arial"/>
                <w:sz w:val="18"/>
                <w:szCs w:val="18"/>
              </w:rPr>
              <w:t>_</w:t>
            </w:r>
            <w:r>
              <w:rPr>
                <w:rFonts w:ascii="Arial" w:eastAsia="Arial" w:hAnsi="Arial" w:cs="Arial"/>
                <w:sz w:val="18"/>
                <w:szCs w:val="18"/>
              </w:rPr>
              <w:t>2</w:t>
            </w:r>
          </w:p>
        </w:tc>
        <w:tc>
          <w:tcPr>
            <w:tcW w:w="1417" w:type="dxa"/>
            <w:vAlign w:val="center"/>
          </w:tcPr>
          <w:p w14:paraId="7533331C" w14:textId="4848FDD8" w:rsidR="00997C33" w:rsidRPr="00997C33" w:rsidRDefault="00997C33" w:rsidP="00F84935">
            <w:pPr>
              <w:rPr>
                <w:rFonts w:ascii="Arial" w:hAnsi="Arial" w:cs="Arial"/>
                <w:sz w:val="18"/>
                <w:szCs w:val="18"/>
              </w:rPr>
            </w:pPr>
            <w:r w:rsidRPr="00997C33">
              <w:rPr>
                <w:rFonts w:ascii="Arial" w:eastAsia="Arial" w:hAnsi="Arial" w:cs="Arial"/>
                <w:sz w:val="18"/>
                <w:szCs w:val="18"/>
              </w:rPr>
              <w:t>GTPlayTyp</w:t>
            </w:r>
            <w:r w:rsidR="002312F0">
              <w:rPr>
                <w:rFonts w:ascii="Arial" w:eastAsia="Arial" w:hAnsi="Arial" w:cs="Arial"/>
                <w:sz w:val="18"/>
                <w:szCs w:val="18"/>
              </w:rPr>
              <w:t>e</w:t>
            </w:r>
          </w:p>
        </w:tc>
        <w:tc>
          <w:tcPr>
            <w:tcW w:w="1276" w:type="dxa"/>
            <w:vAlign w:val="center"/>
          </w:tcPr>
          <w:p w14:paraId="5C36B3F8" w14:textId="7E5D2839"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Geothermal Play Type</w:t>
            </w:r>
          </w:p>
        </w:tc>
        <w:tc>
          <w:tcPr>
            <w:tcW w:w="3260" w:type="dxa"/>
            <w:vAlign w:val="center"/>
          </w:tcPr>
          <w:p w14:paraId="483CAF69" w14:textId="6FC6FEB5" w:rsidR="00997C33" w:rsidRPr="00997C33" w:rsidRDefault="00997C33" w:rsidP="00F84935">
            <w:pPr>
              <w:rPr>
                <w:rFonts w:ascii="Arial" w:hAnsi="Arial" w:cs="Arial"/>
                <w:sz w:val="18"/>
                <w:szCs w:val="18"/>
              </w:rPr>
            </w:pPr>
            <w:r w:rsidRPr="00997C33">
              <w:rPr>
                <w:rFonts w:ascii="Arial" w:eastAsia="Arial" w:hAnsi="Arial" w:cs="Arial"/>
                <w:sz w:val="18"/>
                <w:szCs w:val="18"/>
              </w:rPr>
              <w:t>Moeck, 2014 classification scheme</w:t>
            </w:r>
          </w:p>
        </w:tc>
        <w:tc>
          <w:tcPr>
            <w:tcW w:w="1701" w:type="dxa"/>
            <w:vAlign w:val="center"/>
          </w:tcPr>
          <w:p w14:paraId="466EB588" w14:textId="59BA2AD5" w:rsidR="00997C33" w:rsidRPr="00997C33" w:rsidRDefault="00997C33" w:rsidP="00F84935">
            <w:pPr>
              <w:rPr>
                <w:rFonts w:ascii="Arial" w:hAnsi="Arial" w:cs="Arial"/>
                <w:sz w:val="18"/>
                <w:szCs w:val="18"/>
              </w:rPr>
            </w:pPr>
            <w:r w:rsidRPr="00997C33">
              <w:rPr>
                <w:rFonts w:ascii="Arial" w:eastAsia="Arial" w:hAnsi="Arial" w:cs="Arial"/>
                <w:sz w:val="18"/>
                <w:szCs w:val="18"/>
              </w:rPr>
              <w:t>Intracratonic Basin</w:t>
            </w:r>
          </w:p>
        </w:tc>
      </w:tr>
      <w:tr w:rsidR="00997C33" w:rsidRPr="00997C33" w14:paraId="0726BA94" w14:textId="77777777" w:rsidTr="002312F0">
        <w:trPr>
          <w:trHeight w:val="288"/>
        </w:trPr>
        <w:tc>
          <w:tcPr>
            <w:tcW w:w="1413" w:type="dxa"/>
            <w:vAlign w:val="center"/>
          </w:tcPr>
          <w:p w14:paraId="213E42A7" w14:textId="327146C7" w:rsidR="00997C33" w:rsidRPr="00997C33" w:rsidRDefault="00997C33" w:rsidP="00997C33">
            <w:pPr>
              <w:jc w:val="center"/>
              <w:rPr>
                <w:rFonts w:ascii="Arial" w:eastAsia="Arial" w:hAnsi="Arial" w:cs="Arial"/>
                <w:sz w:val="18"/>
                <w:szCs w:val="18"/>
              </w:rPr>
            </w:pPr>
            <w:r>
              <w:rPr>
                <w:rFonts w:ascii="Arial" w:eastAsia="Arial" w:hAnsi="Arial" w:cs="Arial"/>
                <w:sz w:val="18"/>
                <w:szCs w:val="18"/>
              </w:rPr>
              <w:t>PlateTectS</w:t>
            </w:r>
          </w:p>
        </w:tc>
        <w:tc>
          <w:tcPr>
            <w:tcW w:w="1417" w:type="dxa"/>
            <w:vAlign w:val="center"/>
          </w:tcPr>
          <w:p w14:paraId="79860266" w14:textId="19C5102A" w:rsidR="00997C33" w:rsidRPr="00997C33" w:rsidRDefault="00997C33" w:rsidP="00F84935">
            <w:pPr>
              <w:rPr>
                <w:rFonts w:ascii="Arial" w:hAnsi="Arial" w:cs="Arial"/>
                <w:sz w:val="18"/>
                <w:szCs w:val="18"/>
              </w:rPr>
            </w:pPr>
            <w:r w:rsidRPr="00997C33">
              <w:rPr>
                <w:rFonts w:ascii="Arial" w:eastAsia="Arial" w:hAnsi="Arial" w:cs="Arial"/>
                <w:sz w:val="18"/>
                <w:szCs w:val="18"/>
              </w:rPr>
              <w:t>PT</w:t>
            </w:r>
            <w:r w:rsidR="002312F0">
              <w:rPr>
                <w:rFonts w:ascii="Arial" w:eastAsia="Arial" w:hAnsi="Arial" w:cs="Arial"/>
                <w:sz w:val="18"/>
                <w:szCs w:val="18"/>
              </w:rPr>
              <w:t>s</w:t>
            </w:r>
            <w:r w:rsidRPr="00997C33">
              <w:rPr>
                <w:rFonts w:ascii="Arial" w:eastAsia="Arial" w:hAnsi="Arial" w:cs="Arial"/>
                <w:sz w:val="18"/>
                <w:szCs w:val="18"/>
              </w:rPr>
              <w:t>etting</w:t>
            </w:r>
          </w:p>
        </w:tc>
        <w:tc>
          <w:tcPr>
            <w:tcW w:w="1276" w:type="dxa"/>
            <w:vAlign w:val="center"/>
          </w:tcPr>
          <w:p w14:paraId="3FECD8BA" w14:textId="1C52A4D6"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Plate Tectonic Setting</w:t>
            </w:r>
          </w:p>
        </w:tc>
        <w:tc>
          <w:tcPr>
            <w:tcW w:w="3260" w:type="dxa"/>
            <w:vAlign w:val="center"/>
          </w:tcPr>
          <w:p w14:paraId="2516FF10" w14:textId="402669DA" w:rsidR="00997C33" w:rsidRPr="00997C33" w:rsidRDefault="00997C33" w:rsidP="00F84935">
            <w:pPr>
              <w:rPr>
                <w:rFonts w:ascii="Arial" w:hAnsi="Arial" w:cs="Arial"/>
                <w:sz w:val="18"/>
                <w:szCs w:val="18"/>
              </w:rPr>
            </w:pPr>
            <w:r w:rsidRPr="00997C33">
              <w:rPr>
                <w:rFonts w:ascii="Arial" w:eastAsia="Arial" w:hAnsi="Arial" w:cs="Arial"/>
                <w:sz w:val="18"/>
                <w:szCs w:val="18"/>
              </w:rPr>
              <w:t>Moeck, 2014 classification scheme</w:t>
            </w:r>
          </w:p>
        </w:tc>
        <w:tc>
          <w:tcPr>
            <w:tcW w:w="1701" w:type="dxa"/>
            <w:vAlign w:val="center"/>
          </w:tcPr>
          <w:p w14:paraId="0B278BB1" w14:textId="24EC3DDB" w:rsidR="00997C33" w:rsidRPr="00997C33" w:rsidRDefault="00997C33" w:rsidP="00F84935">
            <w:pPr>
              <w:rPr>
                <w:rFonts w:ascii="Arial" w:hAnsi="Arial" w:cs="Arial"/>
                <w:sz w:val="18"/>
                <w:szCs w:val="18"/>
              </w:rPr>
            </w:pPr>
            <w:r w:rsidRPr="00997C33">
              <w:rPr>
                <w:rFonts w:ascii="Arial" w:eastAsia="Arial" w:hAnsi="Arial" w:cs="Arial"/>
                <w:sz w:val="18"/>
                <w:szCs w:val="18"/>
              </w:rPr>
              <w:t>Intracratonic / Rift basin</w:t>
            </w:r>
          </w:p>
        </w:tc>
      </w:tr>
      <w:tr w:rsidR="00997C33" w:rsidRPr="00997C33" w14:paraId="4205D8E1" w14:textId="77777777" w:rsidTr="002312F0">
        <w:trPr>
          <w:trHeight w:val="288"/>
        </w:trPr>
        <w:tc>
          <w:tcPr>
            <w:tcW w:w="1413" w:type="dxa"/>
            <w:vAlign w:val="center"/>
          </w:tcPr>
          <w:p w14:paraId="6240871E" w14:textId="276D009F" w:rsidR="00997C33" w:rsidRPr="00997C33" w:rsidRDefault="00997C33" w:rsidP="00997C33">
            <w:pPr>
              <w:jc w:val="center"/>
              <w:rPr>
                <w:rFonts w:ascii="Arial" w:eastAsia="Arial" w:hAnsi="Arial" w:cs="Arial"/>
                <w:sz w:val="18"/>
                <w:szCs w:val="18"/>
              </w:rPr>
            </w:pPr>
            <w:r>
              <w:rPr>
                <w:rFonts w:ascii="Arial" w:eastAsia="Arial" w:hAnsi="Arial" w:cs="Arial"/>
                <w:sz w:val="18"/>
                <w:szCs w:val="18"/>
              </w:rPr>
              <w:t>GeologicHa</w:t>
            </w:r>
          </w:p>
        </w:tc>
        <w:tc>
          <w:tcPr>
            <w:tcW w:w="1417" w:type="dxa"/>
            <w:vAlign w:val="center"/>
          </w:tcPr>
          <w:p w14:paraId="73D078DC" w14:textId="6C8FC334" w:rsidR="00997C33" w:rsidRPr="00997C33" w:rsidRDefault="00997C33" w:rsidP="00F84935">
            <w:pPr>
              <w:rPr>
                <w:rFonts w:ascii="Arial" w:hAnsi="Arial" w:cs="Arial"/>
                <w:sz w:val="18"/>
                <w:szCs w:val="18"/>
              </w:rPr>
            </w:pPr>
            <w:r w:rsidRPr="00997C33">
              <w:rPr>
                <w:rFonts w:ascii="Arial" w:eastAsia="Arial" w:hAnsi="Arial" w:cs="Arial"/>
                <w:sz w:val="18"/>
                <w:szCs w:val="18"/>
              </w:rPr>
              <w:t>GeoHabitat</w:t>
            </w:r>
          </w:p>
        </w:tc>
        <w:tc>
          <w:tcPr>
            <w:tcW w:w="1276" w:type="dxa"/>
            <w:vAlign w:val="center"/>
          </w:tcPr>
          <w:p w14:paraId="3A04ACB8" w14:textId="5CE7C30F"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Geologic Habitat</w:t>
            </w:r>
          </w:p>
        </w:tc>
        <w:tc>
          <w:tcPr>
            <w:tcW w:w="3260" w:type="dxa"/>
            <w:vAlign w:val="center"/>
          </w:tcPr>
          <w:p w14:paraId="1FB97980" w14:textId="7C433993" w:rsidR="00997C33" w:rsidRPr="00997C33" w:rsidRDefault="00997C33" w:rsidP="00F84935">
            <w:pPr>
              <w:rPr>
                <w:rFonts w:ascii="Arial" w:hAnsi="Arial" w:cs="Arial"/>
                <w:sz w:val="18"/>
                <w:szCs w:val="18"/>
              </w:rPr>
            </w:pPr>
            <w:r w:rsidRPr="00997C33">
              <w:rPr>
                <w:rFonts w:ascii="Arial" w:eastAsia="Arial" w:hAnsi="Arial" w:cs="Arial"/>
                <w:sz w:val="18"/>
                <w:szCs w:val="18"/>
              </w:rPr>
              <w:t>Moeck, 2014 classification scheme</w:t>
            </w:r>
          </w:p>
        </w:tc>
        <w:tc>
          <w:tcPr>
            <w:tcW w:w="1701" w:type="dxa"/>
            <w:vAlign w:val="center"/>
          </w:tcPr>
          <w:p w14:paraId="4EC04AE3" w14:textId="46EC56A1" w:rsidR="00997C33" w:rsidRPr="00997C33" w:rsidRDefault="00997C33" w:rsidP="00F84935">
            <w:pPr>
              <w:rPr>
                <w:rFonts w:ascii="Arial" w:hAnsi="Arial" w:cs="Arial"/>
                <w:sz w:val="18"/>
                <w:szCs w:val="18"/>
              </w:rPr>
            </w:pPr>
            <w:r w:rsidRPr="00997C33">
              <w:rPr>
                <w:rFonts w:ascii="Arial" w:eastAsia="Arial" w:hAnsi="Arial" w:cs="Arial"/>
                <w:sz w:val="18"/>
                <w:szCs w:val="18"/>
              </w:rPr>
              <w:t>Hydrothermal</w:t>
            </w:r>
          </w:p>
        </w:tc>
      </w:tr>
      <w:tr w:rsidR="00997C33" w:rsidRPr="00997C33" w14:paraId="6A38686B" w14:textId="77777777" w:rsidTr="002312F0">
        <w:trPr>
          <w:trHeight w:val="288"/>
        </w:trPr>
        <w:tc>
          <w:tcPr>
            <w:tcW w:w="1413" w:type="dxa"/>
            <w:vAlign w:val="center"/>
          </w:tcPr>
          <w:p w14:paraId="072580F4" w14:textId="4BB0A74B" w:rsidR="00997C33" w:rsidRPr="00997C33" w:rsidRDefault="00997C33" w:rsidP="00997C33">
            <w:pPr>
              <w:jc w:val="center"/>
              <w:rPr>
                <w:rFonts w:ascii="Arial" w:eastAsia="Arial" w:hAnsi="Arial" w:cs="Arial"/>
                <w:sz w:val="18"/>
                <w:szCs w:val="18"/>
              </w:rPr>
            </w:pPr>
            <w:r>
              <w:rPr>
                <w:rFonts w:ascii="Arial" w:eastAsia="Arial" w:hAnsi="Arial" w:cs="Arial"/>
                <w:sz w:val="18"/>
                <w:szCs w:val="18"/>
              </w:rPr>
              <w:lastRenderedPageBreak/>
              <w:t>GeologicCo</w:t>
            </w:r>
          </w:p>
        </w:tc>
        <w:tc>
          <w:tcPr>
            <w:tcW w:w="1417" w:type="dxa"/>
            <w:vAlign w:val="center"/>
          </w:tcPr>
          <w:p w14:paraId="755E1796" w14:textId="608C7305" w:rsidR="00997C33" w:rsidRPr="00997C33" w:rsidRDefault="00997C33" w:rsidP="00F84935">
            <w:pPr>
              <w:rPr>
                <w:rFonts w:ascii="Arial" w:hAnsi="Arial" w:cs="Arial"/>
                <w:sz w:val="18"/>
                <w:szCs w:val="18"/>
              </w:rPr>
            </w:pPr>
            <w:r w:rsidRPr="00997C33">
              <w:rPr>
                <w:rFonts w:ascii="Arial" w:eastAsia="Arial" w:hAnsi="Arial" w:cs="Arial"/>
                <w:sz w:val="18"/>
                <w:szCs w:val="18"/>
              </w:rPr>
              <w:t>GeoControls</w:t>
            </w:r>
          </w:p>
        </w:tc>
        <w:tc>
          <w:tcPr>
            <w:tcW w:w="1276" w:type="dxa"/>
            <w:vAlign w:val="center"/>
          </w:tcPr>
          <w:p w14:paraId="4F23409F" w14:textId="3141EDC2"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Geologic Controls</w:t>
            </w:r>
          </w:p>
        </w:tc>
        <w:tc>
          <w:tcPr>
            <w:tcW w:w="3260" w:type="dxa"/>
            <w:vAlign w:val="center"/>
          </w:tcPr>
          <w:p w14:paraId="35BBCC41" w14:textId="6062F379" w:rsidR="00997C33" w:rsidRPr="00997C33" w:rsidRDefault="00997C33" w:rsidP="00F84935">
            <w:pPr>
              <w:rPr>
                <w:rFonts w:ascii="Arial" w:hAnsi="Arial" w:cs="Arial"/>
                <w:sz w:val="18"/>
                <w:szCs w:val="18"/>
              </w:rPr>
            </w:pPr>
            <w:r w:rsidRPr="00997C33">
              <w:rPr>
                <w:rFonts w:ascii="Arial" w:eastAsia="Arial" w:hAnsi="Arial" w:cs="Arial"/>
                <w:sz w:val="18"/>
                <w:szCs w:val="18"/>
              </w:rPr>
              <w:t>Moeck, 2014 classification scheme</w:t>
            </w:r>
          </w:p>
        </w:tc>
        <w:tc>
          <w:tcPr>
            <w:tcW w:w="1701" w:type="dxa"/>
            <w:vAlign w:val="center"/>
          </w:tcPr>
          <w:p w14:paraId="563C8147" w14:textId="593A59C2" w:rsidR="00997C33" w:rsidRPr="00997C33" w:rsidRDefault="00997C33" w:rsidP="00F84935">
            <w:pPr>
              <w:rPr>
                <w:rFonts w:ascii="Arial" w:hAnsi="Arial" w:cs="Arial"/>
                <w:sz w:val="18"/>
                <w:szCs w:val="18"/>
              </w:rPr>
            </w:pPr>
            <w:r w:rsidRPr="00997C33">
              <w:rPr>
                <w:rFonts w:ascii="Arial" w:eastAsia="Arial" w:hAnsi="Arial" w:cs="Arial"/>
                <w:sz w:val="18"/>
                <w:szCs w:val="18"/>
              </w:rPr>
              <w:t>Fault/fracture controlled</w:t>
            </w:r>
          </w:p>
        </w:tc>
      </w:tr>
      <w:tr w:rsidR="00997C33" w:rsidRPr="00997C33" w14:paraId="181FB16F" w14:textId="77777777" w:rsidTr="002312F0">
        <w:trPr>
          <w:trHeight w:val="864"/>
        </w:trPr>
        <w:tc>
          <w:tcPr>
            <w:tcW w:w="1413" w:type="dxa"/>
            <w:vAlign w:val="center"/>
          </w:tcPr>
          <w:p w14:paraId="186DBFA9" w14:textId="51542027" w:rsidR="00997C33" w:rsidRPr="00997C33" w:rsidRDefault="00997C33" w:rsidP="00997C33">
            <w:pPr>
              <w:jc w:val="center"/>
              <w:rPr>
                <w:rFonts w:ascii="Arial" w:eastAsia="Arial" w:hAnsi="Arial" w:cs="Arial"/>
                <w:sz w:val="18"/>
                <w:szCs w:val="18"/>
              </w:rPr>
            </w:pPr>
            <w:r w:rsidRPr="00997C33">
              <w:rPr>
                <w:rFonts w:ascii="Arial" w:eastAsia="Arial" w:hAnsi="Arial" w:cs="Arial"/>
                <w:sz w:val="18"/>
                <w:szCs w:val="18"/>
              </w:rPr>
              <w:t>References</w:t>
            </w:r>
          </w:p>
        </w:tc>
        <w:tc>
          <w:tcPr>
            <w:tcW w:w="1417" w:type="dxa"/>
            <w:vAlign w:val="center"/>
          </w:tcPr>
          <w:p w14:paraId="3F29B22D" w14:textId="44D0C6F7" w:rsidR="00997C33" w:rsidRPr="00997C33" w:rsidRDefault="00997C33" w:rsidP="00F84935">
            <w:pPr>
              <w:rPr>
                <w:rFonts w:ascii="Arial" w:hAnsi="Arial" w:cs="Arial"/>
                <w:sz w:val="18"/>
                <w:szCs w:val="18"/>
              </w:rPr>
            </w:pPr>
            <w:r w:rsidRPr="00997C33">
              <w:rPr>
                <w:rFonts w:ascii="Arial" w:eastAsia="Arial" w:hAnsi="Arial" w:cs="Arial"/>
                <w:sz w:val="18"/>
                <w:szCs w:val="18"/>
              </w:rPr>
              <w:t>References</w:t>
            </w:r>
          </w:p>
        </w:tc>
        <w:tc>
          <w:tcPr>
            <w:tcW w:w="1276" w:type="dxa"/>
            <w:vAlign w:val="center"/>
          </w:tcPr>
          <w:p w14:paraId="550E9C37" w14:textId="2169119B"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References</w:t>
            </w:r>
          </w:p>
        </w:tc>
        <w:tc>
          <w:tcPr>
            <w:tcW w:w="3260" w:type="dxa"/>
            <w:vAlign w:val="center"/>
          </w:tcPr>
          <w:p w14:paraId="3DA5347A" w14:textId="16730189" w:rsidR="00997C33" w:rsidRPr="00997C33" w:rsidRDefault="00997C33" w:rsidP="00F84935">
            <w:pPr>
              <w:rPr>
                <w:rFonts w:ascii="Arial" w:hAnsi="Arial" w:cs="Arial"/>
                <w:sz w:val="18"/>
                <w:szCs w:val="18"/>
              </w:rPr>
            </w:pPr>
            <w:r w:rsidRPr="00997C33">
              <w:rPr>
                <w:rFonts w:ascii="Arial" w:eastAsia="Arial" w:hAnsi="Arial" w:cs="Arial"/>
                <w:sz w:val="18"/>
                <w:szCs w:val="18"/>
              </w:rPr>
              <w:t>Data source references.</w:t>
            </w:r>
          </w:p>
        </w:tc>
        <w:tc>
          <w:tcPr>
            <w:tcW w:w="1701" w:type="dxa"/>
            <w:vAlign w:val="center"/>
          </w:tcPr>
          <w:p w14:paraId="3BED4292" w14:textId="66A73E10" w:rsidR="00997C33" w:rsidRPr="00997C33" w:rsidRDefault="00997C33" w:rsidP="00F84935">
            <w:pPr>
              <w:rPr>
                <w:rFonts w:ascii="Arial" w:hAnsi="Arial" w:cs="Arial"/>
                <w:sz w:val="18"/>
                <w:szCs w:val="18"/>
              </w:rPr>
            </w:pPr>
            <w:r w:rsidRPr="00997C33">
              <w:rPr>
                <w:rFonts w:ascii="Arial" w:hAnsi="Arial" w:cs="Arial"/>
                <w:sz w:val="18"/>
                <w:szCs w:val="18"/>
              </w:rPr>
              <w:t>Tectonic map UK 1996</w:t>
            </w:r>
          </w:p>
        </w:tc>
      </w:tr>
      <w:tr w:rsidR="00997C33" w:rsidRPr="00997C33" w14:paraId="14071022" w14:textId="77777777" w:rsidTr="002312F0">
        <w:trPr>
          <w:trHeight w:val="864"/>
        </w:trPr>
        <w:tc>
          <w:tcPr>
            <w:tcW w:w="1413" w:type="dxa"/>
            <w:vAlign w:val="center"/>
          </w:tcPr>
          <w:p w14:paraId="518667E4" w14:textId="181B9652" w:rsidR="00997C33" w:rsidRPr="00997C33" w:rsidRDefault="00997C33" w:rsidP="00997C33">
            <w:pPr>
              <w:jc w:val="center"/>
              <w:rPr>
                <w:rFonts w:ascii="Arial" w:eastAsia="Arial" w:hAnsi="Arial" w:cs="Arial"/>
                <w:sz w:val="18"/>
                <w:szCs w:val="18"/>
              </w:rPr>
            </w:pPr>
            <w:r>
              <w:rPr>
                <w:rFonts w:ascii="Arial" w:eastAsia="Arial" w:hAnsi="Arial" w:cs="Arial"/>
                <w:sz w:val="18"/>
                <w:szCs w:val="18"/>
              </w:rPr>
              <w:t>BGS Lexicon</w:t>
            </w:r>
          </w:p>
        </w:tc>
        <w:tc>
          <w:tcPr>
            <w:tcW w:w="1417" w:type="dxa"/>
            <w:vAlign w:val="center"/>
          </w:tcPr>
          <w:p w14:paraId="789B07D2" w14:textId="455E6646"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 xml:space="preserve">BGSLexCode </w:t>
            </w:r>
          </w:p>
        </w:tc>
        <w:tc>
          <w:tcPr>
            <w:tcW w:w="1276" w:type="dxa"/>
            <w:vAlign w:val="center"/>
          </w:tcPr>
          <w:p w14:paraId="0B45858C" w14:textId="7900D678"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BGS Lexicon code</w:t>
            </w:r>
          </w:p>
        </w:tc>
        <w:tc>
          <w:tcPr>
            <w:tcW w:w="3260" w:type="dxa"/>
            <w:vAlign w:val="center"/>
          </w:tcPr>
          <w:p w14:paraId="6E880EE1" w14:textId="2C8BD3B5"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 xml:space="preserve">BGS Lexicon code for the strata considered to have geothermal potential </w:t>
            </w:r>
          </w:p>
        </w:tc>
        <w:tc>
          <w:tcPr>
            <w:tcW w:w="1701" w:type="dxa"/>
            <w:vAlign w:val="center"/>
          </w:tcPr>
          <w:p w14:paraId="74AFB6DC" w14:textId="4F8F45A9" w:rsidR="00997C33" w:rsidRPr="00997C33" w:rsidRDefault="00997C33" w:rsidP="00F84935">
            <w:pPr>
              <w:rPr>
                <w:rFonts w:ascii="Arial" w:hAnsi="Arial" w:cs="Arial"/>
                <w:sz w:val="18"/>
                <w:szCs w:val="18"/>
              </w:rPr>
            </w:pPr>
            <w:r w:rsidRPr="00997C33">
              <w:rPr>
                <w:rFonts w:ascii="Arial" w:hAnsi="Arial" w:cs="Arial"/>
                <w:sz w:val="18"/>
                <w:szCs w:val="18"/>
              </w:rPr>
              <w:t>SSG</w:t>
            </w:r>
          </w:p>
        </w:tc>
      </w:tr>
      <w:tr w:rsidR="00997C33" w:rsidRPr="00997C33" w14:paraId="75159346" w14:textId="77777777" w:rsidTr="002312F0">
        <w:trPr>
          <w:trHeight w:val="864"/>
        </w:trPr>
        <w:tc>
          <w:tcPr>
            <w:tcW w:w="1413" w:type="dxa"/>
            <w:vAlign w:val="center"/>
          </w:tcPr>
          <w:p w14:paraId="0C397B3A" w14:textId="55AF41B5" w:rsidR="00997C33" w:rsidRPr="00997C33" w:rsidRDefault="00997C33" w:rsidP="00997C33">
            <w:pPr>
              <w:jc w:val="center"/>
              <w:rPr>
                <w:rFonts w:ascii="Arial" w:eastAsia="Arial" w:hAnsi="Arial" w:cs="Arial"/>
                <w:sz w:val="18"/>
                <w:szCs w:val="18"/>
              </w:rPr>
            </w:pPr>
            <w:r>
              <w:rPr>
                <w:rFonts w:ascii="Arial" w:eastAsia="Arial" w:hAnsi="Arial" w:cs="Arial"/>
                <w:sz w:val="18"/>
                <w:szCs w:val="18"/>
              </w:rPr>
              <w:t>BGSAgeDesc</w:t>
            </w:r>
          </w:p>
        </w:tc>
        <w:tc>
          <w:tcPr>
            <w:tcW w:w="1417" w:type="dxa"/>
            <w:vAlign w:val="center"/>
          </w:tcPr>
          <w:p w14:paraId="19130153" w14:textId="2C4C7537"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 xml:space="preserve">BGSAgeDesc </w:t>
            </w:r>
          </w:p>
        </w:tc>
        <w:tc>
          <w:tcPr>
            <w:tcW w:w="1276" w:type="dxa"/>
            <w:vAlign w:val="center"/>
          </w:tcPr>
          <w:p w14:paraId="5F2C89B0" w14:textId="2757060E"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BGS age description</w:t>
            </w:r>
          </w:p>
        </w:tc>
        <w:tc>
          <w:tcPr>
            <w:tcW w:w="3260" w:type="dxa"/>
            <w:vAlign w:val="center"/>
          </w:tcPr>
          <w:p w14:paraId="09269324" w14:textId="05210795"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 xml:space="preserve">Informal and generalised age description </w:t>
            </w:r>
          </w:p>
        </w:tc>
        <w:tc>
          <w:tcPr>
            <w:tcW w:w="1701" w:type="dxa"/>
            <w:vAlign w:val="center"/>
          </w:tcPr>
          <w:p w14:paraId="27E77238" w14:textId="0E4F384D" w:rsidR="00997C33" w:rsidRPr="00997C33" w:rsidRDefault="00997C33" w:rsidP="00F84935">
            <w:pPr>
              <w:rPr>
                <w:rFonts w:ascii="Arial" w:hAnsi="Arial" w:cs="Arial"/>
                <w:sz w:val="18"/>
                <w:szCs w:val="18"/>
              </w:rPr>
            </w:pPr>
            <w:r w:rsidRPr="00997C33">
              <w:rPr>
                <w:rFonts w:ascii="Arial" w:hAnsi="Arial" w:cs="Arial"/>
                <w:sz w:val="18"/>
                <w:szCs w:val="18"/>
              </w:rPr>
              <w:t>Permo-Trias</w:t>
            </w:r>
          </w:p>
        </w:tc>
      </w:tr>
      <w:tr w:rsidR="00997C33" w:rsidRPr="00997C33" w14:paraId="4306E807" w14:textId="77777777" w:rsidTr="002312F0">
        <w:trPr>
          <w:trHeight w:val="864"/>
        </w:trPr>
        <w:tc>
          <w:tcPr>
            <w:tcW w:w="1413" w:type="dxa"/>
            <w:vAlign w:val="center"/>
          </w:tcPr>
          <w:p w14:paraId="6CE930F1" w14:textId="146FA7F1" w:rsidR="00997C33" w:rsidRPr="00997C33" w:rsidRDefault="00997C33" w:rsidP="00997C33">
            <w:pPr>
              <w:jc w:val="center"/>
              <w:rPr>
                <w:rFonts w:ascii="Arial" w:eastAsia="Arial" w:hAnsi="Arial" w:cs="Arial"/>
                <w:sz w:val="18"/>
                <w:szCs w:val="18"/>
              </w:rPr>
            </w:pPr>
            <w:r>
              <w:rPr>
                <w:rFonts w:ascii="Arial" w:eastAsia="Arial" w:hAnsi="Arial" w:cs="Arial"/>
                <w:sz w:val="18"/>
                <w:szCs w:val="18"/>
              </w:rPr>
              <w:t>BGSinforma</w:t>
            </w:r>
          </w:p>
        </w:tc>
        <w:tc>
          <w:tcPr>
            <w:tcW w:w="1417" w:type="dxa"/>
            <w:vAlign w:val="center"/>
          </w:tcPr>
          <w:p w14:paraId="28093829" w14:textId="1439150C"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 xml:space="preserve">BGSPlayDesc </w:t>
            </w:r>
          </w:p>
        </w:tc>
        <w:tc>
          <w:tcPr>
            <w:tcW w:w="1276" w:type="dxa"/>
            <w:vAlign w:val="center"/>
          </w:tcPr>
          <w:p w14:paraId="1DF9DE96" w14:textId="55F6F90E"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BGS informal play description</w:t>
            </w:r>
          </w:p>
        </w:tc>
        <w:tc>
          <w:tcPr>
            <w:tcW w:w="3260" w:type="dxa"/>
            <w:vAlign w:val="center"/>
          </w:tcPr>
          <w:p w14:paraId="04BC5191" w14:textId="4AAB055F"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 xml:space="preserve">High level classification into informal groups of play types, useful for the purpose of colouring up maps etc. </w:t>
            </w:r>
          </w:p>
        </w:tc>
        <w:tc>
          <w:tcPr>
            <w:tcW w:w="1701" w:type="dxa"/>
            <w:vAlign w:val="center"/>
          </w:tcPr>
          <w:p w14:paraId="4791E4E4" w14:textId="6ED26DC9" w:rsidR="00997C33" w:rsidRPr="00997C33" w:rsidRDefault="00997C33" w:rsidP="00F84935">
            <w:pPr>
              <w:rPr>
                <w:rFonts w:ascii="Arial" w:hAnsi="Arial" w:cs="Arial"/>
                <w:sz w:val="18"/>
                <w:szCs w:val="18"/>
              </w:rPr>
            </w:pPr>
            <w:r w:rsidRPr="00997C33">
              <w:rPr>
                <w:rFonts w:ascii="Arial" w:hAnsi="Arial" w:cs="Arial"/>
                <w:sz w:val="18"/>
                <w:szCs w:val="18"/>
              </w:rPr>
              <w:t>Permo-Trias sedimentary basins</w:t>
            </w:r>
          </w:p>
        </w:tc>
      </w:tr>
      <w:tr w:rsidR="00997C33" w:rsidRPr="00997C33" w14:paraId="57ABE068" w14:textId="77777777" w:rsidTr="002312F0">
        <w:trPr>
          <w:trHeight w:val="864"/>
        </w:trPr>
        <w:tc>
          <w:tcPr>
            <w:tcW w:w="1413" w:type="dxa"/>
            <w:vAlign w:val="center"/>
          </w:tcPr>
          <w:p w14:paraId="40EA4177" w14:textId="71000916" w:rsidR="00997C33" w:rsidRPr="00997C33" w:rsidRDefault="00997C33" w:rsidP="00997C33">
            <w:pPr>
              <w:jc w:val="center"/>
              <w:rPr>
                <w:rFonts w:ascii="Arial" w:eastAsia="Arial" w:hAnsi="Arial" w:cs="Arial"/>
                <w:sz w:val="18"/>
                <w:szCs w:val="18"/>
              </w:rPr>
            </w:pPr>
            <w:r w:rsidRPr="00997C33">
              <w:rPr>
                <w:rFonts w:ascii="Arial" w:eastAsia="Arial" w:hAnsi="Arial" w:cs="Arial"/>
                <w:sz w:val="18"/>
                <w:szCs w:val="18"/>
              </w:rPr>
              <w:t>Status</w:t>
            </w:r>
          </w:p>
        </w:tc>
        <w:tc>
          <w:tcPr>
            <w:tcW w:w="1417" w:type="dxa"/>
            <w:vAlign w:val="center"/>
          </w:tcPr>
          <w:p w14:paraId="5BCA35B0" w14:textId="4907879C"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Status</w:t>
            </w:r>
          </w:p>
        </w:tc>
        <w:tc>
          <w:tcPr>
            <w:tcW w:w="1276" w:type="dxa"/>
            <w:vAlign w:val="center"/>
          </w:tcPr>
          <w:p w14:paraId="56D03F54" w14:textId="274ACF19"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Status</w:t>
            </w:r>
          </w:p>
        </w:tc>
        <w:tc>
          <w:tcPr>
            <w:tcW w:w="3260" w:type="dxa"/>
            <w:vAlign w:val="center"/>
          </w:tcPr>
          <w:p w14:paraId="09D944B2" w14:textId="15DCE880"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To provide an insight as to whether the geological extent is</w:t>
            </w:r>
          </w:p>
          <w:p w14:paraId="64E084FD" w14:textId="4DAAC898"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Concealed = completely buried subcrop beneath younger rocks, extent is from seisimic, borehole and/or gravity-magnetic interpretation</w:t>
            </w:r>
          </w:p>
          <w:p w14:paraId="472AFCE2" w14:textId="77777777"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Exposed = geology as exposed at surface (or beneath superficial deposits)</w:t>
            </w:r>
          </w:p>
          <w:p w14:paraId="777A86E9" w14:textId="73B56F8C" w:rsidR="00997C33" w:rsidRPr="00997C33" w:rsidRDefault="00997C33" w:rsidP="00F84935">
            <w:pPr>
              <w:rPr>
                <w:rFonts w:ascii="Arial" w:eastAsia="Arial" w:hAnsi="Arial" w:cs="Arial"/>
                <w:sz w:val="18"/>
                <w:szCs w:val="18"/>
              </w:rPr>
            </w:pPr>
            <w:r w:rsidRPr="00997C33">
              <w:rPr>
                <w:rFonts w:ascii="Arial" w:eastAsia="Arial" w:hAnsi="Arial" w:cs="Arial"/>
                <w:sz w:val="18"/>
                <w:szCs w:val="18"/>
              </w:rPr>
              <w:t>Basin extent = the whole area where the unit is interpreted to be present, not the smaller areas of heat in place or proved, recoverable geothermal resources</w:t>
            </w:r>
          </w:p>
        </w:tc>
        <w:tc>
          <w:tcPr>
            <w:tcW w:w="1701" w:type="dxa"/>
            <w:vAlign w:val="center"/>
          </w:tcPr>
          <w:p w14:paraId="3296A104" w14:textId="142676DE" w:rsidR="00997C33" w:rsidRPr="00997C33" w:rsidRDefault="00997C33" w:rsidP="00F84935">
            <w:pPr>
              <w:rPr>
                <w:rFonts w:ascii="Arial" w:hAnsi="Arial" w:cs="Arial"/>
                <w:sz w:val="18"/>
                <w:szCs w:val="18"/>
              </w:rPr>
            </w:pPr>
            <w:r w:rsidRPr="00997C33">
              <w:rPr>
                <w:rFonts w:ascii="Arial" w:hAnsi="Arial" w:cs="Arial"/>
                <w:sz w:val="18"/>
                <w:szCs w:val="18"/>
              </w:rPr>
              <w:t>Exposed and concealed</w:t>
            </w:r>
          </w:p>
        </w:tc>
      </w:tr>
    </w:tbl>
    <w:p w14:paraId="486BDA23" w14:textId="3B931CB8" w:rsidR="003F467C" w:rsidRPr="00033D22" w:rsidRDefault="003F467C" w:rsidP="00D7321F">
      <w:pPr>
        <w:rPr>
          <w:rFonts w:ascii="Arial" w:hAnsi="Arial" w:cs="Arial"/>
        </w:rPr>
      </w:pPr>
    </w:p>
    <w:p w14:paraId="04B81F8B" w14:textId="25E1A2CC" w:rsidR="000C7012" w:rsidRPr="00691673" w:rsidRDefault="003637E8" w:rsidP="00D7321F">
      <w:pPr>
        <w:rPr>
          <w:rFonts w:ascii="Arial" w:hAnsi="Arial" w:cs="Arial"/>
          <w:b/>
          <w:bCs/>
        </w:rPr>
      </w:pPr>
      <w:r w:rsidRPr="00691673">
        <w:rPr>
          <w:rFonts w:ascii="Arial" w:hAnsi="Arial" w:cs="Arial"/>
          <w:b/>
          <w:bCs/>
        </w:rPr>
        <w:t xml:space="preserve">Methodology (or lineage) </w:t>
      </w:r>
    </w:p>
    <w:p w14:paraId="4FD52895" w14:textId="77777777" w:rsidR="003637E8" w:rsidRPr="00A67F54" w:rsidRDefault="003637E8" w:rsidP="003637E8">
      <w:pPr>
        <w:jc w:val="both"/>
        <w:rPr>
          <w:rFonts w:ascii="Arial" w:hAnsi="Arial" w:cs="Arial"/>
          <w:color w:val="000000" w:themeColor="text1"/>
          <w:sz w:val="20"/>
          <w:szCs w:val="20"/>
        </w:rPr>
      </w:pPr>
      <w:r w:rsidRPr="00A67F54">
        <w:rPr>
          <w:rFonts w:ascii="Arial" w:hAnsi="Arial" w:cs="Arial"/>
          <w:color w:val="000000" w:themeColor="text1"/>
          <w:sz w:val="20"/>
          <w:szCs w:val="20"/>
        </w:rPr>
        <w:t>Polygons were created by BGS using information from the following sources:</w:t>
      </w:r>
    </w:p>
    <w:p w14:paraId="3F82BDE9" w14:textId="77777777" w:rsidR="003637E8" w:rsidRDefault="003637E8" w:rsidP="003637E8">
      <w:pPr>
        <w:jc w:val="both"/>
        <w:rPr>
          <w:rFonts w:ascii="Arial" w:hAnsi="Arial" w:cs="Arial"/>
          <w:color w:val="000000" w:themeColor="text1"/>
          <w:sz w:val="20"/>
          <w:szCs w:val="20"/>
        </w:rPr>
      </w:pPr>
      <w:r w:rsidRPr="00A67F54">
        <w:rPr>
          <w:rFonts w:ascii="Arial" w:hAnsi="Arial" w:cs="Arial"/>
          <w:color w:val="000000" w:themeColor="text1"/>
          <w:sz w:val="20"/>
          <w:szCs w:val="20"/>
        </w:rPr>
        <w:t>Rollin, K. E., G. A. Kirby, and W. J. Rowley. Atlas of geothermal resources in Europe: UK revision. British Geological Survey, Regional Geophysics Group, 1995.</w:t>
      </w:r>
    </w:p>
    <w:p w14:paraId="15BC6F0F" w14:textId="0E59DD3D" w:rsidR="003637E8" w:rsidRDefault="003637E8" w:rsidP="003637E8">
      <w:pPr>
        <w:jc w:val="both"/>
        <w:rPr>
          <w:rFonts w:ascii="Arial" w:hAnsi="Arial" w:cs="Arial"/>
          <w:color w:val="000000" w:themeColor="text1"/>
          <w:sz w:val="20"/>
          <w:szCs w:val="20"/>
        </w:rPr>
      </w:pPr>
      <w:r>
        <w:rPr>
          <w:rFonts w:ascii="Arial" w:hAnsi="Arial" w:cs="Arial"/>
          <w:color w:val="000000" w:themeColor="text1"/>
          <w:sz w:val="20"/>
          <w:szCs w:val="20"/>
        </w:rPr>
        <w:t>As incorporated in Busby 2013 (</w:t>
      </w:r>
      <w:hyperlink r:id="rId9" w:history="1">
        <w:r w:rsidRPr="004B34AD">
          <w:rPr>
            <w:rStyle w:val="Hyperlink"/>
            <w:rFonts w:ascii="Arial" w:hAnsi="Arial" w:cs="Arial"/>
            <w:sz w:val="20"/>
            <w:szCs w:val="20"/>
          </w:rPr>
          <w:t>https://doi.org/10.1007/s10040-013-1054-4</w:t>
        </w:r>
      </w:hyperlink>
      <w:r>
        <w:rPr>
          <w:rFonts w:ascii="Arial" w:hAnsi="Arial" w:cs="Arial"/>
          <w:color w:val="000000" w:themeColor="text1"/>
          <w:sz w:val="20"/>
          <w:szCs w:val="20"/>
        </w:rPr>
        <w:t xml:space="preserve"> ), from BGS extent maps and extended northwards in 2024 using BGS DIGMAP 50k data</w:t>
      </w:r>
      <w:r w:rsidR="00C02E79">
        <w:rPr>
          <w:rFonts w:ascii="Arial" w:hAnsi="Arial" w:cs="Arial"/>
          <w:color w:val="000000" w:themeColor="text1"/>
          <w:sz w:val="20"/>
          <w:szCs w:val="20"/>
        </w:rPr>
        <w:t xml:space="preserve"> for the Fell Sandstone extent in Northumberland.</w:t>
      </w:r>
    </w:p>
    <w:p w14:paraId="78FD5D00" w14:textId="3FD78679" w:rsidR="003637E8" w:rsidRDefault="003637E8" w:rsidP="003637E8">
      <w:pPr>
        <w:jc w:val="both"/>
        <w:rPr>
          <w:rFonts w:ascii="Arial" w:hAnsi="Arial" w:cs="Arial"/>
          <w:color w:val="000000" w:themeColor="text1"/>
          <w:sz w:val="20"/>
          <w:szCs w:val="20"/>
        </w:rPr>
      </w:pPr>
      <w:r>
        <w:rPr>
          <w:rFonts w:ascii="Arial" w:hAnsi="Arial" w:cs="Arial"/>
          <w:color w:val="000000" w:themeColor="text1"/>
          <w:sz w:val="20"/>
          <w:szCs w:val="20"/>
        </w:rPr>
        <w:t>BGS</w:t>
      </w:r>
      <w:r w:rsidR="002312F0">
        <w:rPr>
          <w:rFonts w:ascii="Arial" w:hAnsi="Arial" w:cs="Arial"/>
          <w:color w:val="000000" w:themeColor="text1"/>
          <w:sz w:val="20"/>
          <w:szCs w:val="20"/>
        </w:rPr>
        <w:t xml:space="preserve"> Bedrock G</w:t>
      </w:r>
      <w:r>
        <w:rPr>
          <w:rFonts w:ascii="Arial" w:hAnsi="Arial" w:cs="Arial"/>
          <w:color w:val="000000" w:themeColor="text1"/>
          <w:sz w:val="20"/>
          <w:szCs w:val="20"/>
        </w:rPr>
        <w:t>eology 625</w:t>
      </w:r>
      <w:r w:rsidR="002312F0">
        <w:rPr>
          <w:rFonts w:ascii="Arial" w:hAnsi="Arial" w:cs="Arial"/>
          <w:color w:val="000000" w:themeColor="text1"/>
          <w:sz w:val="20"/>
          <w:szCs w:val="20"/>
        </w:rPr>
        <w:t>K V5</w:t>
      </w:r>
      <w:r>
        <w:rPr>
          <w:rFonts w:ascii="Arial" w:hAnsi="Arial" w:cs="Arial"/>
          <w:color w:val="000000" w:themeColor="text1"/>
          <w:sz w:val="20"/>
          <w:szCs w:val="20"/>
        </w:rPr>
        <w:t xml:space="preserve">, BGS Bedrock </w:t>
      </w:r>
      <w:r w:rsidR="002312F0">
        <w:rPr>
          <w:rFonts w:ascii="Arial" w:hAnsi="Arial" w:cs="Arial"/>
          <w:color w:val="000000" w:themeColor="text1"/>
          <w:sz w:val="20"/>
          <w:szCs w:val="20"/>
        </w:rPr>
        <w:t>G</w:t>
      </w:r>
      <w:r>
        <w:rPr>
          <w:rFonts w:ascii="Arial" w:hAnsi="Arial" w:cs="Arial"/>
          <w:color w:val="000000" w:themeColor="text1"/>
          <w:sz w:val="20"/>
          <w:szCs w:val="20"/>
        </w:rPr>
        <w:t>eology 50</w:t>
      </w:r>
      <w:r w:rsidR="002312F0">
        <w:rPr>
          <w:rFonts w:ascii="Arial" w:hAnsi="Arial" w:cs="Arial"/>
          <w:color w:val="000000" w:themeColor="text1"/>
          <w:sz w:val="20"/>
          <w:szCs w:val="20"/>
        </w:rPr>
        <w:t>K</w:t>
      </w:r>
      <w:r w:rsidR="001764D0">
        <w:rPr>
          <w:rFonts w:ascii="Arial" w:hAnsi="Arial" w:cs="Arial"/>
          <w:color w:val="000000" w:themeColor="text1"/>
          <w:sz w:val="20"/>
          <w:szCs w:val="20"/>
        </w:rPr>
        <w:t xml:space="preserve"> V8</w:t>
      </w:r>
    </w:p>
    <w:p w14:paraId="2AE5BEF0" w14:textId="77777777" w:rsidR="003637E8" w:rsidRDefault="003637E8" w:rsidP="003637E8">
      <w:pPr>
        <w:jc w:val="both"/>
        <w:rPr>
          <w:rFonts w:ascii="Arial" w:hAnsi="Arial" w:cs="Arial"/>
          <w:color w:val="000000" w:themeColor="text1"/>
          <w:sz w:val="20"/>
          <w:szCs w:val="20"/>
        </w:rPr>
      </w:pPr>
      <w:r>
        <w:rPr>
          <w:rFonts w:ascii="Arial" w:hAnsi="Arial" w:cs="Arial"/>
          <w:color w:val="000000" w:themeColor="text1"/>
          <w:sz w:val="20"/>
          <w:szCs w:val="20"/>
        </w:rPr>
        <w:t xml:space="preserve">BGS Tectonic Map of Britain, Ireland and adjacent areas. 1:1,500,00 series. 1996. </w:t>
      </w:r>
    </w:p>
    <w:p w14:paraId="4ADAD36E" w14:textId="650BF9D6" w:rsidR="003637E8" w:rsidRDefault="003637E8" w:rsidP="003637E8">
      <w:pPr>
        <w:jc w:val="both"/>
        <w:rPr>
          <w:rFonts w:ascii="Arial" w:hAnsi="Arial" w:cs="Arial"/>
          <w:color w:val="000000" w:themeColor="text1"/>
          <w:sz w:val="20"/>
          <w:szCs w:val="20"/>
        </w:rPr>
      </w:pPr>
      <w:r>
        <w:rPr>
          <w:rFonts w:ascii="Arial" w:hAnsi="Arial" w:cs="Arial"/>
          <w:color w:val="000000" w:themeColor="text1"/>
          <w:sz w:val="20"/>
          <w:szCs w:val="20"/>
        </w:rPr>
        <w:t xml:space="preserve">Raine and Reay, 2021 </w:t>
      </w:r>
      <w:r w:rsidRPr="005250B5">
        <w:rPr>
          <w:rFonts w:ascii="Arial" w:hAnsi="Arial" w:cs="Arial"/>
          <w:color w:val="000000" w:themeColor="text1"/>
          <w:sz w:val="20"/>
          <w:szCs w:val="20"/>
        </w:rPr>
        <w:t>Geothermal energy potential in Northern Ireland: summary and recommendations for the Geothermal Advisory Committee</w:t>
      </w:r>
      <w:r>
        <w:rPr>
          <w:rFonts w:ascii="Arial" w:hAnsi="Arial" w:cs="Arial"/>
          <w:color w:val="000000" w:themeColor="text1"/>
          <w:sz w:val="20"/>
          <w:szCs w:val="20"/>
        </w:rPr>
        <w:t xml:space="preserve"> </w:t>
      </w:r>
      <w:hyperlink r:id="rId10" w:history="1">
        <w:r w:rsidRPr="004B34AD">
          <w:rPr>
            <w:rStyle w:val="Hyperlink"/>
            <w:rFonts w:ascii="Arial" w:hAnsi="Arial" w:cs="Arial"/>
            <w:sz w:val="20"/>
            <w:szCs w:val="20"/>
          </w:rPr>
          <w:t>https://nora.nerc.ac.uk/id/eprint/531393/</w:t>
        </w:r>
      </w:hyperlink>
      <w:r>
        <w:rPr>
          <w:rFonts w:ascii="Arial" w:hAnsi="Arial" w:cs="Arial"/>
          <w:color w:val="000000" w:themeColor="text1"/>
          <w:sz w:val="20"/>
          <w:szCs w:val="20"/>
        </w:rPr>
        <w:t xml:space="preserve"> </w:t>
      </w:r>
      <w:r w:rsidR="00C02E79">
        <w:rPr>
          <w:rFonts w:ascii="Arial" w:hAnsi="Arial" w:cs="Arial"/>
          <w:color w:val="000000" w:themeColor="text1"/>
          <w:sz w:val="20"/>
          <w:szCs w:val="20"/>
        </w:rPr>
        <w:t xml:space="preserve"> Some stratigraphical information has been included but this needs to be updated. </w:t>
      </w:r>
    </w:p>
    <w:p w14:paraId="47EDFF6C" w14:textId="013F26C0" w:rsidR="003637E8" w:rsidRDefault="003637E8" w:rsidP="003637E8">
      <w:pPr>
        <w:jc w:val="both"/>
        <w:rPr>
          <w:rFonts w:ascii="Arial" w:hAnsi="Arial" w:cs="Arial"/>
          <w:color w:val="000000" w:themeColor="text1"/>
          <w:sz w:val="20"/>
          <w:szCs w:val="20"/>
        </w:rPr>
      </w:pPr>
      <w:r>
        <w:rPr>
          <w:rFonts w:ascii="Arial" w:hAnsi="Arial" w:cs="Arial"/>
          <w:color w:val="000000" w:themeColor="text1"/>
          <w:sz w:val="20"/>
          <w:szCs w:val="20"/>
        </w:rPr>
        <w:t>Kearsey et al. 2024 Midland Valley of Scotland geothermal aquifer modelling study – BGS report in preparation OR/24/030</w:t>
      </w:r>
      <w:r w:rsidR="00C02E79">
        <w:rPr>
          <w:rFonts w:ascii="Arial" w:hAnsi="Arial" w:cs="Arial"/>
          <w:color w:val="000000" w:themeColor="text1"/>
          <w:sz w:val="20"/>
          <w:szCs w:val="20"/>
        </w:rPr>
        <w:t xml:space="preserve">, though the extent shown is BGS mapped extent of Carboniferous and Upper Devonian strata. </w:t>
      </w:r>
    </w:p>
    <w:p w14:paraId="106CB19F" w14:textId="31367172" w:rsidR="003637E8" w:rsidRDefault="00C02E79" w:rsidP="003637E8">
      <w:pPr>
        <w:jc w:val="both"/>
        <w:rPr>
          <w:rFonts w:ascii="Arial" w:hAnsi="Arial" w:cs="Arial"/>
          <w:color w:val="000000" w:themeColor="text1"/>
          <w:sz w:val="20"/>
          <w:szCs w:val="20"/>
        </w:rPr>
      </w:pPr>
      <w:r>
        <w:rPr>
          <w:rFonts w:ascii="Arial" w:hAnsi="Arial" w:cs="Arial"/>
          <w:color w:val="000000" w:themeColor="text1"/>
          <w:sz w:val="20"/>
          <w:szCs w:val="20"/>
        </w:rPr>
        <w:t xml:space="preserve">Extended the Permo-Trias southwards in the East Yorkshire-Lincolnshire area from </w:t>
      </w:r>
      <w:r w:rsidR="003637E8" w:rsidRPr="008E4695">
        <w:rPr>
          <w:rFonts w:ascii="Arial" w:hAnsi="Arial" w:cs="Arial"/>
          <w:color w:val="000000" w:themeColor="text1"/>
          <w:sz w:val="20"/>
          <w:szCs w:val="20"/>
        </w:rPr>
        <w:t>Newell, A. 2023 The Sherwood Sandstone and Bacton groups of the East Midlands Shelf – an onshore to offshore correlation using outcrop evidence and geophysical logs. Nottingham, UK, British Geological Survey, 40pp. (OR/23/051</w:t>
      </w:r>
      <w:r w:rsidR="003637E8">
        <w:rPr>
          <w:rFonts w:ascii="Arial" w:hAnsi="Arial" w:cs="Arial"/>
          <w:color w:val="000000" w:themeColor="text1"/>
          <w:sz w:val="20"/>
          <w:szCs w:val="20"/>
        </w:rPr>
        <w:t xml:space="preserve">). </w:t>
      </w:r>
      <w:hyperlink r:id="rId11" w:history="1">
        <w:r w:rsidR="003637E8" w:rsidRPr="004B34AD">
          <w:rPr>
            <w:rStyle w:val="Hyperlink"/>
            <w:rFonts w:ascii="Arial" w:hAnsi="Arial" w:cs="Arial"/>
            <w:sz w:val="20"/>
            <w:szCs w:val="20"/>
          </w:rPr>
          <w:t>https://nora.nerc.ac.uk/id/eprint/536918/</w:t>
        </w:r>
      </w:hyperlink>
      <w:r w:rsidR="003637E8">
        <w:rPr>
          <w:rFonts w:ascii="Arial" w:hAnsi="Arial" w:cs="Arial"/>
          <w:color w:val="000000" w:themeColor="text1"/>
          <w:sz w:val="20"/>
          <w:szCs w:val="20"/>
        </w:rPr>
        <w:t xml:space="preserve"> </w:t>
      </w:r>
    </w:p>
    <w:p w14:paraId="34E6DD01" w14:textId="0E927DB2" w:rsidR="003637E8" w:rsidRDefault="003637E8" w:rsidP="003637E8">
      <w:pPr>
        <w:jc w:val="both"/>
        <w:rPr>
          <w:rFonts w:ascii="Arial" w:hAnsi="Arial" w:cs="Arial"/>
          <w:color w:val="000000" w:themeColor="text1"/>
          <w:sz w:val="20"/>
          <w:szCs w:val="20"/>
        </w:rPr>
      </w:pPr>
      <w:r>
        <w:rPr>
          <w:rFonts w:ascii="Arial" w:hAnsi="Arial" w:cs="Arial"/>
          <w:color w:val="000000" w:themeColor="text1"/>
          <w:sz w:val="20"/>
          <w:szCs w:val="20"/>
        </w:rPr>
        <w:t xml:space="preserve">For selected granites, extents from BGS 625k and </w:t>
      </w:r>
      <w:r w:rsidR="00C02E79">
        <w:rPr>
          <w:rFonts w:ascii="Arial" w:hAnsi="Arial" w:cs="Arial"/>
          <w:color w:val="000000" w:themeColor="text1"/>
          <w:sz w:val="20"/>
          <w:szCs w:val="20"/>
        </w:rPr>
        <w:t xml:space="preserve">BGS </w:t>
      </w:r>
      <w:r>
        <w:rPr>
          <w:rFonts w:ascii="Arial" w:hAnsi="Arial" w:cs="Arial"/>
          <w:color w:val="000000" w:themeColor="text1"/>
          <w:sz w:val="20"/>
          <w:szCs w:val="20"/>
        </w:rPr>
        <w:t xml:space="preserve">tectonic map, names as used in </w:t>
      </w:r>
      <w:r w:rsidRPr="002E12BC">
        <w:rPr>
          <w:rFonts w:ascii="Arial" w:hAnsi="Arial" w:cs="Arial"/>
          <w:color w:val="000000" w:themeColor="text1"/>
          <w:sz w:val="20"/>
          <w:szCs w:val="20"/>
        </w:rPr>
        <w:t>McCay</w:t>
      </w:r>
      <w:r>
        <w:rPr>
          <w:rFonts w:ascii="Arial" w:hAnsi="Arial" w:cs="Arial"/>
          <w:color w:val="000000" w:themeColor="text1"/>
          <w:sz w:val="20"/>
          <w:szCs w:val="20"/>
        </w:rPr>
        <w:t xml:space="preserve"> and </w:t>
      </w:r>
      <w:r w:rsidRPr="002E12BC">
        <w:rPr>
          <w:rFonts w:ascii="Arial" w:hAnsi="Arial" w:cs="Arial"/>
          <w:color w:val="000000" w:themeColor="text1"/>
          <w:sz w:val="20"/>
          <w:szCs w:val="20"/>
        </w:rPr>
        <w:t>Younger</w:t>
      </w:r>
      <w:r>
        <w:rPr>
          <w:rFonts w:ascii="Arial" w:hAnsi="Arial" w:cs="Arial"/>
          <w:color w:val="000000" w:themeColor="text1"/>
          <w:sz w:val="20"/>
          <w:szCs w:val="20"/>
        </w:rPr>
        <w:t xml:space="preserve"> </w:t>
      </w:r>
      <w:r w:rsidRPr="002E12BC">
        <w:rPr>
          <w:rFonts w:ascii="Arial" w:hAnsi="Arial" w:cs="Arial"/>
          <w:color w:val="000000" w:themeColor="text1"/>
          <w:sz w:val="20"/>
          <w:szCs w:val="20"/>
        </w:rPr>
        <w:t>2017</w:t>
      </w:r>
      <w:r>
        <w:rPr>
          <w:rFonts w:ascii="Arial" w:hAnsi="Arial" w:cs="Arial"/>
          <w:color w:val="000000" w:themeColor="text1"/>
          <w:sz w:val="20"/>
          <w:szCs w:val="20"/>
        </w:rPr>
        <w:t xml:space="preserve"> (</w:t>
      </w:r>
      <w:r w:rsidRPr="005250B5">
        <w:rPr>
          <w:rFonts w:ascii="Arial" w:hAnsi="Arial" w:cs="Arial"/>
          <w:color w:val="000000" w:themeColor="text1"/>
          <w:sz w:val="20"/>
          <w:szCs w:val="20"/>
        </w:rPr>
        <w:t>https://doi.org/10.1144/sjg2016-008</w:t>
      </w:r>
      <w:r>
        <w:rPr>
          <w:rFonts w:ascii="Arial" w:hAnsi="Arial" w:cs="Arial"/>
          <w:color w:val="000000" w:themeColor="text1"/>
          <w:sz w:val="20"/>
          <w:szCs w:val="20"/>
        </w:rPr>
        <w:t xml:space="preserve">) and in Gillespie et al. 2013 (BGS for Scottish </w:t>
      </w:r>
      <w:r>
        <w:rPr>
          <w:rFonts w:ascii="Arial" w:hAnsi="Arial" w:cs="Arial"/>
          <w:color w:val="000000" w:themeColor="text1"/>
          <w:sz w:val="20"/>
          <w:szCs w:val="20"/>
        </w:rPr>
        <w:lastRenderedPageBreak/>
        <w:t xml:space="preserve">Government </w:t>
      </w:r>
      <w:hyperlink r:id="rId12" w:history="1">
        <w:r w:rsidRPr="004B34AD">
          <w:rPr>
            <w:rStyle w:val="Hyperlink"/>
            <w:rFonts w:ascii="Arial" w:hAnsi="Arial" w:cs="Arial"/>
            <w:sz w:val="20"/>
            <w:szCs w:val="20"/>
          </w:rPr>
          <w:t>https://www.gov.scot/publications/study-potential-deep-geothermal-energy-scotland-volume-2/pages/10/</w:t>
        </w:r>
      </w:hyperlink>
      <w:r>
        <w:rPr>
          <w:rFonts w:ascii="Arial" w:hAnsi="Arial" w:cs="Arial"/>
          <w:color w:val="000000" w:themeColor="text1"/>
          <w:sz w:val="20"/>
          <w:szCs w:val="20"/>
        </w:rPr>
        <w:t xml:space="preserve">) </w:t>
      </w:r>
      <w:r w:rsidR="00C02E79">
        <w:rPr>
          <w:rFonts w:ascii="Arial" w:hAnsi="Arial" w:cs="Arial"/>
          <w:color w:val="000000" w:themeColor="text1"/>
          <w:sz w:val="20"/>
          <w:szCs w:val="20"/>
        </w:rPr>
        <w:t xml:space="preserve"> Note that some granites are outcrop extent only, some are concealed only (from geophysics and borehole penetrations) and some are both outcrop and concealed. </w:t>
      </w:r>
    </w:p>
    <w:p w14:paraId="1BF64A42" w14:textId="3FC3B02C" w:rsidR="00C02E79" w:rsidRDefault="00C02E79" w:rsidP="003637E8">
      <w:pPr>
        <w:jc w:val="both"/>
        <w:rPr>
          <w:rFonts w:ascii="Arial" w:hAnsi="Arial" w:cs="Arial"/>
          <w:color w:val="000000" w:themeColor="text1"/>
          <w:sz w:val="20"/>
          <w:szCs w:val="20"/>
        </w:rPr>
      </w:pPr>
      <w:r>
        <w:rPr>
          <w:rFonts w:ascii="Arial" w:hAnsi="Arial" w:cs="Arial"/>
          <w:color w:val="000000" w:themeColor="text1"/>
          <w:sz w:val="20"/>
          <w:szCs w:val="20"/>
        </w:rPr>
        <w:t xml:space="preserve">Carboniferous limestone extent, northern province is a extent of study polygon, southern province are mapped extent of subcropping basins, from Jones et al. 2023. </w:t>
      </w:r>
      <w:r w:rsidRPr="00C02E79">
        <w:rPr>
          <w:rFonts w:ascii="Arial" w:hAnsi="Arial" w:cs="Arial"/>
          <w:color w:val="000000" w:themeColor="text1"/>
          <w:sz w:val="20"/>
          <w:szCs w:val="20"/>
        </w:rPr>
        <w:t>Deep geothermal resource assessment of early carboniferous limestones for Central and Southern Great Britain</w:t>
      </w:r>
      <w:r>
        <w:rPr>
          <w:rFonts w:ascii="Arial" w:hAnsi="Arial" w:cs="Arial"/>
          <w:color w:val="000000" w:themeColor="text1"/>
          <w:sz w:val="20"/>
          <w:szCs w:val="20"/>
        </w:rPr>
        <w:t xml:space="preserve">, Geothermics, </w:t>
      </w:r>
      <w:hyperlink r:id="rId13" w:history="1">
        <w:r w:rsidRPr="00D727EC">
          <w:rPr>
            <w:rStyle w:val="Hyperlink"/>
            <w:rFonts w:ascii="Arial" w:hAnsi="Arial" w:cs="Arial"/>
            <w:sz w:val="20"/>
            <w:szCs w:val="20"/>
          </w:rPr>
          <w:t>https://doi.org/10.1016/j.geothermics.2023.102649</w:t>
        </w:r>
      </w:hyperlink>
      <w:r>
        <w:rPr>
          <w:rFonts w:ascii="Arial" w:hAnsi="Arial" w:cs="Arial"/>
          <w:color w:val="000000" w:themeColor="text1"/>
          <w:sz w:val="20"/>
          <w:szCs w:val="20"/>
        </w:rPr>
        <w:t xml:space="preserve"> </w:t>
      </w:r>
    </w:p>
    <w:p w14:paraId="11346295" w14:textId="77777777" w:rsidR="00C02E79" w:rsidRDefault="00C02E79" w:rsidP="003637E8">
      <w:pPr>
        <w:jc w:val="both"/>
        <w:rPr>
          <w:rFonts w:ascii="Arial" w:hAnsi="Arial" w:cs="Arial"/>
          <w:color w:val="000000" w:themeColor="text1"/>
          <w:sz w:val="20"/>
          <w:szCs w:val="20"/>
        </w:rPr>
      </w:pPr>
    </w:p>
    <w:p w14:paraId="46E4BA8A" w14:textId="77777777" w:rsidR="003637E8" w:rsidRPr="00033D22" w:rsidRDefault="003637E8" w:rsidP="00D7321F">
      <w:pPr>
        <w:rPr>
          <w:rFonts w:ascii="Arial" w:hAnsi="Arial" w:cs="Arial"/>
        </w:rPr>
      </w:pPr>
    </w:p>
    <w:p w14:paraId="3730895C" w14:textId="77777777" w:rsidR="000C7012" w:rsidRPr="00033D22" w:rsidRDefault="000C7012" w:rsidP="00D7321F">
      <w:pPr>
        <w:rPr>
          <w:rFonts w:ascii="Arial" w:hAnsi="Arial" w:cs="Arial"/>
        </w:rPr>
      </w:pPr>
    </w:p>
    <w:sectPr w:rsidR="000C7012" w:rsidRPr="00033D22">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715A34" w14:textId="77777777" w:rsidR="00033D22" w:rsidRDefault="00033D22" w:rsidP="00033D22">
      <w:pPr>
        <w:spacing w:after="0" w:line="240" w:lineRule="auto"/>
      </w:pPr>
      <w:r>
        <w:separator/>
      </w:r>
    </w:p>
  </w:endnote>
  <w:endnote w:type="continuationSeparator" w:id="0">
    <w:p w14:paraId="02B4C546" w14:textId="77777777" w:rsidR="00033D22" w:rsidRDefault="00033D22" w:rsidP="00033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82181630"/>
      <w:docPartObj>
        <w:docPartGallery w:val="Page Numbers (Bottom of Page)"/>
        <w:docPartUnique/>
      </w:docPartObj>
    </w:sdtPr>
    <w:sdtEndPr>
      <w:rPr>
        <w:rFonts w:ascii="Arial" w:hAnsi="Arial" w:cs="Arial"/>
        <w:noProof/>
        <w:sz w:val="18"/>
        <w:szCs w:val="18"/>
      </w:rPr>
    </w:sdtEndPr>
    <w:sdtContent>
      <w:p w14:paraId="09F10667" w14:textId="435FBD3F" w:rsidR="00033D22" w:rsidRPr="00033D22" w:rsidRDefault="00033D22">
        <w:pPr>
          <w:pStyle w:val="Footer"/>
          <w:jc w:val="center"/>
          <w:rPr>
            <w:rFonts w:ascii="Arial" w:hAnsi="Arial" w:cs="Arial"/>
            <w:sz w:val="18"/>
            <w:szCs w:val="18"/>
          </w:rPr>
        </w:pPr>
        <w:r w:rsidRPr="00033D22">
          <w:rPr>
            <w:rFonts w:ascii="Arial" w:hAnsi="Arial" w:cs="Arial"/>
            <w:sz w:val="18"/>
            <w:szCs w:val="18"/>
          </w:rPr>
          <w:fldChar w:fldCharType="begin"/>
        </w:r>
        <w:r w:rsidRPr="00033D22">
          <w:rPr>
            <w:rFonts w:ascii="Arial" w:hAnsi="Arial" w:cs="Arial"/>
            <w:sz w:val="18"/>
            <w:szCs w:val="18"/>
          </w:rPr>
          <w:instrText xml:space="preserve"> PAGE   \* MERGEFORMAT </w:instrText>
        </w:r>
        <w:r w:rsidRPr="00033D22">
          <w:rPr>
            <w:rFonts w:ascii="Arial" w:hAnsi="Arial" w:cs="Arial"/>
            <w:sz w:val="18"/>
            <w:szCs w:val="18"/>
          </w:rPr>
          <w:fldChar w:fldCharType="separate"/>
        </w:r>
        <w:r w:rsidRPr="00033D22">
          <w:rPr>
            <w:rFonts w:ascii="Arial" w:hAnsi="Arial" w:cs="Arial"/>
            <w:noProof/>
            <w:sz w:val="18"/>
            <w:szCs w:val="18"/>
          </w:rPr>
          <w:t>2</w:t>
        </w:r>
        <w:r w:rsidRPr="00033D22">
          <w:rPr>
            <w:rFonts w:ascii="Arial" w:hAnsi="Arial" w:cs="Arial"/>
            <w:noProof/>
            <w:sz w:val="18"/>
            <w:szCs w:val="18"/>
          </w:rPr>
          <w:fldChar w:fldCharType="end"/>
        </w:r>
      </w:p>
    </w:sdtContent>
  </w:sdt>
  <w:p w14:paraId="5FEA59D8" w14:textId="77777777" w:rsidR="00033D22" w:rsidRDefault="00033D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9D4DA7" w14:textId="77777777" w:rsidR="00033D22" w:rsidRDefault="00033D22" w:rsidP="00033D22">
      <w:pPr>
        <w:spacing w:after="0" w:line="240" w:lineRule="auto"/>
      </w:pPr>
      <w:r>
        <w:separator/>
      </w:r>
    </w:p>
  </w:footnote>
  <w:footnote w:type="continuationSeparator" w:id="0">
    <w:p w14:paraId="05EA0C36" w14:textId="77777777" w:rsidR="00033D22" w:rsidRDefault="00033D22" w:rsidP="00033D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CED29A" w14:textId="00ABA07F" w:rsidR="00033D22" w:rsidRDefault="006A3DF3">
    <w:pPr>
      <w:pStyle w:val="Header"/>
    </w:pPr>
    <w:r>
      <w:rPr>
        <w:rFonts w:ascii="Calibri" w:hAnsi="Calibri"/>
        <w:noProof/>
        <w:sz w:val="20"/>
        <w:szCs w:val="20"/>
      </w:rPr>
      <w:drawing>
        <wp:anchor distT="0" distB="0" distL="114300" distR="114300" simplePos="0" relativeHeight="251659264" behindDoc="0" locked="0" layoutInCell="1" allowOverlap="1" wp14:anchorId="5338E248" wp14:editId="37C7DD4F">
          <wp:simplePos x="0" y="0"/>
          <wp:positionH relativeFrom="margin">
            <wp:align>right</wp:align>
          </wp:positionH>
          <wp:positionV relativeFrom="paragraph">
            <wp:posOffset>-68580</wp:posOffset>
          </wp:positionV>
          <wp:extent cx="1028700" cy="431800"/>
          <wp:effectExtent l="0" t="0" r="0" b="6350"/>
          <wp:wrapSquare wrapText="bothSides"/>
          <wp:docPr id="1" name="Picture 1"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text on i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43180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FC1D22"/>
    <w:multiLevelType w:val="hybridMultilevel"/>
    <w:tmpl w:val="7534C6B4"/>
    <w:lvl w:ilvl="0" w:tplc="60CCFF5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3A5632"/>
    <w:multiLevelType w:val="hybridMultilevel"/>
    <w:tmpl w:val="26C4A6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D4C4E96"/>
    <w:multiLevelType w:val="hybridMultilevel"/>
    <w:tmpl w:val="4F9C95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8743FDE"/>
    <w:multiLevelType w:val="hybridMultilevel"/>
    <w:tmpl w:val="AE36F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5673210">
    <w:abstractNumId w:val="0"/>
  </w:num>
  <w:num w:numId="2" w16cid:durableId="1972786706">
    <w:abstractNumId w:val="2"/>
  </w:num>
  <w:num w:numId="3" w16cid:durableId="1913614418">
    <w:abstractNumId w:val="1"/>
  </w:num>
  <w:num w:numId="4" w16cid:durableId="12212091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CC7"/>
    <w:rsid w:val="00033D22"/>
    <w:rsid w:val="00052D23"/>
    <w:rsid w:val="000C7012"/>
    <w:rsid w:val="00172137"/>
    <w:rsid w:val="001764D0"/>
    <w:rsid w:val="001A2BA2"/>
    <w:rsid w:val="002312F0"/>
    <w:rsid w:val="00245715"/>
    <w:rsid w:val="002A21CB"/>
    <w:rsid w:val="002D4862"/>
    <w:rsid w:val="002D79BA"/>
    <w:rsid w:val="00362F84"/>
    <w:rsid w:val="003637E8"/>
    <w:rsid w:val="003A3159"/>
    <w:rsid w:val="003C6A84"/>
    <w:rsid w:val="003F467C"/>
    <w:rsid w:val="00531169"/>
    <w:rsid w:val="005653E6"/>
    <w:rsid w:val="00581642"/>
    <w:rsid w:val="005823CB"/>
    <w:rsid w:val="005B0C05"/>
    <w:rsid w:val="005C6966"/>
    <w:rsid w:val="005D4CBC"/>
    <w:rsid w:val="006453BB"/>
    <w:rsid w:val="00691673"/>
    <w:rsid w:val="006A3DF3"/>
    <w:rsid w:val="006C14BB"/>
    <w:rsid w:val="006D5BE0"/>
    <w:rsid w:val="007A63DB"/>
    <w:rsid w:val="007C77F4"/>
    <w:rsid w:val="0090351E"/>
    <w:rsid w:val="009370DA"/>
    <w:rsid w:val="009432AF"/>
    <w:rsid w:val="00945770"/>
    <w:rsid w:val="00997C33"/>
    <w:rsid w:val="00A2477E"/>
    <w:rsid w:val="00A50C9E"/>
    <w:rsid w:val="00AC4701"/>
    <w:rsid w:val="00AE1358"/>
    <w:rsid w:val="00BA4236"/>
    <w:rsid w:val="00C02E79"/>
    <w:rsid w:val="00C329EC"/>
    <w:rsid w:val="00CB13E4"/>
    <w:rsid w:val="00CE5068"/>
    <w:rsid w:val="00D72CC7"/>
    <w:rsid w:val="00D7321F"/>
    <w:rsid w:val="00D9068A"/>
    <w:rsid w:val="00DA5934"/>
    <w:rsid w:val="00DC4AF2"/>
    <w:rsid w:val="00E1033B"/>
    <w:rsid w:val="00E310F9"/>
    <w:rsid w:val="00EC6913"/>
    <w:rsid w:val="00F84935"/>
    <w:rsid w:val="00FA4B06"/>
    <w:rsid w:val="00FB61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1836F3C"/>
  <w15:chartTrackingRefBased/>
  <w15:docId w15:val="{775F7CD4-9D47-48FA-B0EF-F15DEDCE8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CC7"/>
    <w:rPr>
      <w:rFonts w:eastAsiaTheme="majorEastAsia" w:cstheme="majorBidi"/>
      <w:color w:val="272727" w:themeColor="text1" w:themeTint="D8"/>
    </w:rPr>
  </w:style>
  <w:style w:type="paragraph" w:styleId="Title">
    <w:name w:val="Title"/>
    <w:basedOn w:val="Normal"/>
    <w:next w:val="Normal"/>
    <w:link w:val="TitleChar"/>
    <w:uiPriority w:val="10"/>
    <w:qFormat/>
    <w:rsid w:val="00D72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CC7"/>
    <w:pPr>
      <w:spacing w:before="160"/>
      <w:jc w:val="center"/>
    </w:pPr>
    <w:rPr>
      <w:i/>
      <w:iCs/>
      <w:color w:val="404040" w:themeColor="text1" w:themeTint="BF"/>
    </w:rPr>
  </w:style>
  <w:style w:type="character" w:customStyle="1" w:styleId="QuoteChar">
    <w:name w:val="Quote Char"/>
    <w:basedOn w:val="DefaultParagraphFont"/>
    <w:link w:val="Quote"/>
    <w:uiPriority w:val="29"/>
    <w:rsid w:val="00D72CC7"/>
    <w:rPr>
      <w:i/>
      <w:iCs/>
      <w:color w:val="404040" w:themeColor="text1" w:themeTint="BF"/>
    </w:rPr>
  </w:style>
  <w:style w:type="paragraph" w:styleId="ListParagraph">
    <w:name w:val="List Paragraph"/>
    <w:basedOn w:val="Normal"/>
    <w:uiPriority w:val="34"/>
    <w:qFormat/>
    <w:rsid w:val="00D72CC7"/>
    <w:pPr>
      <w:ind w:left="720"/>
      <w:contextualSpacing/>
    </w:pPr>
  </w:style>
  <w:style w:type="character" w:styleId="IntenseEmphasis">
    <w:name w:val="Intense Emphasis"/>
    <w:basedOn w:val="DefaultParagraphFont"/>
    <w:uiPriority w:val="21"/>
    <w:qFormat/>
    <w:rsid w:val="00D72CC7"/>
    <w:rPr>
      <w:i/>
      <w:iCs/>
      <w:color w:val="0F4761" w:themeColor="accent1" w:themeShade="BF"/>
    </w:rPr>
  </w:style>
  <w:style w:type="paragraph" w:styleId="IntenseQuote">
    <w:name w:val="Intense Quote"/>
    <w:basedOn w:val="Normal"/>
    <w:next w:val="Normal"/>
    <w:link w:val="IntenseQuoteChar"/>
    <w:uiPriority w:val="30"/>
    <w:qFormat/>
    <w:rsid w:val="00D72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CC7"/>
    <w:rPr>
      <w:i/>
      <w:iCs/>
      <w:color w:val="0F4761" w:themeColor="accent1" w:themeShade="BF"/>
    </w:rPr>
  </w:style>
  <w:style w:type="character" w:styleId="IntenseReference">
    <w:name w:val="Intense Reference"/>
    <w:basedOn w:val="DefaultParagraphFont"/>
    <w:uiPriority w:val="32"/>
    <w:qFormat/>
    <w:rsid w:val="00D72CC7"/>
    <w:rPr>
      <w:b/>
      <w:bCs/>
      <w:smallCaps/>
      <w:color w:val="0F4761" w:themeColor="accent1" w:themeShade="BF"/>
      <w:spacing w:val="5"/>
    </w:rPr>
  </w:style>
  <w:style w:type="table" w:styleId="TableGrid">
    <w:name w:val="Table Grid"/>
    <w:basedOn w:val="TableNormal"/>
    <w:uiPriority w:val="39"/>
    <w:rsid w:val="000C7012"/>
    <w:pPr>
      <w:suppressAutoHyphens/>
      <w:spacing w:after="0" w:line="240" w:lineRule="auto"/>
    </w:pPr>
    <w:rPr>
      <w:kern w:val="0"/>
      <w:lang w:val="sl-SI"/>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3D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3D22"/>
  </w:style>
  <w:style w:type="paragraph" w:styleId="Footer">
    <w:name w:val="footer"/>
    <w:basedOn w:val="Normal"/>
    <w:link w:val="FooterChar"/>
    <w:uiPriority w:val="99"/>
    <w:unhideWhenUsed/>
    <w:rsid w:val="00033D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3D22"/>
  </w:style>
  <w:style w:type="character" w:styleId="Hyperlink">
    <w:name w:val="Hyperlink"/>
    <w:basedOn w:val="DefaultParagraphFont"/>
    <w:uiPriority w:val="99"/>
    <w:unhideWhenUsed/>
    <w:rsid w:val="006A3DF3"/>
    <w:rPr>
      <w:color w:val="467886" w:themeColor="hyperlink"/>
      <w:u w:val="single"/>
    </w:rPr>
  </w:style>
  <w:style w:type="character" w:styleId="UnresolvedMention">
    <w:name w:val="Unresolved Mention"/>
    <w:basedOn w:val="DefaultParagraphFont"/>
    <w:uiPriority w:val="99"/>
    <w:semiHidden/>
    <w:unhideWhenUsed/>
    <w:rsid w:val="006A3D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369">
      <w:bodyDiv w:val="1"/>
      <w:marLeft w:val="0"/>
      <w:marRight w:val="0"/>
      <w:marTop w:val="0"/>
      <w:marBottom w:val="0"/>
      <w:divBdr>
        <w:top w:val="none" w:sz="0" w:space="0" w:color="auto"/>
        <w:left w:val="none" w:sz="0" w:space="0" w:color="auto"/>
        <w:bottom w:val="none" w:sz="0" w:space="0" w:color="auto"/>
        <w:right w:val="none" w:sz="0" w:space="0" w:color="auto"/>
      </w:divBdr>
    </w:div>
    <w:div w:id="697465997">
      <w:bodyDiv w:val="1"/>
      <w:marLeft w:val="0"/>
      <w:marRight w:val="0"/>
      <w:marTop w:val="0"/>
      <w:marBottom w:val="0"/>
      <w:divBdr>
        <w:top w:val="none" w:sz="0" w:space="0" w:color="auto"/>
        <w:left w:val="none" w:sz="0" w:space="0" w:color="auto"/>
        <w:bottom w:val="none" w:sz="0" w:space="0" w:color="auto"/>
        <w:right w:val="none" w:sz="0" w:space="0" w:color="auto"/>
      </w:divBdr>
    </w:div>
    <w:div w:id="774596812">
      <w:bodyDiv w:val="1"/>
      <w:marLeft w:val="0"/>
      <w:marRight w:val="0"/>
      <w:marTop w:val="0"/>
      <w:marBottom w:val="0"/>
      <w:divBdr>
        <w:top w:val="none" w:sz="0" w:space="0" w:color="auto"/>
        <w:left w:val="none" w:sz="0" w:space="0" w:color="auto"/>
        <w:bottom w:val="none" w:sz="0" w:space="0" w:color="auto"/>
        <w:right w:val="none" w:sz="0" w:space="0" w:color="auto"/>
      </w:divBdr>
    </w:div>
    <w:div w:id="828910059">
      <w:bodyDiv w:val="1"/>
      <w:marLeft w:val="0"/>
      <w:marRight w:val="0"/>
      <w:marTop w:val="0"/>
      <w:marBottom w:val="0"/>
      <w:divBdr>
        <w:top w:val="none" w:sz="0" w:space="0" w:color="auto"/>
        <w:left w:val="none" w:sz="0" w:space="0" w:color="auto"/>
        <w:bottom w:val="none" w:sz="0" w:space="0" w:color="auto"/>
        <w:right w:val="none" w:sz="0" w:space="0" w:color="auto"/>
      </w:divBdr>
    </w:div>
    <w:div w:id="1018191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ologicalservice.eu/" TargetMode="External"/><Relationship Id="rId13" Type="http://schemas.openxmlformats.org/officeDocument/2006/relationships/hyperlink" Target="https://doi.org/10.1016/j.geothermics.2023.10264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v.scot/publications/study-potential-deep-geothermal-energy-scotland-volume-2/pages/1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ra.nerc.ac.uk/id/eprint/536918/"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nora.nerc.ac.uk/id/eprint/531393/" TargetMode="External"/><Relationship Id="rId4" Type="http://schemas.openxmlformats.org/officeDocument/2006/relationships/settings" Target="settings.xml"/><Relationship Id="rId9" Type="http://schemas.openxmlformats.org/officeDocument/2006/relationships/hyperlink" Target="https://doi.org/10.1007/s10040-013-1054-4"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F84C1-678D-4F5F-8A65-C1455C8D1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TotalTime>
  <Pages>3</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BGS</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Monaghan - BGS</dc:creator>
  <cp:keywords/>
  <dc:description/>
  <cp:lastModifiedBy>Alison Monaghan - BGS</cp:lastModifiedBy>
  <cp:revision>12</cp:revision>
  <dcterms:created xsi:type="dcterms:W3CDTF">2024-06-20T06:49:00Z</dcterms:created>
  <dcterms:modified xsi:type="dcterms:W3CDTF">2024-06-27T16:01:00Z</dcterms:modified>
</cp:coreProperties>
</file>