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Auditoría completa de la web</w:t>
        <w:br/>
      </w:r>
      <w:r>
        <w:rPr>
          <w:color w:val="D8A83E"/>
        </w:rPr>
        <w:t>EL TAROT DE MARÍA</w:t>
      </w:r>
    </w:p>
    <w:p>
      <w:r>
        <w:rPr>
          <w:b/>
          <w:sz w:val="24"/>
        </w:rPr>
        <w:t>Versión pública 26 · 13 de octubre de 2026</w:t>
      </w:r>
    </w:p>
    <w:p>
      <w:r>
        <w:rPr>
          <w:color w:val="255A72"/>
        </w:rPr>
        <w:t>Enlace público: https://el-tarot-de-maria.dgimdiez77.chatgpt.site/</w:t>
      </w:r>
    </w:p>
    <w:p>
      <w:pPr>
        <w:pStyle w:val="Heading1"/>
      </w:pPr>
      <w:r>
        <w:t>Veredicto</w:t>
      </w:r>
    </w:p>
    <w:p>
      <w:r>
        <w:rPr>
          <w:b/>
        </w:rPr>
        <w:t xml:space="preserve">El juego ya ofrece una experiencia reconocible, coherente y suficientemente completa para probar retención real con usuarios. </w:t>
      </w:r>
      <w:r>
        <w:t>La prioridad inmediata está en hacer más legible la tirada de una carta en móvil, robustecer el diario y explicar mejor cuándo empieza la personalización. La identidad visual, la privacidad local y la facilidad para empezar son fortalezas claras.</w:t>
      </w:r>
    </w:p>
    <w:p>
      <w:pPr>
        <w:pStyle w:val="Heading2"/>
      </w:pPr>
      <w:r>
        <w:t>Qué se ha revisado</w:t>
      </w:r>
    </w:p>
    <w:p>
      <w:pPr>
        <w:pStyle w:val="ListBullet"/>
      </w:pPr>
      <w:r>
        <w:t>Portada, elección de tema, pregunta opcional, tirada de una carta y tirada de tres cartas.</w:t>
      </w:r>
    </w:p>
    <w:p>
      <w:pPr>
        <w:pStyle w:val="ListBullet"/>
      </w:pPr>
      <w:r>
        <w:t>Revelado, veredicto, guardado, diario, memoria, instalación, privacidad y enlace de WhatsApp.</w:t>
      </w:r>
    </w:p>
    <w:p>
      <w:pPr>
        <w:pStyle w:val="ListBullet"/>
      </w:pPr>
      <w:r>
        <w:t>Vista de escritorio y vista móvil de 390 × 844 píxeles.</w:t>
      </w:r>
    </w:p>
    <w:p>
      <w:pPr>
        <w:pStyle w:val="ListBullet"/>
      </w:pPr>
      <w:r>
        <w:t>Código publicado, metadatos, caché sin conexión y peso de los recursos.</w:t>
      </w:r>
    </w:p>
    <w:p>
      <w:pPr>
        <w:pStyle w:val="ListBullet"/>
      </w:pPr>
      <w:r>
        <w:t>Comportamiento del enlace anterior y del nuevo enlace de Sites.</w:t>
      </w:r>
    </w:p>
    <w:p>
      <w:pPr>
        <w:pStyle w:val="Heading1"/>
      </w:pPr>
      <w:r>
        <w:t>Fortalezas confirmadas</w:t>
      </w:r>
    </w:p>
    <w:p>
      <w:r>
        <w:rPr>
          <w:b/>
        </w:rPr>
        <w:t xml:space="preserve">Comprensión inmediata: </w:t>
      </w:r>
      <w:r>
        <w:t>El nombre, la pregunta y las dos formas de tirada aparecen sin obligar a registrarse.</w:t>
      </w:r>
    </w:p>
    <w:p>
      <w:r>
        <w:rPr>
          <w:b/>
        </w:rPr>
        <w:t xml:space="preserve">Identidad propia: </w:t>
      </w:r>
      <w:r>
        <w:t>Las 23 cartas comparten el rostro de María y una estética uniforme; Géminis queda integrado como carta especial.</w:t>
      </w:r>
    </w:p>
    <w:p>
      <w:r>
        <w:rPr>
          <w:b/>
        </w:rPr>
        <w:t xml:space="preserve">Recorrido completo: </w:t>
      </w:r>
      <w:r>
        <w:t>La lectura termina en un veredicto y permite guardar, consultar el diario o compartir el resultado.</w:t>
      </w:r>
    </w:p>
    <w:p>
      <w:r>
        <w:rPr>
          <w:b/>
        </w:rPr>
        <w:t xml:space="preserve">Privacidad clara: </w:t>
      </w:r>
      <w:r>
        <w:t>Las preguntas y lecturas permanecen en el navegador. La memoria empieza desactivada y puede borrarse.</w:t>
      </w:r>
    </w:p>
    <w:p>
      <w:r>
        <w:rPr>
          <w:b/>
        </w:rPr>
        <w:t xml:space="preserve">Buen uso móvil: </w:t>
      </w:r>
      <w:r>
        <w:t>La tirada de tres cartas usa desplazamiento horizontal, muestra una indicación visible y evita comprimir las ilustraciones.</w:t>
      </w:r>
    </w:p>
    <w:p>
      <w:r>
        <w:rPr>
          <w:b/>
        </w:rPr>
        <w:t xml:space="preserve">Instalable y sin conexión: </w:t>
      </w:r>
      <w:r>
        <w:t>El manifiesto, los iconos y la caché preparan el juego como PWA; las pruebas automatizadas de los 31 recursos pasan.</w:t>
      </w:r>
    </w:p>
    <w:p>
      <w:r>
        <w:rPr>
          <w:b/>
        </w:rPr>
        <w:t xml:space="preserve">Límites responsables: </w:t>
      </w:r>
      <w:r>
        <w:t>El juego se presenta como lectura simbólica y evita prometer resultados clínicos o certezas futuras.</w:t>
      </w:r>
    </w:p>
    <w:p>
      <w:r>
        <w:br w:type="page"/>
      </w:r>
    </w:p>
    <w:p>
      <w:pPr>
        <w:pStyle w:val="Heading1"/>
      </w:pPr>
      <w:r>
        <w:t>Prioridad recomendada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792"/>
            <w:shd w:fill="17384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b/>
                <w:color w:val="FFFFFF"/>
                <w:sz w:val="17"/>
              </w:rPr>
              <w:t>Orden</w:t>
            </w:r>
          </w:p>
        </w:tc>
        <w:tc>
          <w:tcPr>
            <w:tcW w:type="dxa" w:w="2952"/>
            <w:shd w:fill="17384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b/>
                <w:color w:val="FFFFFF"/>
                <w:sz w:val="17"/>
              </w:rPr>
              <w:t>Mejora</w:t>
            </w:r>
          </w:p>
        </w:tc>
        <w:tc>
          <w:tcPr>
            <w:tcW w:type="dxa" w:w="4680"/>
            <w:shd w:fill="17384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b/>
                <w:color w:val="FFFFFF"/>
                <w:sz w:val="17"/>
              </w:rPr>
              <w:t>Por qué ahora</w:t>
            </w:r>
          </w:p>
        </w:tc>
        <w:tc>
          <w:tcPr>
            <w:tcW w:type="dxa" w:w="1152"/>
            <w:shd w:fill="17384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b/>
                <w:color w:val="FFFFFF"/>
                <w:sz w:val="17"/>
              </w:rPr>
              <w:t>Esfuerzo</w:t>
            </w:r>
          </w:p>
        </w:tc>
      </w:tr>
      <w:tr>
        <w:trPr>
          <w:cantSplit/>
        </w:trPr>
        <w:tc>
          <w:tcPr>
            <w:tcW w:type="dxa" w:w="792"/>
            <w:vAlign w:val="top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7"/>
              </w:rPr>
              <w:t>1</w:t>
            </w:r>
          </w:p>
        </w:tc>
        <w:tc>
          <w:tcPr>
            <w:tcW w:type="dxa" w:w="2952"/>
            <w:vAlign w:val="top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7"/>
              </w:rPr>
              <w:t>Texto móvil de la tirada de una carta</w:t>
            </w:r>
          </w:p>
        </w:tc>
        <w:tc>
          <w:tcPr>
            <w:tcW w:type="dxa" w:w="4680"/>
            <w:vAlign w:val="top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7"/>
              </w:rPr>
              <w:t>La explicación baja a 10 px; es el problema de lectura más claro.</w:t>
            </w:r>
          </w:p>
        </w:tc>
        <w:tc>
          <w:tcPr>
            <w:tcW w:type="dxa" w:w="1152"/>
            <w:vAlign w:val="top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7"/>
              </w:rPr>
              <w:t>Bajo</w:t>
            </w:r>
          </w:p>
        </w:tc>
      </w:tr>
      <w:tr>
        <w:trPr>
          <w:cantSplit/>
        </w:trPr>
        <w:tc>
          <w:tcPr>
            <w:tcW w:type="dxa" w:w="792"/>
            <w:vAlign w:val="top"/>
            <w:shd w:fill="F4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7"/>
              </w:rPr>
              <w:t>2</w:t>
            </w:r>
          </w:p>
        </w:tc>
        <w:tc>
          <w:tcPr>
            <w:tcW w:type="dxa" w:w="2952"/>
            <w:vAlign w:val="top"/>
            <w:shd w:fill="F4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7"/>
              </w:rPr>
              <w:t>Evitar guardados duplicados</w:t>
            </w:r>
          </w:p>
        </w:tc>
        <w:tc>
          <w:tcPr>
            <w:tcW w:type="dxa" w:w="4680"/>
            <w:vAlign w:val="top"/>
            <w:shd w:fill="F4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7"/>
              </w:rPr>
              <w:t>Ahora la misma tirada puede añadirse varias veces al diario.</w:t>
            </w:r>
          </w:p>
        </w:tc>
        <w:tc>
          <w:tcPr>
            <w:tcW w:type="dxa" w:w="1152"/>
            <w:vAlign w:val="top"/>
            <w:shd w:fill="F4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7"/>
              </w:rPr>
              <w:t>Bajo</w:t>
            </w:r>
          </w:p>
        </w:tc>
      </w:tr>
      <w:tr>
        <w:trPr>
          <w:cantSplit/>
        </w:trPr>
        <w:tc>
          <w:tcPr>
            <w:tcW w:type="dxa" w:w="792"/>
            <w:vAlign w:val="top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7"/>
              </w:rPr>
              <w:t>3</w:t>
            </w:r>
          </w:p>
        </w:tc>
        <w:tc>
          <w:tcPr>
            <w:tcW w:type="dxa" w:w="2952"/>
            <w:vAlign w:val="top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7"/>
              </w:rPr>
              <w:t>Errores de almacenamiento comprensibles</w:t>
            </w:r>
          </w:p>
        </w:tc>
        <w:tc>
          <w:tcPr>
            <w:tcW w:type="dxa" w:w="4680"/>
            <w:vAlign w:val="top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7"/>
              </w:rPr>
              <w:t>Si el navegador bloquea o llena el almacenamiento, falta una respuesta visible.</w:t>
            </w:r>
          </w:p>
        </w:tc>
        <w:tc>
          <w:tcPr>
            <w:tcW w:type="dxa" w:w="1152"/>
            <w:vAlign w:val="top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7"/>
              </w:rPr>
              <w:t>Medio</w:t>
            </w:r>
          </w:p>
        </w:tc>
      </w:tr>
      <w:tr>
        <w:trPr>
          <w:cantSplit/>
        </w:trPr>
        <w:tc>
          <w:tcPr>
            <w:tcW w:type="dxa" w:w="792"/>
            <w:vAlign w:val="top"/>
            <w:shd w:fill="F4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7"/>
              </w:rPr>
              <w:t>4</w:t>
            </w:r>
          </w:p>
        </w:tc>
        <w:tc>
          <w:tcPr>
            <w:tcW w:type="dxa" w:w="2952"/>
            <w:vAlign w:val="top"/>
            <w:shd w:fill="F4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7"/>
              </w:rPr>
              <w:t>Diario preparado para crecer</w:t>
            </w:r>
          </w:p>
        </w:tc>
        <w:tc>
          <w:tcPr>
            <w:tcW w:type="dxa" w:w="4680"/>
            <w:vAlign w:val="top"/>
            <w:shd w:fill="F4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7"/>
              </w:rPr>
              <w:t>Filtros, edición y exportación aumentan la utilidad cuando hay muchas lecturas.</w:t>
            </w:r>
          </w:p>
        </w:tc>
        <w:tc>
          <w:tcPr>
            <w:tcW w:type="dxa" w:w="1152"/>
            <w:vAlign w:val="top"/>
            <w:shd w:fill="F4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7"/>
              </w:rPr>
              <w:t>Medio</w:t>
            </w:r>
          </w:p>
        </w:tc>
      </w:tr>
      <w:tr>
        <w:trPr>
          <w:cantSplit/>
        </w:trPr>
        <w:tc>
          <w:tcPr>
            <w:tcW w:type="dxa" w:w="792"/>
            <w:vAlign w:val="top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7"/>
              </w:rPr>
              <w:t>5</w:t>
            </w:r>
          </w:p>
        </w:tc>
        <w:tc>
          <w:tcPr>
            <w:tcW w:type="dxa" w:w="2952"/>
            <w:vAlign w:val="top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7"/>
              </w:rPr>
              <w:t>Explicar el progreso de la memoria</w:t>
            </w:r>
          </w:p>
        </w:tc>
        <w:tc>
          <w:tcPr>
            <w:tcW w:type="dxa" w:w="4680"/>
            <w:vAlign w:val="top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7"/>
              </w:rPr>
              <w:t>Conviene indicar cuántas lecturas faltan para empezar a personalizar.</w:t>
            </w:r>
          </w:p>
        </w:tc>
        <w:tc>
          <w:tcPr>
            <w:tcW w:type="dxa" w:w="1152"/>
            <w:vAlign w:val="top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7"/>
              </w:rPr>
              <w:t>Bajo</w:t>
            </w:r>
          </w:p>
        </w:tc>
      </w:tr>
    </w:tbl>
    <w:p>
      <w:pPr>
        <w:pStyle w:val="Heading1"/>
      </w:pPr>
      <w:r>
        <w:t>Hallazgos detallados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rPr>
          <w:tblHeader w:val="true"/>
        </w:trPr>
        <w:tc>
          <w:tcPr>
            <w:tcW w:type="dxa" w:w="403"/>
            <w:shd w:fill="17384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b/>
                <w:color w:val="FFFFFF"/>
                <w:sz w:val="14"/>
              </w:rPr>
              <w:t>#</w:t>
            </w:r>
          </w:p>
        </w:tc>
        <w:tc>
          <w:tcPr>
            <w:tcW w:type="dxa" w:w="893"/>
            <w:shd w:fill="17384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b/>
                <w:color w:val="FFFFFF"/>
                <w:sz w:val="14"/>
              </w:rPr>
              <w:t>Nivel</w:t>
            </w:r>
          </w:p>
        </w:tc>
        <w:tc>
          <w:tcPr>
            <w:tcW w:type="dxa" w:w="1512"/>
            <w:shd w:fill="17384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b/>
                <w:color w:val="FFFFFF"/>
                <w:sz w:val="14"/>
              </w:rPr>
              <w:t>Hallazgo</w:t>
            </w:r>
          </w:p>
        </w:tc>
        <w:tc>
          <w:tcPr>
            <w:tcW w:type="dxa" w:w="2232"/>
            <w:shd w:fill="17384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b/>
                <w:color w:val="FFFFFF"/>
                <w:sz w:val="14"/>
              </w:rPr>
              <w:t>Evidencia</w:t>
            </w:r>
          </w:p>
        </w:tc>
        <w:tc>
          <w:tcPr>
            <w:tcW w:type="dxa" w:w="2880"/>
            <w:shd w:fill="17384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b/>
                <w:color w:val="FFFFFF"/>
                <w:sz w:val="14"/>
              </w:rPr>
              <w:t>Corrección</w:t>
            </w:r>
          </w:p>
        </w:tc>
        <w:tc>
          <w:tcPr>
            <w:tcW w:type="dxa" w:w="792"/>
            <w:shd w:fill="17384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b/>
                <w:color w:val="FFFFFF"/>
                <w:sz w:val="14"/>
              </w:rPr>
              <w:t>Impacto</w:t>
            </w:r>
          </w:p>
        </w:tc>
        <w:tc>
          <w:tcPr>
            <w:tcW w:type="dxa" w:w="792"/>
            <w:shd w:fill="17384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b/>
                <w:color w:val="FFFFFF"/>
                <w:sz w:val="14"/>
              </w:rPr>
              <w:t>Esfuerzo</w:t>
            </w:r>
          </w:p>
        </w:tc>
      </w:tr>
      <w:tr>
        <w:trPr>
          <w:cantSplit/>
        </w:trPr>
        <w:tc>
          <w:tcPr>
            <w:tcW w:type="dxa" w:w="403"/>
            <w:vAlign w:val="top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4"/>
              </w:rPr>
              <w:t>1</w:t>
            </w:r>
          </w:p>
        </w:tc>
        <w:tc>
          <w:tcPr>
            <w:tcW w:type="dxa" w:w="893"/>
            <w:vAlign w:val="top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4"/>
              </w:rPr>
              <w:t>Hecho</w:t>
            </w:r>
          </w:p>
        </w:tc>
        <w:tc>
          <w:tcPr>
            <w:tcW w:type="dxa" w:w="1512"/>
            <w:vAlign w:val="top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4"/>
              </w:rPr>
              <w:t>Bajada al veredicto demasiado rápida</w:t>
            </w:r>
          </w:p>
        </w:tc>
        <w:tc>
          <w:tcPr>
            <w:tcW w:type="dxa" w:w="2232"/>
            <w:vAlign w:val="top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4"/>
              </w:rPr>
              <w:t>El movimiento automático se percibía como un salto.</w:t>
            </w:r>
          </w:p>
        </w:tc>
        <w:tc>
          <w:tcPr>
            <w:tcW w:type="dxa" w:w="2880"/>
            <w:vAlign w:val="top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4"/>
              </w:rPr>
              <w:t>Versión 26: recorrido de 1,6 s, foco al terminar y respeto a la reducción de movimiento.</w:t>
            </w:r>
          </w:p>
        </w:tc>
        <w:tc>
          <w:tcPr>
            <w:tcW w:type="dxa" w:w="792"/>
            <w:vAlign w:val="top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4"/>
              </w:rPr>
              <w:t>Alto</w:t>
            </w:r>
          </w:p>
        </w:tc>
        <w:tc>
          <w:tcPr>
            <w:tcW w:type="dxa" w:w="792"/>
            <w:vAlign w:val="top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4"/>
              </w:rPr>
              <w:t>Bajo</w:t>
            </w:r>
          </w:p>
        </w:tc>
      </w:tr>
      <w:tr>
        <w:trPr>
          <w:cantSplit/>
        </w:trPr>
        <w:tc>
          <w:tcPr>
            <w:tcW w:type="dxa" w:w="403"/>
            <w:vAlign w:val="top"/>
            <w:shd w:fill="F4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4"/>
              </w:rPr>
              <w:t>2</w:t>
            </w:r>
          </w:p>
        </w:tc>
        <w:tc>
          <w:tcPr>
            <w:tcW w:type="dxa" w:w="893"/>
            <w:vAlign w:val="top"/>
            <w:shd w:fill="F4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4"/>
              </w:rPr>
              <w:t>Alta</w:t>
            </w:r>
          </w:p>
        </w:tc>
        <w:tc>
          <w:tcPr>
            <w:tcW w:type="dxa" w:w="1512"/>
            <w:vAlign w:val="top"/>
            <w:shd w:fill="F4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4"/>
              </w:rPr>
              <w:t>Texto pequeño en una carta</w:t>
            </w:r>
          </w:p>
        </w:tc>
        <w:tc>
          <w:tcPr>
            <w:tcW w:type="dxa" w:w="2232"/>
            <w:vAlign w:val="top"/>
            <w:shd w:fill="F4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4"/>
              </w:rPr>
              <w:t>En 390 px, el significado de una tirada de una carta se renderiza a 10 px; el veredicto queda a 15 px.</w:t>
            </w:r>
          </w:p>
        </w:tc>
        <w:tc>
          <w:tcPr>
            <w:tcW w:type="dxa" w:w="2880"/>
            <w:vAlign w:val="top"/>
            <w:shd w:fill="F4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4"/>
              </w:rPr>
              <w:t>Subir significado y señal a 14 px, con interlineado mínimo de 1,45.</w:t>
            </w:r>
          </w:p>
        </w:tc>
        <w:tc>
          <w:tcPr>
            <w:tcW w:type="dxa" w:w="792"/>
            <w:vAlign w:val="top"/>
            <w:shd w:fill="F4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4"/>
              </w:rPr>
              <w:t>Alto</w:t>
            </w:r>
          </w:p>
        </w:tc>
        <w:tc>
          <w:tcPr>
            <w:tcW w:type="dxa" w:w="792"/>
            <w:vAlign w:val="top"/>
            <w:shd w:fill="F4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4"/>
              </w:rPr>
              <w:t>Bajo</w:t>
            </w:r>
          </w:p>
        </w:tc>
      </w:tr>
      <w:tr>
        <w:trPr>
          <w:cantSplit/>
        </w:trPr>
        <w:tc>
          <w:tcPr>
            <w:tcW w:type="dxa" w:w="403"/>
            <w:vAlign w:val="top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4"/>
              </w:rPr>
              <w:t>3</w:t>
            </w:r>
          </w:p>
        </w:tc>
        <w:tc>
          <w:tcPr>
            <w:tcW w:type="dxa" w:w="893"/>
            <w:vAlign w:val="top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4"/>
              </w:rPr>
              <w:t>Alta</w:t>
            </w:r>
          </w:p>
        </w:tc>
        <w:tc>
          <w:tcPr>
            <w:tcW w:type="dxa" w:w="1512"/>
            <w:vAlign w:val="top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4"/>
              </w:rPr>
              <w:t>Guardado duplicado</w:t>
            </w:r>
          </w:p>
        </w:tc>
        <w:tc>
          <w:tcPr>
            <w:tcW w:type="dxa" w:w="2232"/>
            <w:vAlign w:val="top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4"/>
              </w:rPr>
              <w:t>El botón vuelve a abrir el diálogo tras guardar y cada confirmación crea otra entrada.</w:t>
            </w:r>
          </w:p>
        </w:tc>
        <w:tc>
          <w:tcPr>
            <w:tcW w:type="dxa" w:w="2880"/>
            <w:vAlign w:val="top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4"/>
              </w:rPr>
              <w:t>Marcar la lectura actual como guardada, cambiar el texto del botón y permitir actualizar su nota.</w:t>
            </w:r>
          </w:p>
        </w:tc>
        <w:tc>
          <w:tcPr>
            <w:tcW w:type="dxa" w:w="792"/>
            <w:vAlign w:val="top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4"/>
              </w:rPr>
              <w:t>Medio</w:t>
            </w:r>
          </w:p>
        </w:tc>
        <w:tc>
          <w:tcPr>
            <w:tcW w:type="dxa" w:w="792"/>
            <w:vAlign w:val="top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4"/>
              </w:rPr>
              <w:t>Bajo</w:t>
            </w:r>
          </w:p>
        </w:tc>
      </w:tr>
      <w:tr>
        <w:trPr>
          <w:cantSplit/>
        </w:trPr>
        <w:tc>
          <w:tcPr>
            <w:tcW w:type="dxa" w:w="403"/>
            <w:vAlign w:val="top"/>
            <w:shd w:fill="F4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4"/>
              </w:rPr>
              <w:t>4</w:t>
            </w:r>
          </w:p>
        </w:tc>
        <w:tc>
          <w:tcPr>
            <w:tcW w:type="dxa" w:w="893"/>
            <w:vAlign w:val="top"/>
            <w:shd w:fill="F4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4"/>
              </w:rPr>
              <w:t>Alta</w:t>
            </w:r>
          </w:p>
        </w:tc>
        <w:tc>
          <w:tcPr>
            <w:tcW w:type="dxa" w:w="1512"/>
            <w:vAlign w:val="top"/>
            <w:shd w:fill="F4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4"/>
              </w:rPr>
              <w:t>Fallo silencioso de almacenamiento</w:t>
            </w:r>
          </w:p>
        </w:tc>
        <w:tc>
          <w:tcPr>
            <w:tcW w:type="dxa" w:w="2232"/>
            <w:vAlign w:val="top"/>
            <w:shd w:fill="F4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4"/>
              </w:rPr>
              <w:t>Las escrituras en almacenamiento local no capturan errores de cuota o bloqueo.</w:t>
            </w:r>
          </w:p>
        </w:tc>
        <w:tc>
          <w:tcPr>
            <w:tcW w:type="dxa" w:w="2880"/>
            <w:vAlign w:val="top"/>
            <w:shd w:fill="F4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4"/>
              </w:rPr>
              <w:t>Mostrar un aviso y mantener la lectura visible para compartirla o copiarla.</w:t>
            </w:r>
          </w:p>
        </w:tc>
        <w:tc>
          <w:tcPr>
            <w:tcW w:type="dxa" w:w="792"/>
            <w:vAlign w:val="top"/>
            <w:shd w:fill="F4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4"/>
              </w:rPr>
              <w:t>Alto</w:t>
            </w:r>
          </w:p>
        </w:tc>
        <w:tc>
          <w:tcPr>
            <w:tcW w:type="dxa" w:w="792"/>
            <w:vAlign w:val="top"/>
            <w:shd w:fill="F4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4"/>
              </w:rPr>
              <w:t>Medio</w:t>
            </w:r>
          </w:p>
        </w:tc>
      </w:tr>
      <w:tr>
        <w:trPr>
          <w:cantSplit/>
        </w:trPr>
        <w:tc>
          <w:tcPr>
            <w:tcW w:type="dxa" w:w="403"/>
            <w:vAlign w:val="top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4"/>
              </w:rPr>
              <w:t>5</w:t>
            </w:r>
          </w:p>
        </w:tc>
        <w:tc>
          <w:tcPr>
            <w:tcW w:type="dxa" w:w="893"/>
            <w:vAlign w:val="top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4"/>
              </w:rPr>
              <w:t>Alta</w:t>
            </w:r>
          </w:p>
        </w:tc>
        <w:tc>
          <w:tcPr>
            <w:tcW w:type="dxa" w:w="1512"/>
            <w:vAlign w:val="top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4"/>
              </w:rPr>
              <w:t>Diario sin herramientas de crecimiento</w:t>
            </w:r>
          </w:p>
        </w:tc>
        <w:tc>
          <w:tcPr>
            <w:tcW w:type="dxa" w:w="2232"/>
            <w:vAlign w:val="top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4"/>
              </w:rPr>
              <w:t>Con muchas entradas solo se puede recorrer, marcar favorita o borrar.</w:t>
            </w:r>
          </w:p>
        </w:tc>
        <w:tc>
          <w:tcPr>
            <w:tcW w:type="dxa" w:w="2880"/>
            <w:vAlign w:val="top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4"/>
              </w:rPr>
              <w:t>Añadir filtros por tema y favoritas, búsqueda y orden.</w:t>
            </w:r>
          </w:p>
        </w:tc>
        <w:tc>
          <w:tcPr>
            <w:tcW w:type="dxa" w:w="792"/>
            <w:vAlign w:val="top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4"/>
              </w:rPr>
              <w:t>Alto</w:t>
            </w:r>
          </w:p>
        </w:tc>
        <w:tc>
          <w:tcPr>
            <w:tcW w:type="dxa" w:w="792"/>
            <w:vAlign w:val="top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4"/>
              </w:rPr>
              <w:t>Medio</w:t>
            </w:r>
          </w:p>
        </w:tc>
      </w:tr>
      <w:tr>
        <w:trPr>
          <w:cantSplit/>
        </w:trPr>
        <w:tc>
          <w:tcPr>
            <w:tcW w:type="dxa" w:w="403"/>
            <w:vAlign w:val="top"/>
            <w:shd w:fill="F4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4"/>
              </w:rPr>
              <w:t>6</w:t>
            </w:r>
          </w:p>
        </w:tc>
        <w:tc>
          <w:tcPr>
            <w:tcW w:type="dxa" w:w="893"/>
            <w:vAlign w:val="top"/>
            <w:shd w:fill="F4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4"/>
              </w:rPr>
              <w:t>Media</w:t>
            </w:r>
          </w:p>
        </w:tc>
        <w:tc>
          <w:tcPr>
            <w:tcW w:type="dxa" w:w="1512"/>
            <w:vAlign w:val="top"/>
            <w:shd w:fill="F4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4"/>
              </w:rPr>
              <w:t>Sin copia ni traslado del diario</w:t>
            </w:r>
          </w:p>
        </w:tc>
        <w:tc>
          <w:tcPr>
            <w:tcW w:type="dxa" w:w="2232"/>
            <w:vAlign w:val="top"/>
            <w:shd w:fill="F4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4"/>
              </w:rPr>
              <w:t>Las lecturas quedan ligadas a un navegador y se pierden al borrar sus datos o cambiar de móvil.</w:t>
            </w:r>
          </w:p>
        </w:tc>
        <w:tc>
          <w:tcPr>
            <w:tcW w:type="dxa" w:w="2880"/>
            <w:vAlign w:val="top"/>
            <w:shd w:fill="F4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4"/>
              </w:rPr>
              <w:t>Añadir exportación e importación de un archivo JSON, voluntaria y explicada.</w:t>
            </w:r>
          </w:p>
        </w:tc>
        <w:tc>
          <w:tcPr>
            <w:tcW w:type="dxa" w:w="792"/>
            <w:vAlign w:val="top"/>
            <w:shd w:fill="F4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4"/>
              </w:rPr>
              <w:t>Alto</w:t>
            </w:r>
          </w:p>
        </w:tc>
        <w:tc>
          <w:tcPr>
            <w:tcW w:type="dxa" w:w="792"/>
            <w:vAlign w:val="top"/>
            <w:shd w:fill="F4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4"/>
              </w:rPr>
              <w:t>Medio</w:t>
            </w:r>
          </w:p>
        </w:tc>
      </w:tr>
      <w:tr>
        <w:trPr>
          <w:cantSplit/>
        </w:trPr>
        <w:tc>
          <w:tcPr>
            <w:tcW w:type="dxa" w:w="403"/>
            <w:vAlign w:val="top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4"/>
              </w:rPr>
              <w:t>7</w:t>
            </w:r>
          </w:p>
        </w:tc>
        <w:tc>
          <w:tcPr>
            <w:tcW w:type="dxa" w:w="893"/>
            <w:vAlign w:val="top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4"/>
              </w:rPr>
              <w:t>Media</w:t>
            </w:r>
          </w:p>
        </w:tc>
        <w:tc>
          <w:tcPr>
            <w:tcW w:type="dxa" w:w="1512"/>
            <w:vAlign w:val="top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4"/>
              </w:rPr>
              <w:t>Inicio de la memoria poco concreto</w:t>
            </w:r>
          </w:p>
        </w:tc>
        <w:tc>
          <w:tcPr>
            <w:tcW w:type="dxa" w:w="2232"/>
            <w:vAlign w:val="top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4"/>
              </w:rPr>
              <w:t>La interfaz no dice claramente que necesita dos lecturas guardadas.</w:t>
            </w:r>
          </w:p>
        </w:tc>
        <w:tc>
          <w:tcPr>
            <w:tcW w:type="dxa" w:w="2880"/>
            <w:vAlign w:val="top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4"/>
              </w:rPr>
              <w:t>Mostrar “1 de 2 lecturas” y después resumir los temas detectados.</w:t>
            </w:r>
          </w:p>
        </w:tc>
        <w:tc>
          <w:tcPr>
            <w:tcW w:type="dxa" w:w="792"/>
            <w:vAlign w:val="top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4"/>
              </w:rPr>
              <w:t>Medio</w:t>
            </w:r>
          </w:p>
        </w:tc>
        <w:tc>
          <w:tcPr>
            <w:tcW w:type="dxa" w:w="792"/>
            <w:vAlign w:val="top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4"/>
              </w:rPr>
              <w:t>Bajo</w:t>
            </w:r>
          </w:p>
        </w:tc>
      </w:tr>
      <w:tr>
        <w:trPr>
          <w:cantSplit/>
        </w:trPr>
        <w:tc>
          <w:tcPr>
            <w:tcW w:type="dxa" w:w="403"/>
            <w:vAlign w:val="top"/>
            <w:shd w:fill="F4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4"/>
              </w:rPr>
              <w:t>8</w:t>
            </w:r>
          </w:p>
        </w:tc>
        <w:tc>
          <w:tcPr>
            <w:tcW w:type="dxa" w:w="893"/>
            <w:vAlign w:val="top"/>
            <w:shd w:fill="F4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4"/>
              </w:rPr>
              <w:t>Media</w:t>
            </w:r>
          </w:p>
        </w:tc>
        <w:tc>
          <w:tcPr>
            <w:tcW w:type="dxa" w:w="1512"/>
            <w:vAlign w:val="top"/>
            <w:shd w:fill="F4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4"/>
              </w:rPr>
              <w:t>Instalación genérica</w:t>
            </w:r>
          </w:p>
        </w:tc>
        <w:tc>
          <w:tcPr>
            <w:tcW w:type="dxa" w:w="2232"/>
            <w:vAlign w:val="top"/>
            <w:shd w:fill="F4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4"/>
              </w:rPr>
              <w:t>El diálogo remite al menú del navegador y no explica primero la ventaja de instalar.</w:t>
            </w:r>
          </w:p>
        </w:tc>
        <w:tc>
          <w:tcPr>
            <w:tcW w:type="dxa" w:w="2880"/>
            <w:vAlign w:val="top"/>
            <w:shd w:fill="F4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4"/>
              </w:rPr>
              <w:t>Detectar Android/iPhone, explicar acceso rápido y modo sin conexión, y dar pasos breves.</w:t>
            </w:r>
          </w:p>
        </w:tc>
        <w:tc>
          <w:tcPr>
            <w:tcW w:type="dxa" w:w="792"/>
            <w:vAlign w:val="top"/>
            <w:shd w:fill="F4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4"/>
              </w:rPr>
              <w:t>Medio</w:t>
            </w:r>
          </w:p>
        </w:tc>
        <w:tc>
          <w:tcPr>
            <w:tcW w:type="dxa" w:w="792"/>
            <w:vAlign w:val="top"/>
            <w:shd w:fill="F4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4"/>
              </w:rPr>
              <w:t>Bajo</w:t>
            </w:r>
          </w:p>
        </w:tc>
      </w:tr>
      <w:tr>
        <w:trPr>
          <w:cantSplit/>
        </w:trPr>
        <w:tc>
          <w:tcPr>
            <w:tcW w:type="dxa" w:w="403"/>
            <w:vAlign w:val="top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4"/>
              </w:rPr>
              <w:t>9</w:t>
            </w:r>
          </w:p>
        </w:tc>
        <w:tc>
          <w:tcPr>
            <w:tcW w:type="dxa" w:w="893"/>
            <w:vAlign w:val="top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4"/>
              </w:rPr>
              <w:t>Media</w:t>
            </w:r>
          </w:p>
        </w:tc>
        <w:tc>
          <w:tcPr>
            <w:tcW w:type="dxa" w:w="1512"/>
            <w:vAlign w:val="top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4"/>
              </w:rPr>
              <w:t>Sin medición del recorrido</w:t>
            </w:r>
          </w:p>
        </w:tc>
        <w:tc>
          <w:tcPr>
            <w:tcW w:type="dxa" w:w="2232"/>
            <w:vAlign w:val="top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4"/>
              </w:rPr>
              <w:t>No se sabe cuántas personas empiezan, terminan, guardan, vuelven o comparten.</w:t>
            </w:r>
          </w:p>
        </w:tc>
        <w:tc>
          <w:tcPr>
            <w:tcW w:type="dxa" w:w="2880"/>
            <w:vAlign w:val="top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4"/>
              </w:rPr>
              <w:t>Definir cinco eventos mínimos y elegir medición respetuosa con la privacidad.</w:t>
            </w:r>
          </w:p>
        </w:tc>
        <w:tc>
          <w:tcPr>
            <w:tcW w:type="dxa" w:w="792"/>
            <w:vAlign w:val="top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4"/>
              </w:rPr>
              <w:t>Alto</w:t>
            </w:r>
          </w:p>
        </w:tc>
        <w:tc>
          <w:tcPr>
            <w:tcW w:type="dxa" w:w="792"/>
            <w:vAlign w:val="top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4"/>
              </w:rPr>
              <w:t>Medio</w:t>
            </w:r>
          </w:p>
        </w:tc>
      </w:tr>
      <w:tr>
        <w:trPr>
          <w:cantSplit/>
        </w:trPr>
        <w:tc>
          <w:tcPr>
            <w:tcW w:type="dxa" w:w="403"/>
            <w:vAlign w:val="top"/>
            <w:shd w:fill="F4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4"/>
              </w:rPr>
              <w:t>10</w:t>
            </w:r>
          </w:p>
        </w:tc>
        <w:tc>
          <w:tcPr>
            <w:tcW w:type="dxa" w:w="893"/>
            <w:vAlign w:val="top"/>
            <w:shd w:fill="F4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4"/>
              </w:rPr>
              <w:t>Media</w:t>
            </w:r>
          </w:p>
        </w:tc>
        <w:tc>
          <w:tcPr>
            <w:tcW w:type="dxa" w:w="1512"/>
            <w:vAlign w:val="top"/>
            <w:shd w:fill="F4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4"/>
              </w:rPr>
              <w:t>Caché inicial pesada</w:t>
            </w:r>
          </w:p>
        </w:tc>
        <w:tc>
          <w:tcPr>
            <w:tcW w:type="dxa" w:w="2232"/>
            <w:vAlign w:val="top"/>
            <w:shd w:fill="F4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4"/>
              </w:rPr>
              <w:t>El sitio ocupa 11,8 MB y las 23 cartas suman 7,7 MB; se preparan todas al instalarse.</w:t>
            </w:r>
          </w:p>
        </w:tc>
        <w:tc>
          <w:tcPr>
            <w:tcW w:type="dxa" w:w="2880"/>
            <w:vAlign w:val="top"/>
            <w:shd w:fill="F4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4"/>
              </w:rPr>
              <w:t>Cargar portada y núcleo primero; guardar el resto después o a demanda.</w:t>
            </w:r>
          </w:p>
        </w:tc>
        <w:tc>
          <w:tcPr>
            <w:tcW w:type="dxa" w:w="792"/>
            <w:vAlign w:val="top"/>
            <w:shd w:fill="F4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4"/>
              </w:rPr>
              <w:t>Medio</w:t>
            </w:r>
          </w:p>
        </w:tc>
        <w:tc>
          <w:tcPr>
            <w:tcW w:type="dxa" w:w="792"/>
            <w:vAlign w:val="top"/>
            <w:shd w:fill="F4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4"/>
              </w:rPr>
              <w:t>Medio</w:t>
            </w:r>
          </w:p>
        </w:tc>
      </w:tr>
      <w:tr>
        <w:trPr>
          <w:cantSplit/>
        </w:trPr>
        <w:tc>
          <w:tcPr>
            <w:tcW w:type="dxa" w:w="403"/>
            <w:vAlign w:val="top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4"/>
              </w:rPr>
              <w:t>11</w:t>
            </w:r>
          </w:p>
        </w:tc>
        <w:tc>
          <w:tcPr>
            <w:tcW w:type="dxa" w:w="893"/>
            <w:vAlign w:val="top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4"/>
              </w:rPr>
              <w:t>Media</w:t>
            </w:r>
          </w:p>
        </w:tc>
        <w:tc>
          <w:tcPr>
            <w:tcW w:type="dxa" w:w="1512"/>
            <w:vAlign w:val="top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4"/>
              </w:rPr>
              <w:t>SEO técnico incompleto</w:t>
            </w:r>
          </w:p>
        </w:tc>
        <w:tc>
          <w:tcPr>
            <w:tcW w:type="dxa" w:w="2232"/>
            <w:vAlign w:val="top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4"/>
              </w:rPr>
              <w:t>Hay título, descripción y Open Graph, pero no canonical, robots.txt, sitemap.xml ni datos estructurados.</w:t>
            </w:r>
          </w:p>
        </w:tc>
        <w:tc>
          <w:tcPr>
            <w:tcW w:type="dxa" w:w="2880"/>
            <w:vAlign w:val="top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4"/>
              </w:rPr>
              <w:t>Añadir canonical, robots, sitemap y esquema WebApplication o Game.</w:t>
            </w:r>
          </w:p>
        </w:tc>
        <w:tc>
          <w:tcPr>
            <w:tcW w:type="dxa" w:w="792"/>
            <w:vAlign w:val="top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4"/>
              </w:rPr>
              <w:t>Medio</w:t>
            </w:r>
          </w:p>
        </w:tc>
        <w:tc>
          <w:tcPr>
            <w:tcW w:type="dxa" w:w="792"/>
            <w:vAlign w:val="top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4"/>
              </w:rPr>
              <w:t>Bajo</w:t>
            </w:r>
          </w:p>
        </w:tc>
      </w:tr>
      <w:tr>
        <w:trPr>
          <w:cantSplit/>
        </w:trPr>
        <w:tc>
          <w:tcPr>
            <w:tcW w:type="dxa" w:w="403"/>
            <w:vAlign w:val="top"/>
            <w:shd w:fill="F4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4"/>
              </w:rPr>
              <w:t>12</w:t>
            </w:r>
          </w:p>
        </w:tc>
        <w:tc>
          <w:tcPr>
            <w:tcW w:type="dxa" w:w="893"/>
            <w:vAlign w:val="top"/>
            <w:shd w:fill="F4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4"/>
              </w:rPr>
              <w:t>Baja</w:t>
            </w:r>
          </w:p>
        </w:tc>
        <w:tc>
          <w:tcPr>
            <w:tcW w:type="dxa" w:w="1512"/>
            <w:vAlign w:val="top"/>
            <w:shd w:fill="F4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4"/>
              </w:rPr>
              <w:t>Botones de borrado poco específicos</w:t>
            </w:r>
          </w:p>
        </w:tc>
        <w:tc>
          <w:tcPr>
            <w:tcW w:type="dxa" w:w="2232"/>
            <w:vAlign w:val="top"/>
            <w:shd w:fill="F4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4"/>
              </w:rPr>
              <w:t>Cada entrada usa el nombre accesible “Borrar”; no identifica la lectura.</w:t>
            </w:r>
          </w:p>
        </w:tc>
        <w:tc>
          <w:tcPr>
            <w:tcW w:type="dxa" w:w="2880"/>
            <w:vAlign w:val="top"/>
            <w:shd w:fill="F4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4"/>
              </w:rPr>
              <w:t>Usar “Borrar lectura del 12 de octubre” mediante aria-label.</w:t>
            </w:r>
          </w:p>
        </w:tc>
        <w:tc>
          <w:tcPr>
            <w:tcW w:type="dxa" w:w="792"/>
            <w:vAlign w:val="top"/>
            <w:shd w:fill="F4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4"/>
              </w:rPr>
              <w:t>Medio</w:t>
            </w:r>
          </w:p>
        </w:tc>
        <w:tc>
          <w:tcPr>
            <w:tcW w:type="dxa" w:w="792"/>
            <w:vAlign w:val="top"/>
            <w:shd w:fill="F4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4"/>
              </w:rPr>
              <w:t>Bajo</w:t>
            </w:r>
          </w:p>
        </w:tc>
      </w:tr>
      <w:tr>
        <w:trPr>
          <w:cantSplit/>
        </w:trPr>
        <w:tc>
          <w:tcPr>
            <w:tcW w:type="dxa" w:w="403"/>
            <w:vAlign w:val="top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4"/>
              </w:rPr>
              <w:t>13</w:t>
            </w:r>
          </w:p>
        </w:tc>
        <w:tc>
          <w:tcPr>
            <w:tcW w:type="dxa" w:w="893"/>
            <w:vAlign w:val="top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4"/>
              </w:rPr>
              <w:t>Baja</w:t>
            </w:r>
          </w:p>
        </w:tc>
        <w:tc>
          <w:tcPr>
            <w:tcW w:type="dxa" w:w="1512"/>
            <w:vAlign w:val="top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4"/>
              </w:rPr>
              <w:t>Atrás no representa el estado del juego</w:t>
            </w:r>
          </w:p>
        </w:tc>
        <w:tc>
          <w:tcPr>
            <w:tcW w:type="dxa" w:w="2232"/>
            <w:vAlign w:val="top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4"/>
              </w:rPr>
              <w:t>Inicio, tirada y diálogos no se registran en el historial del navegador.</w:t>
            </w:r>
          </w:p>
        </w:tc>
        <w:tc>
          <w:tcPr>
            <w:tcW w:type="dxa" w:w="2880"/>
            <w:vAlign w:val="top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4"/>
              </w:rPr>
              <w:t>Hacer que Atrás vuelva a la portada o cierre el diálogo antes de salir.</w:t>
            </w:r>
          </w:p>
        </w:tc>
        <w:tc>
          <w:tcPr>
            <w:tcW w:type="dxa" w:w="792"/>
            <w:vAlign w:val="top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4"/>
              </w:rPr>
              <w:t>Medio</w:t>
            </w:r>
          </w:p>
        </w:tc>
        <w:tc>
          <w:tcPr>
            <w:tcW w:type="dxa" w:w="792"/>
            <w:vAlign w:val="top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4"/>
              </w:rPr>
              <w:t>Medio</w:t>
            </w:r>
          </w:p>
        </w:tc>
      </w:tr>
    </w:tbl>
    <w:p>
      <w:pPr>
        <w:pStyle w:val="Heading1"/>
      </w:pPr>
      <w:r>
        <w:t>Cinco mejoras rápidas</w:t>
      </w:r>
    </w:p>
    <w:p>
      <w:pPr>
        <w:pStyle w:val="ListNumber"/>
      </w:pPr>
      <w:r>
        <w:t>Subir a 14 px el texto del significado en la tirada móvil de una carta.</w:t>
      </w:r>
    </w:p>
    <w:p>
      <w:pPr>
        <w:pStyle w:val="ListNumber"/>
      </w:pPr>
      <w:r>
        <w:t>Desactivar “Guardar en mi diario” después de guardar y ofrecer “Editar nota”.</w:t>
      </w:r>
    </w:p>
    <w:p>
      <w:pPr>
        <w:pStyle w:val="ListNumber"/>
      </w:pPr>
      <w:r>
        <w:t>Mostrar el progreso de la memoria: 0 de 2, 1 de 2 y activa.</w:t>
      </w:r>
    </w:p>
    <w:p>
      <w:pPr>
        <w:pStyle w:val="ListNumber"/>
      </w:pPr>
      <w:r>
        <w:t>Hacer específicos los nombres accesibles de Borrar y Favorita.</w:t>
      </w:r>
    </w:p>
    <w:p>
      <w:pPr>
        <w:pStyle w:val="ListNumber"/>
      </w:pPr>
      <w:r>
        <w:t>Añadir canonical, robots.txt y sitemap.xml con la dirección nueva.</w:t>
      </w:r>
    </w:p>
    <w:p>
      <w:pPr>
        <w:pStyle w:val="Heading1"/>
      </w:pPr>
      <w:r>
        <w:t>Hoja de ruta sugerida</w:t>
      </w:r>
    </w:p>
    <w:p>
      <w:r>
        <w:rPr>
          <w:b/>
        </w:rPr>
        <w:t>Tanda 1 · Claridad y fiabilidad</w:t>
        <w:br/>
      </w:r>
      <w:r>
        <w:t>Texto móvil, guardado único, progreso de memoria, aviso de error al guardar e instrucciones por dispositivo.</w:t>
      </w:r>
    </w:p>
    <w:p>
      <w:r>
        <w:rPr>
          <w:b/>
        </w:rPr>
        <w:t>Tanda 2 · Diario útil</w:t>
        <w:br/>
      </w:r>
      <w:r>
        <w:t>Filtros, búsqueda, edición de notas, exportación e importación y estados de historial.</w:t>
      </w:r>
    </w:p>
    <w:p>
      <w:r>
        <w:rPr>
          <w:b/>
        </w:rPr>
        <w:t>Tanda 3 · Crecimiento medible</w:t>
        <w:br/>
      </w:r>
      <w:r>
        <w:t>Carga progresiva de imágenes, SEO técnico, prueba con usuarios y medición mínima con consentimiento.</w:t>
      </w:r>
    </w:p>
    <w:p>
      <w:pPr>
        <w:pStyle w:val="Heading1"/>
      </w:pPr>
      <w:r>
        <w:t>Cambio de enlace y dominios</w:t>
      </w:r>
    </w:p>
    <w:p>
      <w:r>
        <w:rPr>
          <w:b/>
        </w:rPr>
        <w:t xml:space="preserve">Nuevo enlace de Sites: </w:t>
      </w:r>
      <w:r>
        <w:t>https://el-tarot-de-maria.dgimdiez77.chatgpt.site/</w:t>
      </w:r>
    </w:p>
    <w:p>
      <w:r>
        <w:rPr>
          <w:b/>
        </w:rPr>
        <w:t xml:space="preserve">Enlace anterior: </w:t>
      </w:r>
      <w:r>
        <w:t>responde con una redirección temporal 307 al nuevo enlace. Los enlaces ya compartidos continúan llegando al juego.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800"/>
            <w:shd w:fill="17384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b/>
                <w:color w:val="FFFFFF"/>
                <w:sz w:val="16"/>
              </w:rPr>
              <w:t>Nombre consultado</w:t>
            </w:r>
          </w:p>
        </w:tc>
        <w:tc>
          <w:tcPr>
            <w:tcW w:type="dxa" w:w="1440"/>
            <w:shd w:fill="17384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b/>
                <w:color w:val="FFFFFF"/>
                <w:sz w:val="16"/>
              </w:rPr>
              <w:t>Resultado</w:t>
            </w:r>
          </w:p>
        </w:tc>
        <w:tc>
          <w:tcPr>
            <w:tcW w:type="dxa" w:w="3888"/>
            <w:shd w:fill="17384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b/>
                <w:color w:val="FFFFFF"/>
                <w:sz w:val="16"/>
              </w:rPr>
              <w:t>Evidencia</w:t>
            </w:r>
          </w:p>
        </w:tc>
        <w:tc>
          <w:tcPr>
            <w:tcW w:type="dxa" w:w="3096"/>
            <w:shd w:fill="17384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b/>
                <w:color w:val="FFFFFF"/>
                <w:sz w:val="16"/>
              </w:rPr>
              <w:t>Recomendación</w:t>
            </w:r>
          </w:p>
        </w:tc>
      </w:tr>
      <w:tr>
        <w:trPr>
          <w:cantSplit/>
        </w:trPr>
        <w:tc>
          <w:tcPr>
            <w:tcW w:type="dxa" w:w="1800"/>
            <w:vAlign w:val="top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6"/>
              </w:rPr>
              <w:t>eltarotdemaria.com</w:t>
            </w:r>
          </w:p>
        </w:tc>
        <w:tc>
          <w:tcPr>
            <w:tcW w:type="dxa" w:w="1440"/>
            <w:vAlign w:val="top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6"/>
              </w:rPr>
              <w:t>No disponible</w:t>
            </w:r>
          </w:p>
        </w:tc>
        <w:tc>
          <w:tcPr>
            <w:tcW w:type="dxa" w:w="3888"/>
            <w:vAlign w:val="top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6"/>
              </w:rPr>
              <w:t>Registro oficial .com: alta el 03/12/2002 y vencimiento registrado el 03/12/2026.</w:t>
            </w:r>
          </w:p>
        </w:tc>
        <w:tc>
          <w:tcPr>
            <w:tcW w:type="dxa" w:w="3096"/>
            <w:vAlign w:val="top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6"/>
              </w:rPr>
              <w:t>Requeriría negociación con el titular.</w:t>
            </w:r>
          </w:p>
        </w:tc>
      </w:tr>
      <w:tr>
        <w:trPr>
          <w:cantSplit/>
        </w:trPr>
        <w:tc>
          <w:tcPr>
            <w:tcW w:type="dxa" w:w="1800"/>
            <w:vAlign w:val="top"/>
            <w:shd w:fill="F4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6"/>
              </w:rPr>
              <w:t>eltarotdemaria.es</w:t>
            </w:r>
          </w:p>
        </w:tc>
        <w:tc>
          <w:tcPr>
            <w:tcW w:type="dxa" w:w="1440"/>
            <w:vAlign w:val="top"/>
            <w:shd w:fill="F4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6"/>
              </w:rPr>
              <w:t>No disponible</w:t>
            </w:r>
          </w:p>
        </w:tc>
        <w:tc>
          <w:tcPr>
            <w:tcW w:type="dxa" w:w="3888"/>
            <w:vAlign w:val="top"/>
            <w:shd w:fill="F4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6"/>
              </w:rPr>
              <w:t>Tiene servidores DNS autoritativos de canaldominios.com; el nombre está delegado.</w:t>
            </w:r>
          </w:p>
        </w:tc>
        <w:tc>
          <w:tcPr>
            <w:tcW w:type="dxa" w:w="3096"/>
            <w:vAlign w:val="top"/>
            <w:shd w:fill="F4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6"/>
              </w:rPr>
              <w:t>No intentar comprarlo como dominio libre.</w:t>
            </w:r>
          </w:p>
        </w:tc>
      </w:tr>
      <w:tr>
        <w:trPr>
          <w:cantSplit/>
        </w:trPr>
        <w:tc>
          <w:tcPr>
            <w:tcW w:type="dxa" w:w="1800"/>
            <w:vAlign w:val="top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6"/>
              </w:rPr>
              <w:t>eltarotdemaría.com</w:t>
            </w:r>
          </w:p>
        </w:tc>
        <w:tc>
          <w:tcPr>
            <w:tcW w:type="dxa" w:w="1440"/>
            <w:vAlign w:val="top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6"/>
              </w:rPr>
              <w:t>Parece disponible</w:t>
            </w:r>
          </w:p>
        </w:tc>
        <w:tc>
          <w:tcPr>
            <w:tcW w:type="dxa" w:w="3888"/>
            <w:vAlign w:val="top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6"/>
              </w:rPr>
              <w:t>La forma IDN devuelve “no encontrado” en RDAP .com y no presenta servidores DNS.</w:t>
            </w:r>
          </w:p>
        </w:tc>
        <w:tc>
          <w:tcPr>
            <w:tcW w:type="dxa" w:w="3096"/>
            <w:vAlign w:val="top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6"/>
              </w:rPr>
              <w:t>Confirmar en el registrador. Forma técnica: xn--eltarotdemara-7ib.com.</w:t>
            </w:r>
          </w:p>
        </w:tc>
      </w:tr>
      <w:tr>
        <w:trPr>
          <w:cantSplit/>
        </w:trPr>
        <w:tc>
          <w:tcPr>
            <w:tcW w:type="dxa" w:w="1800"/>
            <w:vAlign w:val="top"/>
            <w:shd w:fill="F4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6"/>
              </w:rPr>
              <w:t>eltarotdemaría.es</w:t>
            </w:r>
          </w:p>
        </w:tc>
        <w:tc>
          <w:tcPr>
            <w:tcW w:type="dxa" w:w="1440"/>
            <w:vAlign w:val="top"/>
            <w:shd w:fill="F4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6"/>
              </w:rPr>
              <w:t>Parece disponible</w:t>
            </w:r>
          </w:p>
        </w:tc>
        <w:tc>
          <w:tcPr>
            <w:tcW w:type="dxa" w:w="3888"/>
            <w:vAlign w:val="top"/>
            <w:shd w:fill="F4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6"/>
              </w:rPr>
              <w:t>No presenta servidores DNS en la consulta realizada.</w:t>
            </w:r>
          </w:p>
        </w:tc>
        <w:tc>
          <w:tcPr>
            <w:tcW w:type="dxa" w:w="3096"/>
            <w:vAlign w:val="top"/>
            <w:shd w:fill="F4F6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sz w:val="16"/>
              </w:rPr>
              <w:t>Confirmar en Dominios.es. Forma técnica: xn--eltarotdemara-7ib.es.</w:t>
            </w:r>
          </w:p>
        </w:tc>
      </w:tr>
    </w:tbl>
    <w:p>
      <w:r>
        <w:rPr>
          <w:b/>
        </w:rPr>
        <w:t xml:space="preserve">Criterio: </w:t>
      </w:r>
      <w:r>
        <w:t>conviene usar un dominio sin tilde como dirección principal porque es más fácil de dictar, escribir y compartir. Como los dos nombres sin tilde están ocupados, antes de comprar la versión acentuada merece la pena comparar alternativas cortas sin tilde.</w:t>
      </w:r>
    </w:p>
    <w:p>
      <w:pPr>
        <w:pStyle w:val="Heading1"/>
      </w:pPr>
      <w:r>
        <w:t>Fuentes y límites</w:t>
      </w:r>
    </w:p>
    <w:p>
      <w:pPr>
        <w:pStyle w:val="ListBullet"/>
      </w:pPr>
      <w:r>
        <w:t>Revisión directa del sitio público y de sus pantallas el 13 de octubre de 2026.</w:t>
      </w:r>
    </w:p>
    <w:p>
      <w:pPr>
        <w:pStyle w:val="ListBullet"/>
      </w:pPr>
      <w:r>
        <w:t>Código correspondiente a la versión 26 y cuatro pruebas automatizadas superadas.</w:t>
      </w:r>
    </w:p>
    <w:p>
      <w:pPr>
        <w:pStyle w:val="ListBullet"/>
      </w:pPr>
      <w:r>
        <w:t>Verisign RDAP para .com: https://rdap.verisign.com/com/v1/domain/eltarotdemaria.com</w:t>
      </w:r>
    </w:p>
    <w:p>
      <w:pPr>
        <w:pStyle w:val="ListBullet"/>
      </w:pPr>
      <w:r>
        <w:t>Dominios.es como buscador oficial de .es: https://www.dominios.es/es</w:t>
      </w:r>
    </w:p>
    <w:p>
      <w:pPr>
        <w:pStyle w:val="ListBullet"/>
      </w:pPr>
      <w:r>
        <w:t>Consultas DNS para .es y para las variantes con tilde convertidas a IDN.</w:t>
      </w:r>
    </w:p>
    <w:p>
      <w:r>
        <w:rPr>
          <w:b/>
        </w:rPr>
        <w:t xml:space="preserve">Límite: </w:t>
      </w:r>
      <w:r>
        <w:t>la disponibilidad de un dominio puede cambiar en cualquier momento. Una consulta no lo reserva. El precio y la disponibilidad deben confirmarse en el registrador elegido antes de comprar.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B696F"/>
        <w:sz w:val="16"/>
      </w:rPr>
      <w:t>EL TAROT DE MARÍA  ·  AUDITORÍA DE EXPERIENCIA WEB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0231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8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8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8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 w:val="0"/>
      <w:color w:val="17384A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Auditoría web de EL TAROT DE MARÍA</dc:title>
  <dc:subject>Experiencia de usuario, accesibilidad, conversión, SEO y dominios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