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437C" w14:textId="4A779365" w:rsidR="001C02F2" w:rsidRPr="008F7D1E" w:rsidRDefault="001C02F2" w:rsidP="00BF6856">
      <w:pPr>
        <w:spacing w:before="240" w:after="0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Milano, </w:t>
      </w:r>
      <w:r w:rsidR="0041250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20</w:t>
      </w:r>
      <w:r w:rsidR="00627FF4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gennaio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202</w:t>
      </w:r>
      <w:r w:rsidR="00627FF4" w:rsidRPr="008F7D1E">
        <w:rPr>
          <w:rFonts w:ascii="Verdana" w:hAnsi="Verdana"/>
          <w:color w:val="2A2828" w:themeColor="text1"/>
          <w:sz w:val="22"/>
          <w:szCs w:val="22"/>
          <w:lang w:val="it-IT"/>
        </w:rPr>
        <w:t>2</w:t>
      </w:r>
    </w:p>
    <w:p w14:paraId="1CF3EEF6" w14:textId="77777777" w:rsidR="00DE4450" w:rsidRPr="008F7D1E" w:rsidRDefault="00DE4450" w:rsidP="00BF6856">
      <w:pPr>
        <w:pBdr>
          <w:bottom w:val="single" w:sz="4" w:space="1" w:color="auto"/>
        </w:pBdr>
        <w:spacing w:before="240" w:after="0"/>
        <w:rPr>
          <w:rFonts w:ascii="Verdana" w:hAnsi="Verdana"/>
          <w:b/>
          <w:bCs/>
          <w:color w:val="2A2828" w:themeColor="text1"/>
          <w:lang w:val="it-IT"/>
        </w:rPr>
      </w:pPr>
    </w:p>
    <w:p w14:paraId="5BE2A85D" w14:textId="1451B0AF" w:rsidR="001C02F2" w:rsidRPr="008F7D1E" w:rsidRDefault="001C02F2" w:rsidP="00BF6856">
      <w:pPr>
        <w:pBdr>
          <w:bottom w:val="single" w:sz="4" w:space="1" w:color="auto"/>
        </w:pBdr>
        <w:spacing w:before="240" w:after="0"/>
        <w:rPr>
          <w:rFonts w:ascii="Verdana" w:hAnsi="Verdana"/>
          <w:b/>
          <w:bCs/>
          <w:color w:val="2A2828" w:themeColor="text1"/>
          <w:lang w:val="it-IT"/>
        </w:rPr>
      </w:pPr>
      <w:r w:rsidRPr="008F7D1E">
        <w:rPr>
          <w:rFonts w:ascii="Verdana" w:hAnsi="Verdana"/>
          <w:b/>
          <w:bCs/>
          <w:color w:val="2A2828" w:themeColor="text1"/>
          <w:lang w:val="it-IT"/>
        </w:rPr>
        <w:t>Presentazione del report trimestrale del Digital Gold Institute</w:t>
      </w:r>
    </w:p>
    <w:p w14:paraId="683266F1" w14:textId="5F676A93" w:rsidR="00412500" w:rsidRPr="008F7D1E" w:rsidRDefault="00412500" w:rsidP="00412500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Si è svolta ieri la presentazione della dodicesima edizione del report trimestrale su ecosistema Bitcoin, crypto-asset e blockchain curato dal Digital Gold Institute, il principale </w:t>
      </w:r>
      <w:r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think tank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italiano dedicato al fenomeno bitcoin e alla scarsità in ambito digitale. La registrazione dell’evento e le slide presentate sono disponibili sul sito dell’Istituto (</w:t>
      </w:r>
      <w:hyperlink r:id="rId11" w:history="1">
        <w:r w:rsidR="00FE4750" w:rsidRPr="002D23C7">
          <w:rPr>
            <w:rStyle w:val="Hyperlink"/>
            <w:rFonts w:ascii="Verdana" w:hAnsi="Verdana"/>
            <w:sz w:val="22"/>
            <w:szCs w:val="22"/>
            <w:lang w:val="it-IT"/>
          </w:rPr>
          <w:t>www.dgi.io/reports</w:t>
        </w:r>
      </w:hyperlink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), dove entro fine mese sarà disponibile 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anche 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il 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vero e proprio 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report 2021Q4.</w:t>
      </w:r>
    </w:p>
    <w:p w14:paraId="70A40EAE" w14:textId="04983938" w:rsidR="00412500" w:rsidRPr="008F7D1E" w:rsidRDefault="00412500" w:rsidP="00412500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“</w:t>
      </w:r>
      <w:r w:rsidR="00094A13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Il 2021 è stato un anno di straordinaria crescita per i cosiddetti </w:t>
      </w:r>
      <w:r w:rsidR="00094A13"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crypto</w:t>
      </w:r>
      <w:r w:rsidR="00077690"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-</w:t>
      </w:r>
      <w:r w:rsidR="00094A13"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asset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- ha dichiarato </w:t>
      </w:r>
      <w:r w:rsidRPr="008F7D1E">
        <w:rPr>
          <w:rFonts w:ascii="Verdana" w:hAnsi="Verdana"/>
          <w:b/>
          <w:bCs/>
          <w:color w:val="2A2828" w:themeColor="text1"/>
          <w:sz w:val="22"/>
          <w:szCs w:val="22"/>
          <w:lang w:val="it-IT"/>
        </w:rPr>
        <w:t>Ferdinando M. Ametrano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, Direttore Scientifico del DGI e docente di Bitcoin and Blockchain Technology </w:t>
      </w:r>
      <w:r w:rsidR="00FE4750">
        <w:rPr>
          <w:rFonts w:ascii="Verdana" w:hAnsi="Verdana"/>
          <w:color w:val="2A2828" w:themeColor="text1"/>
          <w:sz w:val="22"/>
          <w:szCs w:val="22"/>
          <w:lang w:val="it-IT"/>
        </w:rPr>
        <w:t>in diverse università italiane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- </w:t>
      </w:r>
      <w:r w:rsidR="00094A13" w:rsidRPr="008F7D1E">
        <w:rPr>
          <w:rFonts w:ascii="Verdana" w:hAnsi="Verdana"/>
          <w:color w:val="2A2828" w:themeColor="text1"/>
          <w:sz w:val="22"/>
          <w:szCs w:val="22"/>
          <w:lang w:val="it-IT"/>
        </w:rPr>
        <w:t>Bitcoin, la prima e tuttora più rilevante tra le criptovalute, ha realizzato una performance d</w:t>
      </w:r>
      <w:r w:rsidR="00FE4750">
        <w:rPr>
          <w:rFonts w:ascii="Verdana" w:hAnsi="Verdana"/>
          <w:color w:val="2A2828" w:themeColor="text1"/>
          <w:sz w:val="22"/>
          <w:szCs w:val="22"/>
          <w:lang w:val="it-IT"/>
        </w:rPr>
        <w:t>i circa il</w:t>
      </w:r>
      <w:r w:rsidR="00094A13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60% ed ha raggiunto un controvalore di oltre un trilione di dollari. Ether, la criptovaluta nativa della piattaforma Ethereum, ha realizzato addirittura un rendimento di quasi il 400%, trainat</w:t>
      </w:r>
      <w:r w:rsidR="006D0D5D">
        <w:rPr>
          <w:rFonts w:ascii="Verdana" w:hAnsi="Verdana"/>
          <w:color w:val="2A2828" w:themeColor="text1"/>
          <w:sz w:val="22"/>
          <w:szCs w:val="22"/>
          <w:lang w:val="it-IT"/>
        </w:rPr>
        <w:t>a</w:t>
      </w:r>
      <w:r w:rsidR="00094A13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dal fenomeno dei non-fungible-token (NTF) e della Decentralized Finance (DeFi). I crypto-asset alternativi, spinti da NFT/DeFi/stablecoin e sostenuti da una liquidità gigantesca in cerca di rendimento, continueranno probabilmente a crescere più di Bitcoin, a meno di uno stop violento dovuto a crash tecnologici, crack finanziari o strette regolamentari. Difficile dire quanto a lungo possa durare il fenomeno. </w:t>
      </w:r>
      <w:r w:rsidR="00EB3AAF" w:rsidRPr="008F7D1E">
        <w:rPr>
          <w:rFonts w:ascii="Verdana" w:hAnsi="Verdana"/>
          <w:color w:val="2A2828" w:themeColor="text1"/>
          <w:sz w:val="22"/>
          <w:szCs w:val="22"/>
          <w:lang w:val="it-IT"/>
        </w:rPr>
        <w:t>Bitcoin e la sua progressiva finanziarizzazione rappresenteranno invece probabilmente la scelta conservativa, condensando la crescente domanda per un bene rifugio che possa rappresentare l’equivalente digitale dell’oro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”.</w:t>
      </w:r>
    </w:p>
    <w:p w14:paraId="60D40EF6" w14:textId="34D1B017" w:rsidR="00412500" w:rsidRPr="008F7D1E" w:rsidRDefault="00412500" w:rsidP="00412500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“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I crypto-asset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- aggiunge </w:t>
      </w:r>
      <w:r w:rsidR="00676480" w:rsidRPr="008F7D1E">
        <w:rPr>
          <w:rFonts w:ascii="Verdana" w:hAnsi="Verdana"/>
          <w:b/>
          <w:bCs/>
          <w:color w:val="2A2828" w:themeColor="text1"/>
          <w:sz w:val="22"/>
          <w:szCs w:val="22"/>
          <w:lang w:val="it-IT"/>
        </w:rPr>
        <w:t>Maria Sterpeta Balzano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, Director di Deloitte Risk Advisory 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–</w:t>
      </w:r>
      <w:r w:rsidR="00036425" w:rsidRPr="00036425">
        <w:rPr>
          <w:lang w:val="it-IT"/>
        </w:rPr>
        <w:t xml:space="preserve"> </w:t>
      </w:r>
      <w:r w:rsidR="00036425" w:rsidRPr="00036425">
        <w:rPr>
          <w:rFonts w:ascii="Verdana" w:hAnsi="Verdana"/>
          <w:color w:val="2A2828" w:themeColor="text1"/>
          <w:sz w:val="22"/>
          <w:szCs w:val="22"/>
          <w:lang w:val="it-IT"/>
        </w:rPr>
        <w:t xml:space="preserve">pongono sfide nuove, tecnologiche e concettuali, ma anche caratteristiche di trasparenza, affidabilità e resilienza, che facilitano l’indirizzamento dei nuovi rischi emergenti ad essi associati. In questo contesto i modelli e processi tradizionali necessitano di essere rivistati, con il supporto </w:t>
      </w:r>
      <w:r w:rsidR="00156D40">
        <w:rPr>
          <w:rFonts w:ascii="Verdana" w:hAnsi="Verdana"/>
          <w:color w:val="2A2828" w:themeColor="text1"/>
          <w:sz w:val="22"/>
          <w:szCs w:val="22"/>
          <w:lang w:val="it-IT"/>
        </w:rPr>
        <w:t>di</w:t>
      </w:r>
      <w:r w:rsidR="00036425" w:rsidRPr="00036425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nuove best practice e nuovi framework dei controlli di riferimento. </w:t>
      </w:r>
      <w:r w:rsidR="007C63DC" w:rsidRPr="00036425">
        <w:rPr>
          <w:rFonts w:ascii="Verdana" w:hAnsi="Verdana"/>
          <w:color w:val="2A2828" w:themeColor="text1"/>
          <w:sz w:val="22"/>
          <w:szCs w:val="22"/>
          <w:lang w:val="it-IT"/>
        </w:rPr>
        <w:t xml:space="preserve">Ad </w:t>
      </w:r>
      <w:r w:rsidR="007C63DC" w:rsidRPr="00036425">
        <w:rPr>
          <w:rFonts w:ascii="Verdana" w:hAnsi="Verdana"/>
          <w:color w:val="2A2828" w:themeColor="text1"/>
          <w:sz w:val="22"/>
          <w:szCs w:val="22"/>
          <w:lang w:val="it-IT"/>
        </w:rPr>
        <w:lastRenderedPageBreak/>
        <w:t>esempio,</w:t>
      </w:r>
      <w:r w:rsidR="00036425" w:rsidRPr="00036425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le attestazioni SOC (Service Organization Control) sono ormai diventate il punto distintivo delle aziende più evolute ed attente agli aspetti regolamentari ed alla robustezza del proprio sistema dei controlli. Deloitte è impegnata </w:t>
      </w:r>
      <w:r w:rsidR="00F45AFB">
        <w:rPr>
          <w:rFonts w:ascii="Verdana" w:hAnsi="Verdana"/>
          <w:color w:val="2A2828" w:themeColor="text1"/>
          <w:sz w:val="22"/>
          <w:szCs w:val="22"/>
          <w:lang w:val="it-IT"/>
        </w:rPr>
        <w:t xml:space="preserve">su questi fronti </w:t>
      </w:r>
      <w:r w:rsidR="00036425" w:rsidRPr="00036425">
        <w:rPr>
          <w:rFonts w:ascii="Verdana" w:hAnsi="Verdana"/>
          <w:color w:val="2A2828" w:themeColor="text1"/>
          <w:sz w:val="22"/>
          <w:szCs w:val="22"/>
          <w:lang w:val="it-IT"/>
        </w:rPr>
        <w:t>nel fornire intelligence, presidi ed attestazioni.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”</w:t>
      </w:r>
    </w:p>
    <w:p w14:paraId="424EE6FB" w14:textId="7A239CA3" w:rsidR="00412500" w:rsidRPr="008F7D1E" w:rsidRDefault="00412500" w:rsidP="00412500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Al termine dell’evento pubblico è seguito un dibattito riservato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(</w:t>
      </w:r>
      <w:hyperlink r:id="rId12" w:history="1">
        <w:r w:rsidR="00077690" w:rsidRPr="00C82304">
          <w:rPr>
            <w:rStyle w:val="Hyperlink"/>
            <w:rFonts w:ascii="Verdana" w:hAnsi="Verdana"/>
            <w:i/>
            <w:iCs/>
            <w:sz w:val="22"/>
            <w:szCs w:val="22"/>
            <w:lang w:val="it-IT"/>
          </w:rPr>
          <w:t>Cha</w:t>
        </w:r>
        <w:r w:rsidR="008F7D1E" w:rsidRPr="00C82304">
          <w:rPr>
            <w:rStyle w:val="Hyperlink"/>
            <w:rFonts w:ascii="Verdana" w:hAnsi="Verdana"/>
            <w:i/>
            <w:iCs/>
            <w:sz w:val="22"/>
            <w:szCs w:val="22"/>
            <w:lang w:val="it-IT"/>
          </w:rPr>
          <w:t>tham House Rule</w:t>
        </w:r>
      </w:hyperlink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)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, </w:t>
      </w:r>
      <w:r w:rsidR="002D2BE8">
        <w:rPr>
          <w:rFonts w:ascii="Verdana" w:hAnsi="Verdana"/>
          <w:color w:val="2A2828" w:themeColor="text1"/>
          <w:sz w:val="22"/>
          <w:szCs w:val="22"/>
          <w:lang w:val="it-IT"/>
        </w:rPr>
        <w:t>a cui hanno partecipato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</w:t>
      </w:r>
      <w:r w:rsidR="00C82304">
        <w:rPr>
          <w:rFonts w:ascii="Verdana" w:hAnsi="Verdana"/>
          <w:color w:val="2A2828" w:themeColor="text1"/>
          <w:sz w:val="22"/>
          <w:szCs w:val="22"/>
          <w:lang w:val="it-IT"/>
        </w:rPr>
        <w:t xml:space="preserve">oltre 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cento</w:t>
      </w:r>
      <w:r w:rsidR="00037E9F">
        <w:rPr>
          <w:rFonts w:ascii="Verdana" w:hAnsi="Verdana"/>
          <w:color w:val="2A2828" w:themeColor="text1"/>
          <w:sz w:val="22"/>
          <w:szCs w:val="22"/>
          <w:lang w:val="it-IT"/>
        </w:rPr>
        <w:t>cinquanta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esponenti del mondo politico, finanziario, industriale, accademico, consulenziale e giornalistico. Gli interventi hanno toccato diversi temi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, ma si sono fortemente incentrati sugli NFT, confermandone ilo speciale momento di attenzione e interesse.</w:t>
      </w:r>
    </w:p>
    <w:p w14:paraId="0C939406" w14:textId="77E8A361" w:rsidR="005A0943" w:rsidRPr="008F7D1E" w:rsidRDefault="00412500" w:rsidP="005A0943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Il report DGI è trimestrale: l’edizione del 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primo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trimestre 202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2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sarà presentata in anteprima il prossimo</w:t>
      </w:r>
      <w:r w:rsidR="00077690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12</w:t>
      </w:r>
      <w:r w:rsidR="00676480" w:rsidRPr="008F7D1E">
        <w:rPr>
          <w:rFonts w:ascii="Verdana" w:hAnsi="Verdana"/>
          <w:color w:val="FF0000"/>
          <w:sz w:val="22"/>
          <w:szCs w:val="22"/>
          <w:lang w:val="it-IT"/>
        </w:rPr>
        <w:t xml:space="preserve"> </w:t>
      </w:r>
      <w:r w:rsidR="00676480" w:rsidRPr="008F7D1E">
        <w:rPr>
          <w:rFonts w:ascii="Verdana" w:hAnsi="Verdana"/>
          <w:color w:val="2A2828" w:themeColor="text1"/>
          <w:sz w:val="22"/>
          <w:szCs w:val="22"/>
          <w:lang w:val="it-IT"/>
        </w:rPr>
        <w:t>aprile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.</w:t>
      </w:r>
    </w:p>
    <w:p w14:paraId="2F1AF960" w14:textId="77777777" w:rsidR="008F7D1E" w:rsidRPr="008F7D1E" w:rsidRDefault="008F7D1E" w:rsidP="00676480">
      <w:pPr>
        <w:pBdr>
          <w:bottom w:val="single" w:sz="4" w:space="1" w:color="auto"/>
        </w:pBdr>
        <w:tabs>
          <w:tab w:val="left" w:pos="3260"/>
        </w:tabs>
        <w:spacing w:before="240" w:after="0"/>
        <w:rPr>
          <w:rFonts w:ascii="Verdana" w:hAnsi="Verdana"/>
          <w:b/>
          <w:bCs/>
          <w:color w:val="2A2828" w:themeColor="text1"/>
          <w:lang w:val="it-IT"/>
        </w:rPr>
      </w:pPr>
    </w:p>
    <w:p w14:paraId="1341BC38" w14:textId="2994089B" w:rsidR="001C02F2" w:rsidRPr="008F7D1E" w:rsidRDefault="001C02F2" w:rsidP="00676480">
      <w:pPr>
        <w:pBdr>
          <w:bottom w:val="single" w:sz="4" w:space="1" w:color="auto"/>
        </w:pBdr>
        <w:tabs>
          <w:tab w:val="left" w:pos="3260"/>
        </w:tabs>
        <w:spacing w:before="240" w:after="0"/>
        <w:rPr>
          <w:rFonts w:ascii="Verdana" w:hAnsi="Verdana"/>
          <w:b/>
          <w:bCs/>
          <w:color w:val="2A2828" w:themeColor="text1"/>
          <w:lang w:val="it-IT"/>
        </w:rPr>
      </w:pPr>
      <w:r w:rsidRPr="008F7D1E">
        <w:rPr>
          <w:rFonts w:ascii="Verdana" w:hAnsi="Verdana"/>
          <w:b/>
          <w:bCs/>
          <w:color w:val="2A2828" w:themeColor="text1"/>
          <w:lang w:val="it-IT"/>
        </w:rPr>
        <w:t>Informazioni e contatti</w:t>
      </w:r>
      <w:r w:rsidR="00676480" w:rsidRPr="008F7D1E">
        <w:rPr>
          <w:rFonts w:ascii="Verdana" w:hAnsi="Verdana"/>
          <w:b/>
          <w:bCs/>
          <w:color w:val="2A2828" w:themeColor="text1"/>
          <w:lang w:val="it-IT"/>
        </w:rPr>
        <w:tab/>
      </w:r>
    </w:p>
    <w:p w14:paraId="5BDE640B" w14:textId="22F15251" w:rsidR="001C02F2" w:rsidRPr="008F7D1E" w:rsidRDefault="001C02F2" w:rsidP="00BF6856">
      <w:pPr>
        <w:spacing w:before="240" w:after="0"/>
        <w:jc w:val="both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>Fondato nel 2018, il Digital Gold Institute (</w:t>
      </w:r>
      <w:r w:rsidRPr="008F7D1E">
        <w:rPr>
          <w:rFonts w:ascii="Verdana" w:hAnsi="Verdana"/>
          <w:sz w:val="22"/>
          <w:szCs w:val="22"/>
          <w:lang w:val="it-IT"/>
        </w:rPr>
        <w:t>www.dgi.io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) è il principale </w:t>
      </w:r>
      <w:r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think tank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italiano dedicato al fenomeno </w:t>
      </w:r>
      <w:r w:rsidR="00401C91" w:rsidRPr="008F7D1E">
        <w:rPr>
          <w:rFonts w:ascii="Verdana" w:hAnsi="Verdana"/>
          <w:color w:val="2A2828" w:themeColor="text1"/>
          <w:sz w:val="22"/>
          <w:szCs w:val="22"/>
          <w:lang w:val="it-IT"/>
        </w:rPr>
        <w:t>B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itcoin inteso come esperimento per la creazione della scarsità in ambito digitale. L’Istituto promuove queste tematiche nel dibattito pubblico e nel mondo accademico attraverso ricerca e sviluppo, formazione, consulenza operativa e strategica. In partnership con l’Università degli Studi di Milano-Bicocca, DGI è membro fondatore del </w:t>
      </w:r>
      <w:hyperlink r:id="rId13" w:history="1">
        <w:r w:rsidRPr="008F7D1E">
          <w:rPr>
            <w:rStyle w:val="Hyperlink"/>
            <w:rFonts w:ascii="Verdana" w:hAnsi="Verdana"/>
            <w:sz w:val="22"/>
            <w:szCs w:val="22"/>
            <w:lang w:val="it-IT"/>
          </w:rPr>
          <w:t>Crypto Asset Lab</w:t>
        </w:r>
      </w:hyperlink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, la cui </w:t>
      </w:r>
      <w:hyperlink r:id="rId14" w:history="1">
        <w:r w:rsidRPr="00B177C6">
          <w:rPr>
            <w:rStyle w:val="Hyperlink"/>
            <w:rFonts w:ascii="Verdana" w:hAnsi="Verdana"/>
            <w:sz w:val="22"/>
            <w:szCs w:val="22"/>
            <w:lang w:val="it-IT"/>
          </w:rPr>
          <w:t>conferenza annuale</w:t>
        </w:r>
      </w:hyperlink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è co-organizzata assieme alla direzione</w:t>
      </w:r>
      <w:r w:rsidR="007607E5"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generale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</w:t>
      </w:r>
      <w:r w:rsidR="007606F9"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Joint Research Center</w:t>
      </w:r>
      <w:r w:rsidRPr="008F7D1E">
        <w:rPr>
          <w:rFonts w:ascii="Verdana" w:hAnsi="Verdana"/>
          <w:color w:val="2A2828" w:themeColor="text1"/>
          <w:sz w:val="22"/>
          <w:szCs w:val="22"/>
          <w:lang w:val="it-IT"/>
        </w:rPr>
        <w:t xml:space="preserve"> della Commissione Europea.</w:t>
      </w:r>
    </w:p>
    <w:p w14:paraId="22325723" w14:textId="77777777" w:rsidR="005A0943" w:rsidRPr="008F7D1E" w:rsidRDefault="005A0943" w:rsidP="00BF6856">
      <w:pPr>
        <w:spacing w:before="240" w:after="0"/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</w:pPr>
    </w:p>
    <w:p w14:paraId="626E0776" w14:textId="7693E12C" w:rsidR="0055216F" w:rsidRPr="008F7D1E" w:rsidRDefault="001C02F2" w:rsidP="00BF6856">
      <w:pPr>
        <w:spacing w:before="240" w:after="0"/>
        <w:rPr>
          <w:rFonts w:ascii="Verdana" w:hAnsi="Verdana"/>
          <w:color w:val="2A2828" w:themeColor="text1"/>
          <w:sz w:val="22"/>
          <w:szCs w:val="22"/>
          <w:lang w:val="it-IT"/>
        </w:rPr>
      </w:pPr>
      <w:r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t>General Inquiry</w:t>
      </w:r>
      <w:r w:rsidR="00BF6856" w:rsidRPr="008F7D1E">
        <w:rPr>
          <w:rFonts w:ascii="Verdana" w:hAnsi="Verdana"/>
          <w:i/>
          <w:iCs/>
          <w:color w:val="2A2828" w:themeColor="text1"/>
          <w:sz w:val="22"/>
          <w:szCs w:val="22"/>
          <w:lang w:val="it-IT"/>
        </w:rPr>
        <w:br/>
      </w:r>
      <w:hyperlink r:id="rId15" w:history="1">
        <w:r w:rsidR="00DE4450" w:rsidRPr="008F7D1E">
          <w:rPr>
            <w:rStyle w:val="Hyperlink"/>
            <w:rFonts w:ascii="Verdana" w:hAnsi="Verdana"/>
            <w:sz w:val="22"/>
            <w:szCs w:val="22"/>
            <w:lang w:val="it-IT"/>
          </w:rPr>
          <w:t>info@dgi.io</w:t>
        </w:r>
      </w:hyperlink>
    </w:p>
    <w:sectPr w:rsidR="0055216F" w:rsidRPr="008F7D1E" w:rsidSect="005A0943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2552" w:right="964" w:bottom="1701" w:left="9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26AA" w14:textId="77777777" w:rsidR="00B01310" w:rsidRDefault="00B01310">
      <w:pPr>
        <w:spacing w:before="0" w:after="0" w:line="240" w:lineRule="auto"/>
      </w:pPr>
      <w:r>
        <w:separator/>
      </w:r>
    </w:p>
    <w:p w14:paraId="092D0F3E" w14:textId="77777777" w:rsidR="00B01310" w:rsidRDefault="00B01310"/>
    <w:p w14:paraId="20AE7BF1" w14:textId="77777777" w:rsidR="00B01310" w:rsidRDefault="00B01310"/>
    <w:p w14:paraId="60D58BCA" w14:textId="77777777" w:rsidR="00B01310" w:rsidRDefault="00B01310"/>
  </w:endnote>
  <w:endnote w:type="continuationSeparator" w:id="0">
    <w:p w14:paraId="46632E34" w14:textId="77777777" w:rsidR="00B01310" w:rsidRDefault="00B01310">
      <w:pPr>
        <w:spacing w:before="0" w:after="0" w:line="240" w:lineRule="auto"/>
      </w:pPr>
      <w:r>
        <w:continuationSeparator/>
      </w:r>
    </w:p>
    <w:p w14:paraId="65F063B8" w14:textId="77777777" w:rsidR="00B01310" w:rsidRDefault="00B01310"/>
    <w:p w14:paraId="522E7A16" w14:textId="77777777" w:rsidR="00B01310" w:rsidRDefault="00B01310"/>
    <w:p w14:paraId="5C0E7B94" w14:textId="77777777" w:rsidR="00B01310" w:rsidRDefault="00B01310"/>
  </w:endnote>
  <w:endnote w:type="continuationNotice" w:id="1">
    <w:p w14:paraId="665492A5" w14:textId="77777777" w:rsidR="00B01310" w:rsidRDefault="00B013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5BE4" w14:textId="256F7983" w:rsidR="001F1FB6" w:rsidRPr="00676480" w:rsidRDefault="00676480" w:rsidP="00676480">
    <w:r w:rsidRPr="00FB2EB0">
      <w:rPr>
        <w:rFonts w:ascii="Verdana" w:hAnsi="Verdana"/>
        <w:noProof/>
        <w:color w:val="FFFFFF" w:themeColor="background1"/>
        <w:sz w:val="18"/>
        <w:szCs w:val="18"/>
        <w:lang w:val="it-IT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CB42F54" wp14:editId="3CC7F08C">
              <wp:simplePos x="0" y="0"/>
              <wp:positionH relativeFrom="page">
                <wp:posOffset>-17855</wp:posOffset>
              </wp:positionH>
              <wp:positionV relativeFrom="page">
                <wp:posOffset>9864090</wp:posOffset>
              </wp:positionV>
              <wp:extent cx="7560000" cy="85153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5153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1C77F" w14:textId="17DC8E28" w:rsidR="00676480" w:rsidRPr="00FB2EB0" w:rsidRDefault="00676480" w:rsidP="00EA5212">
                          <w:pPr>
                            <w:spacing w:before="120" w:line="288" w:lineRule="auto"/>
                            <w:ind w:left="851"/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it-IT"/>
                            </w:rPr>
                          </w:pPr>
                          <w:r w:rsidRPr="00EA5212">
                            <w:rPr>
                              <w:rFonts w:ascii="Verdana" w:hAnsi="Verdan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Digital Gold Institute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 xml:space="preserve"> s.r.l.</w:t>
                          </w:r>
                          <w:r w:rsidR="001476F2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Via Giovanni Battista Pirelli, 11, 20124 Milano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</w:r>
                          <w:hyperlink r:id="rId1" w:history="1">
                            <w:r w:rsidR="00AD7DBC" w:rsidRPr="00AD7DBC">
                              <w:rPr>
                                <w:rStyle w:val="Hyperlink"/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it-IT"/>
                              </w:rPr>
                              <w:t>www.dgi.io</w:t>
                            </w:r>
                          </w:hyperlink>
                          <w:r w:rsidRPr="00AD7DBC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 xml:space="preserve"> </w:t>
                          </w:r>
                          <w:r w:rsidR="00AD7DBC" w:rsidRPr="00AD7DBC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 xml:space="preserve">| </w:t>
                          </w:r>
                          <w:hyperlink r:id="rId2" w:history="1">
                            <w:r w:rsidR="00AD7DBC" w:rsidRPr="00AD7DBC">
                              <w:rPr>
                                <w:rStyle w:val="Hyperlink"/>
                                <w:rFonts w:ascii="Verdana" w:hAnsi="Verdana"/>
                                <w:color w:val="FFFFFF" w:themeColor="background1"/>
                                <w:sz w:val="18"/>
                                <w:szCs w:val="18"/>
                                <w:lang w:val="it-IT"/>
                              </w:rPr>
                              <w:t>info@dgi.io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42F54" id="Rectangle 4" o:spid="_x0000_s1027" style="position:absolute;margin-left:-1.4pt;margin-top:776.7pt;width:595.3pt;height:67.0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" fillcolor="#f1af09 [3204]" stroked="f" strokeweight="1pt">
              <v:textbox>
                <w:txbxContent>
                  <w:p w14:paraId="2761C77F" w14:textId="17DC8E28" w:rsidR="00676480" w:rsidRPr="00FB2EB0" w:rsidRDefault="00676480" w:rsidP="00EA5212">
                    <w:pPr>
                      <w:spacing w:before="120" w:line="288" w:lineRule="auto"/>
                      <w:ind w:left="851"/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it-IT"/>
                      </w:rPr>
                    </w:pPr>
                    <w:r w:rsidRPr="00EA5212">
                      <w:rPr>
                        <w:rFonts w:ascii="Verdana" w:hAnsi="Verdana"/>
                        <w:b/>
                        <w:bCs/>
                        <w:color w:val="FFFFFF" w:themeColor="background1"/>
                        <w:sz w:val="18"/>
                        <w:szCs w:val="18"/>
                        <w:lang w:val="it-IT"/>
                      </w:rPr>
                      <w:t>Digital Gold Institute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 xml:space="preserve"> s.r.l.</w:t>
                    </w:r>
                    <w:r w:rsidR="001476F2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>Via Giovanni Battista Pirelli, 11, 20124 Milano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</w:r>
                    <w:hyperlink r:id="rId3" w:history="1">
                      <w:r w:rsidR="00AD7DBC" w:rsidRPr="00AD7DBC">
                        <w:rPr>
                          <w:rStyle w:val="Hyperlink"/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it-IT"/>
                        </w:rPr>
                        <w:t>www.dgi.io</w:t>
                      </w:r>
                    </w:hyperlink>
                    <w:r w:rsidRPr="00AD7DBC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 xml:space="preserve"> </w:t>
                    </w:r>
                    <w:r w:rsidR="00AD7DBC" w:rsidRPr="00AD7DBC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 xml:space="preserve">| </w:t>
                    </w:r>
                    <w:hyperlink r:id="rId4" w:history="1">
                      <w:r w:rsidR="00AD7DBC" w:rsidRPr="00AD7DBC">
                        <w:rPr>
                          <w:rStyle w:val="Hyperlink"/>
                          <w:rFonts w:ascii="Verdana" w:hAnsi="Verdana"/>
                          <w:color w:val="FFFFFF" w:themeColor="background1"/>
                          <w:sz w:val="18"/>
                          <w:szCs w:val="18"/>
                          <w:lang w:val="it-IT"/>
                        </w:rPr>
                        <w:t>info@dgi.io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12BD" w14:textId="30C00E08" w:rsidR="00BF6856" w:rsidRPr="00FB2EB0" w:rsidRDefault="00FB2EB0" w:rsidP="00FB2EB0">
    <w:pPr>
      <w:rPr>
        <w:rFonts w:ascii="Verdana" w:hAnsi="Verdana"/>
        <w:color w:val="FFFFFF" w:themeColor="background1"/>
        <w:sz w:val="18"/>
        <w:szCs w:val="18"/>
        <w:lang w:val="it-IT"/>
      </w:rPr>
    </w:pPr>
    <w:r w:rsidRPr="00FB2EB0">
      <w:rPr>
        <w:rFonts w:ascii="Verdana" w:hAnsi="Verdana"/>
        <w:noProof/>
        <w:color w:val="FFFFFF" w:themeColor="background1"/>
        <w:sz w:val="18"/>
        <w:szCs w:val="18"/>
        <w:lang w:val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E714A8" wp14:editId="54A34348">
              <wp:simplePos x="0" y="0"/>
              <wp:positionH relativeFrom="margin">
                <wp:posOffset>-989330</wp:posOffset>
              </wp:positionH>
              <wp:positionV relativeFrom="paragraph">
                <wp:posOffset>3175</wp:posOffset>
              </wp:positionV>
              <wp:extent cx="8038800" cy="1378800"/>
              <wp:effectExtent l="0" t="0" r="63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38800" cy="1378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D11A4B" w14:textId="1714F9D8" w:rsidR="00FB2EB0" w:rsidRPr="00FB2EB0" w:rsidRDefault="00FB2EB0" w:rsidP="00FB2EB0">
                          <w:pPr>
                            <w:ind w:left="1418"/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szCs w:val="16"/>
                              <w:lang w:val="it-IT"/>
                            </w:rPr>
                          </w:pP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t>Digital Gold Institute s.r.l., C.F./P.IVA: 10481200961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  <w:t>Via Giovanni Battista Pirelli, 11, 20124 Milano</w:t>
                          </w:r>
                          <w:r w:rsidRPr="00FB2EB0">
                            <w:rPr>
                              <w:rFonts w:ascii="Verdana" w:hAnsi="Verdana"/>
                              <w:color w:val="FFFFFF" w:themeColor="background1"/>
                              <w:sz w:val="18"/>
                              <w:szCs w:val="18"/>
                              <w:lang w:val="it-IT"/>
                            </w:rPr>
                            <w:br/>
                            <w:t>www.dgi.io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714A8" id="Rectangle 8" o:spid="_x0000_s1028" style="position:absolute;margin-left:-77.9pt;margin-top:.25pt;width:633pt;height:108.5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" fillcolor="#f1af09 [3204]" stroked="f" strokeweight="1pt">
              <v:textbox>
                <w:txbxContent>
                  <w:p w14:paraId="43D11A4B" w14:textId="1714F9D8" w:rsidR="00FB2EB0" w:rsidRPr="00FB2EB0" w:rsidRDefault="00FB2EB0" w:rsidP="00FB2EB0">
                    <w:pPr>
                      <w:ind w:left="1418"/>
                      <w:rPr>
                        <w:rFonts w:ascii="Verdana" w:hAnsi="Verdana"/>
                        <w:color w:val="FFFFFF" w:themeColor="background1"/>
                        <w:sz w:val="16"/>
                        <w:szCs w:val="16"/>
                        <w:lang w:val="it-IT"/>
                      </w:rPr>
                    </w:pP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t>Digital Gold Institute s.r.l., C.F./P.IVA: 10481200961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  <w:t>Via Giovanni Battista Pirelli, 11, 20124 Milano</w:t>
                    </w:r>
                    <w:r w:rsidRPr="00FB2EB0">
                      <w:rPr>
                        <w:rFonts w:ascii="Verdana" w:hAnsi="Verdana"/>
                        <w:color w:val="FFFFFF" w:themeColor="background1"/>
                        <w:sz w:val="18"/>
                        <w:szCs w:val="18"/>
                        <w:lang w:val="it-IT"/>
                      </w:rPr>
                      <w:br/>
                      <w:t>www.dgi.io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t>Digital Gold Institute s.r.l., C.F./P.IVA: 10481200961</w: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br/>
      <w:t>Via Giovanni Battista Pirelli, 11, 20124 Milano</w:t>
    </w:r>
    <w:r w:rsidR="00BF6856" w:rsidRPr="00FB2EB0">
      <w:rPr>
        <w:rFonts w:ascii="Verdana" w:hAnsi="Verdana"/>
        <w:color w:val="FFFFFF" w:themeColor="background1"/>
        <w:sz w:val="18"/>
        <w:szCs w:val="18"/>
        <w:lang w:val="it-IT"/>
      </w:rPr>
      <w:br/>
      <w:t>www.dgi.io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AC51" w14:textId="77777777" w:rsidR="00B01310" w:rsidRDefault="00B01310">
      <w:pPr>
        <w:spacing w:before="0" w:after="0" w:line="240" w:lineRule="auto"/>
      </w:pPr>
      <w:r>
        <w:separator/>
      </w:r>
    </w:p>
    <w:p w14:paraId="5F115B38" w14:textId="77777777" w:rsidR="00B01310" w:rsidRDefault="00B01310"/>
    <w:p w14:paraId="37E54B3C" w14:textId="77777777" w:rsidR="00B01310" w:rsidRDefault="00B01310"/>
    <w:p w14:paraId="7284191B" w14:textId="77777777" w:rsidR="00B01310" w:rsidRDefault="00B01310"/>
  </w:footnote>
  <w:footnote w:type="continuationSeparator" w:id="0">
    <w:p w14:paraId="0DF15053" w14:textId="77777777" w:rsidR="00B01310" w:rsidRDefault="00B01310">
      <w:pPr>
        <w:spacing w:before="0" w:after="0" w:line="240" w:lineRule="auto"/>
      </w:pPr>
      <w:r>
        <w:continuationSeparator/>
      </w:r>
    </w:p>
    <w:p w14:paraId="7DA33B58" w14:textId="77777777" w:rsidR="00B01310" w:rsidRDefault="00B01310"/>
    <w:p w14:paraId="7A288BD6" w14:textId="77777777" w:rsidR="00B01310" w:rsidRDefault="00B01310"/>
    <w:p w14:paraId="00898E1A" w14:textId="77777777" w:rsidR="00B01310" w:rsidRDefault="00B01310"/>
  </w:footnote>
  <w:footnote w:type="continuationNotice" w:id="1">
    <w:p w14:paraId="51F72CE8" w14:textId="77777777" w:rsidR="00B01310" w:rsidRDefault="00B0131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73F3" w14:textId="4EDFC5FA" w:rsidR="001C02F2" w:rsidRDefault="00EA5212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56DF79AD" wp14:editId="4202B50D">
          <wp:simplePos x="0" y="0"/>
          <wp:positionH relativeFrom="margin">
            <wp:posOffset>-86995</wp:posOffset>
          </wp:positionH>
          <wp:positionV relativeFrom="paragraph">
            <wp:posOffset>248318</wp:posOffset>
          </wp:positionV>
          <wp:extent cx="1577940" cy="723900"/>
          <wp:effectExtent l="0" t="0" r="0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9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524EA19" wp14:editId="0FC6E95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61891" cy="1130300"/>
              <wp:effectExtent l="0" t="0" r="127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891" cy="11303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A70F37" w14:textId="3C4DBC75" w:rsidR="00676480" w:rsidRDefault="00676480" w:rsidP="00676480">
                          <w:pPr>
                            <w:jc w:val="center"/>
                          </w:pPr>
                        </w:p>
                        <w:p w14:paraId="0D43A967" w14:textId="77C6802C" w:rsidR="00676480" w:rsidRDefault="00676480" w:rsidP="00676480">
                          <w:pPr>
                            <w:jc w:val="center"/>
                          </w:pPr>
                        </w:p>
                        <w:p w14:paraId="15301B30" w14:textId="77777777" w:rsidR="00676480" w:rsidRDefault="00676480" w:rsidP="00676480">
                          <w:pPr>
                            <w:jc w:val="center"/>
                          </w:pPr>
                        </w:p>
                        <w:p w14:paraId="3A227529" w14:textId="77777777" w:rsidR="00676480" w:rsidRDefault="00676480" w:rsidP="0067648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4EA19" id="Rectangle 1" o:spid="_x0000_s1026" style="position:absolute;margin-left:544.2pt;margin-top:0;width:595.4pt;height:89pt;z-index:25166131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" fillcolor="#f2f2f2 [3052]" stroked="f" strokeweight="1pt">
              <v:textbox>
                <w:txbxContent>
                  <w:p w14:paraId="0BA70F37" w14:textId="3C4DBC75" w:rsidR="00676480" w:rsidRDefault="00676480" w:rsidP="00676480">
                    <w:pPr>
                      <w:jc w:val="center"/>
                    </w:pPr>
                  </w:p>
                  <w:p w14:paraId="0D43A967" w14:textId="77C6802C" w:rsidR="00676480" w:rsidRDefault="00676480" w:rsidP="00676480">
                    <w:pPr>
                      <w:jc w:val="center"/>
                    </w:pPr>
                  </w:p>
                  <w:p w14:paraId="15301B30" w14:textId="77777777" w:rsidR="00676480" w:rsidRDefault="00676480" w:rsidP="00676480">
                    <w:pPr>
                      <w:jc w:val="center"/>
                    </w:pPr>
                  </w:p>
                  <w:p w14:paraId="3A227529" w14:textId="77777777" w:rsidR="00676480" w:rsidRDefault="00676480" w:rsidP="0067648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ED2C" w14:textId="47FF6C9C" w:rsidR="004C1F76" w:rsidRPr="004C1F76" w:rsidRDefault="00BF6856" w:rsidP="004C1F76">
    <w:pPr>
      <w:spacing w:before="0" w:line="240" w:lineRule="auto"/>
      <w:rPr>
        <w:rFonts w:ascii="Verdana" w:hAnsi="Verdana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CF68ABE" wp14:editId="7FB58002">
              <wp:simplePos x="0" y="0"/>
              <wp:positionH relativeFrom="page">
                <wp:align>left</wp:align>
              </wp:positionH>
              <wp:positionV relativeFrom="paragraph">
                <wp:posOffset>6350</wp:posOffset>
              </wp:positionV>
              <wp:extent cx="7772400" cy="11430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43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1FE301" id="Rectangle 3" o:spid="_x0000_s1026" style="position:absolute;margin-left:0;margin-top:.5pt;width:612pt;height:90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" fillcolor="#f2f2f2 [3052]" stroked="f" strokeweight="1pt">
              <w10:wrap anchorx="page"/>
            </v:rect>
          </w:pict>
        </mc:Fallback>
      </mc:AlternateContent>
    </w:r>
    <w:r w:rsidR="00DE4450">
      <w:rPr>
        <w:noProof/>
      </w:rPr>
      <w:drawing>
        <wp:anchor distT="0" distB="0" distL="114300" distR="114300" simplePos="0" relativeHeight="251658242" behindDoc="0" locked="0" layoutInCell="1" allowOverlap="1" wp14:anchorId="77B56762" wp14:editId="0A6EA106">
          <wp:simplePos x="0" y="0"/>
          <wp:positionH relativeFrom="margin">
            <wp:posOffset>-77470</wp:posOffset>
          </wp:positionH>
          <wp:positionV relativeFrom="paragraph">
            <wp:posOffset>331539</wp:posOffset>
          </wp:positionV>
          <wp:extent cx="1398896" cy="639631"/>
          <wp:effectExtent l="0" t="0" r="0" b="8255"/>
          <wp:wrapNone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EFEFE"/>
                      </a:clrFrom>
                      <a:clrTo>
                        <a:srgbClr val="FEFEFE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896" cy="6396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1F76" w:rsidRPr="004C1F76">
      <w:rPr>
        <w:rFonts w:ascii="Verdana" w:hAnsi="Verdana"/>
        <w:b/>
        <w:sz w:val="20"/>
        <w:szCs w:val="20"/>
      </w:rPr>
      <w:t xml:space="preserve"> </w:t>
    </w:r>
    <w:r w:rsidR="004C1F76" w:rsidRPr="004C1F76">
      <w:rPr>
        <w:rFonts w:ascii="Verdana" w:hAnsi="Verdana"/>
        <w:b/>
        <w:sz w:val="20"/>
        <w:szCs w:val="20"/>
      </w:rPr>
      <w:br/>
    </w:r>
  </w:p>
  <w:p w14:paraId="67F7A100" w14:textId="1A951D8D" w:rsidR="004C1F76" w:rsidRDefault="004C1F76">
    <w:pPr>
      <w:pStyle w:val="Header"/>
    </w:pPr>
  </w:p>
  <w:p w14:paraId="659B663E" w14:textId="15AE35F6" w:rsidR="00BF6856" w:rsidRDefault="00BF6856">
    <w:pPr>
      <w:pStyle w:val="Header"/>
    </w:pPr>
  </w:p>
  <w:p w14:paraId="5758E540" w14:textId="085F9BA6" w:rsidR="00BF6856" w:rsidRDefault="00BF6856">
    <w:pPr>
      <w:pStyle w:val="Header"/>
    </w:pPr>
  </w:p>
  <w:p w14:paraId="56E2E926" w14:textId="77777777" w:rsidR="00BF6856" w:rsidRPr="004C1F76" w:rsidRDefault="00BF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0C4E"/>
    <w:multiLevelType w:val="hybridMultilevel"/>
    <w:tmpl w:val="5350B5F6"/>
    <w:lvl w:ilvl="0" w:tplc="A5C611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6"/>
    <w:rsid w:val="00027816"/>
    <w:rsid w:val="00036425"/>
    <w:rsid w:val="00037E9F"/>
    <w:rsid w:val="00040728"/>
    <w:rsid w:val="00077690"/>
    <w:rsid w:val="00094A13"/>
    <w:rsid w:val="00120F61"/>
    <w:rsid w:val="001476F2"/>
    <w:rsid w:val="00156D40"/>
    <w:rsid w:val="001C02F2"/>
    <w:rsid w:val="001D667D"/>
    <w:rsid w:val="001F1FB6"/>
    <w:rsid w:val="002626CA"/>
    <w:rsid w:val="00295D09"/>
    <w:rsid w:val="002B53BC"/>
    <w:rsid w:val="002D228D"/>
    <w:rsid w:val="002D2BE8"/>
    <w:rsid w:val="002F2EB3"/>
    <w:rsid w:val="00307EFD"/>
    <w:rsid w:val="0038179A"/>
    <w:rsid w:val="00401C91"/>
    <w:rsid w:val="00411531"/>
    <w:rsid w:val="00412500"/>
    <w:rsid w:val="00433C3B"/>
    <w:rsid w:val="004342A3"/>
    <w:rsid w:val="004933AE"/>
    <w:rsid w:val="004B5666"/>
    <w:rsid w:val="004C1F76"/>
    <w:rsid w:val="004C5B1E"/>
    <w:rsid w:val="004C61CB"/>
    <w:rsid w:val="004C69FA"/>
    <w:rsid w:val="004F5FF2"/>
    <w:rsid w:val="00550390"/>
    <w:rsid w:val="0055216F"/>
    <w:rsid w:val="00555175"/>
    <w:rsid w:val="00564A78"/>
    <w:rsid w:val="005A0943"/>
    <w:rsid w:val="005C6D4A"/>
    <w:rsid w:val="005F65D0"/>
    <w:rsid w:val="00611A1B"/>
    <w:rsid w:val="00627FF4"/>
    <w:rsid w:val="00676480"/>
    <w:rsid w:val="006D0D5D"/>
    <w:rsid w:val="0070378F"/>
    <w:rsid w:val="007163BE"/>
    <w:rsid w:val="007606F9"/>
    <w:rsid w:val="007607E5"/>
    <w:rsid w:val="00796F4D"/>
    <w:rsid w:val="007C63DC"/>
    <w:rsid w:val="00877489"/>
    <w:rsid w:val="00886275"/>
    <w:rsid w:val="008B0CD8"/>
    <w:rsid w:val="008C11A3"/>
    <w:rsid w:val="008F7D1E"/>
    <w:rsid w:val="009303BD"/>
    <w:rsid w:val="00943C5D"/>
    <w:rsid w:val="0099327C"/>
    <w:rsid w:val="00A12283"/>
    <w:rsid w:val="00A6356B"/>
    <w:rsid w:val="00AD7DBC"/>
    <w:rsid w:val="00AE6410"/>
    <w:rsid w:val="00B01310"/>
    <w:rsid w:val="00B177C6"/>
    <w:rsid w:val="00B248C4"/>
    <w:rsid w:val="00B26B25"/>
    <w:rsid w:val="00B71C94"/>
    <w:rsid w:val="00B77E1C"/>
    <w:rsid w:val="00BF6856"/>
    <w:rsid w:val="00C26ED8"/>
    <w:rsid w:val="00C519AB"/>
    <w:rsid w:val="00C801BA"/>
    <w:rsid w:val="00C82304"/>
    <w:rsid w:val="00CB0723"/>
    <w:rsid w:val="00D61F35"/>
    <w:rsid w:val="00DE4450"/>
    <w:rsid w:val="00EA5212"/>
    <w:rsid w:val="00EB3AAF"/>
    <w:rsid w:val="00EF5BC3"/>
    <w:rsid w:val="00F06C04"/>
    <w:rsid w:val="00F25995"/>
    <w:rsid w:val="00F32AAE"/>
    <w:rsid w:val="00F45AFB"/>
    <w:rsid w:val="00F522FB"/>
    <w:rsid w:val="00F63570"/>
    <w:rsid w:val="00F85076"/>
    <w:rsid w:val="00FB2EB0"/>
    <w:rsid w:val="00FC355C"/>
    <w:rsid w:val="00F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4E15E"/>
  <w15:chartTrackingRefBased/>
  <w15:docId w15:val="{2DEA0AEF-F7BE-B641-AB0C-EE7BDEF4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969090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F1AF09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F1AF09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1A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F1AF09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F1AF09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F1AF09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F1AF09" w:themeColor="accent1"/>
        <w:insideH w:val="single" w:sz="6" w:space="0" w:color="F1AF09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FFFFF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1AF09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4B4D4F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F1AF09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4B4D4F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4B4D4F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1AF09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4D4F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4B4D4F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B4D4F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F1AF09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AF09" w:themeColor="accent1"/>
        <w:left w:val="single" w:sz="4" w:space="0" w:color="F1AF09" w:themeColor="accent1"/>
        <w:bottom w:val="single" w:sz="4" w:space="0" w:color="F1AF09" w:themeColor="accent1"/>
        <w:right w:val="single" w:sz="4" w:space="0" w:color="F1A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AF09" w:themeFill="accent1"/>
      </w:tcPr>
    </w:tblStylePr>
    <w:tblStylePr w:type="lastRow">
      <w:rPr>
        <w:b/>
        <w:bCs/>
      </w:rPr>
      <w:tblPr/>
      <w:tcPr>
        <w:tcBorders>
          <w:top w:val="double" w:sz="4" w:space="0" w:color="F1A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AF09" w:themeColor="accent1"/>
          <w:right w:val="single" w:sz="4" w:space="0" w:color="F1AF09" w:themeColor="accent1"/>
        </w:tcBorders>
      </w:tcPr>
    </w:tblStylePr>
    <w:tblStylePr w:type="band1Horz">
      <w:tblPr/>
      <w:tcPr>
        <w:tcBorders>
          <w:top w:val="single" w:sz="4" w:space="0" w:color="F1AF09" w:themeColor="accent1"/>
          <w:bottom w:val="single" w:sz="4" w:space="0" w:color="F1A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AF09" w:themeColor="accent1"/>
          <w:left w:val="nil"/>
        </w:tcBorders>
      </w:tcPr>
    </w:tblStylePr>
    <w:tblStylePr w:type="swCell">
      <w:tblPr/>
      <w:tcPr>
        <w:tcBorders>
          <w:top w:val="double" w:sz="4" w:space="0" w:color="F1AF09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F1AF09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F1AF09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F1AF09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F1AF09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F1AF09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4B4D4F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F1AF09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1AF09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F1AF09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F1AF09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1AF09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1AF09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F1AF09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F1AF09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F1AF09" w:themeColor="accent1"/>
        <w:left w:val="single" w:sz="4" w:space="31" w:color="F1AF09" w:themeColor="accent1"/>
        <w:bottom w:val="single" w:sz="4" w:space="8" w:color="F1AF09" w:themeColor="accent1"/>
        <w:right w:val="single" w:sz="4" w:space="31" w:color="F1AF09" w:themeColor="accent1"/>
      </w:pBdr>
      <w:shd w:val="clear" w:color="auto" w:fill="F1AF09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F1A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F1AF09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1AF09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odyTextIndent2">
    <w:name w:val="Body Text Indent 2"/>
    <w:basedOn w:val="Normal"/>
    <w:link w:val="BodyTextIndent2Char"/>
    <w:rsid w:val="004C1F76"/>
    <w:pPr>
      <w:spacing w:before="0" w:after="0" w:line="240" w:lineRule="auto"/>
      <w:ind w:hanging="71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it-IT" w:eastAsia="it-IT"/>
    </w:rPr>
  </w:style>
  <w:style w:type="character" w:customStyle="1" w:styleId="BodyTextIndent2Char">
    <w:name w:val="Body Text Indent 2 Char"/>
    <w:basedOn w:val="DefaultParagraphFont"/>
    <w:link w:val="BodyTextIndent2"/>
    <w:rsid w:val="004C1F76"/>
    <w:rPr>
      <w:rFonts w:ascii="Times New Roman" w:eastAsia="Times New Roman" w:hAnsi="Times New Roman" w:cs="Times New Roman"/>
      <w:color w:val="auto"/>
      <w:sz w:val="20"/>
      <w:szCs w:val="20"/>
      <w:lang w:val="it-IT" w:eastAsia="it-IT"/>
    </w:rPr>
  </w:style>
  <w:style w:type="paragraph" w:customStyle="1" w:styleId="Corpodeltesto">
    <w:name w:val="Corpo del testo"/>
    <w:basedOn w:val="Normal"/>
    <w:rsid w:val="004C1F76"/>
    <w:pPr>
      <w:spacing w:before="0" w:after="0" w:line="240" w:lineRule="auto"/>
    </w:pPr>
    <w:rPr>
      <w:rFonts w:ascii="Times New Roman" w:eastAsia="Times New Roman" w:hAnsi="Times New Roman" w:cs="Times New Roman"/>
      <w:color w:val="auto"/>
      <w:szCs w:val="20"/>
      <w:lang w:val="it-IT" w:eastAsia="it-IT"/>
    </w:rPr>
  </w:style>
  <w:style w:type="paragraph" w:styleId="ListParagraph">
    <w:name w:val="List Paragraph"/>
    <w:basedOn w:val="Normal"/>
    <w:uiPriority w:val="34"/>
    <w:qFormat/>
    <w:rsid w:val="004C1F76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it-IT" w:eastAsia="it-I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21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216F"/>
  </w:style>
  <w:style w:type="paragraph" w:styleId="BalloonText">
    <w:name w:val="Balloon Text"/>
    <w:basedOn w:val="Normal"/>
    <w:link w:val="BalloonTextChar"/>
    <w:uiPriority w:val="99"/>
    <w:semiHidden/>
    <w:unhideWhenUsed/>
    <w:rsid w:val="0099327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27C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8B0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0CD8"/>
  </w:style>
  <w:style w:type="character" w:styleId="Hyperlink">
    <w:name w:val="Hyperlink"/>
    <w:basedOn w:val="DefaultParagraphFont"/>
    <w:uiPriority w:val="99"/>
    <w:unhideWhenUsed/>
    <w:rsid w:val="001C02F2"/>
    <w:rPr>
      <w:color w:val="0E50F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F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2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5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55C"/>
    <w:pPr>
      <w:spacing w:before="0"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82304"/>
    <w:rPr>
      <w:color w:val="0E50F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yptoassetlab.diseade.unimib.it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t.wikipedia.org/wiki/Chatham_House_Rul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gi.io/report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nfo@dgi.io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yptoassetlab.diseade.unimib.it/calconf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gi.io" TargetMode="External"/><Relationship Id="rId2" Type="http://schemas.openxmlformats.org/officeDocument/2006/relationships/hyperlink" Target="mailto:info@dgi.io" TargetMode="External"/><Relationship Id="rId1" Type="http://schemas.openxmlformats.org/officeDocument/2006/relationships/hyperlink" Target="http://www.dgi.io" TargetMode="External"/><Relationship Id="rId4" Type="http://schemas.openxmlformats.org/officeDocument/2006/relationships/hyperlink" Target="mailto:info@dgi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etter Theme">
  <a:themeElements>
    <a:clrScheme name="DGI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0E50F6"/>
      </a:hlink>
      <a:folHlink>
        <a:srgbClr val="0E50F6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35AD3-08E7-47DD-94F8-2650D6D9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Links>
    <vt:vector size="36" baseType="variant">
      <vt:variant>
        <vt:i4>5767241</vt:i4>
      </vt:variant>
      <vt:variant>
        <vt:i4>9</vt:i4>
      </vt:variant>
      <vt:variant>
        <vt:i4>0</vt:i4>
      </vt:variant>
      <vt:variant>
        <vt:i4>5</vt:i4>
      </vt:variant>
      <vt:variant>
        <vt:lpwstr>https://cryptoassetlab.diseade.unimib.it/</vt:lpwstr>
      </vt:variant>
      <vt:variant>
        <vt:lpwstr/>
      </vt:variant>
      <vt:variant>
        <vt:i4>6291574</vt:i4>
      </vt:variant>
      <vt:variant>
        <vt:i4>6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  <vt:variant>
        <vt:i4>3407989</vt:i4>
      </vt:variant>
      <vt:variant>
        <vt:i4>3</vt:i4>
      </vt:variant>
      <vt:variant>
        <vt:i4>0</vt:i4>
      </vt:variant>
      <vt:variant>
        <vt:i4>5</vt:i4>
      </vt:variant>
      <vt:variant>
        <vt:lpwstr>https://dgi.io/reports/</vt:lpwstr>
      </vt:variant>
      <vt:variant>
        <vt:lpwstr/>
      </vt:variant>
      <vt:variant>
        <vt:i4>4325452</vt:i4>
      </vt:variant>
      <vt:variant>
        <vt:i4>0</vt:i4>
      </vt:variant>
      <vt:variant>
        <vt:i4>0</vt:i4>
      </vt:variant>
      <vt:variant>
        <vt:i4>5</vt:i4>
      </vt:variant>
      <vt:variant>
        <vt:lpwstr>https://youtu.be/pgAlv1ufZdk</vt:lpwstr>
      </vt:variant>
      <vt:variant>
        <vt:lpwstr/>
      </vt:variant>
      <vt:variant>
        <vt:i4>6291574</vt:i4>
      </vt:variant>
      <vt:variant>
        <vt:i4>3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Mazzocchi</dc:creator>
  <cp:keywords/>
  <dc:description/>
  <cp:lastModifiedBy>Ferdinando Ametrano</cp:lastModifiedBy>
  <cp:revision>18</cp:revision>
  <cp:lastPrinted>2022-01-19T14:01:00Z</cp:lastPrinted>
  <dcterms:created xsi:type="dcterms:W3CDTF">2022-01-19T19:15:00Z</dcterms:created>
  <dcterms:modified xsi:type="dcterms:W3CDTF">2022-01-20T14:10:00Z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