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color w:val="2a2828"/>
          <w:sz w:val="18"/>
          <w:szCs w:val="18"/>
        </w:rPr>
      </w:pPr>
      <w:r w:rsidDel="00000000" w:rsidR="00000000" w:rsidRPr="00000000">
        <w:rPr>
          <w:rFonts w:ascii="Verdana" w:cs="Verdana" w:eastAsia="Verdana" w:hAnsi="Verdana"/>
          <w:b w:val="0"/>
          <w:i w:val="0"/>
          <w:smallCaps w:val="0"/>
          <w:strike w:val="0"/>
          <w:color w:val="2a2828"/>
          <w:sz w:val="18"/>
          <w:szCs w:val="18"/>
          <w:u w:val="none"/>
          <w:shd w:fill="auto" w:val="clear"/>
          <w:vertAlign w:val="baseline"/>
          <w:rtl w:val="0"/>
        </w:rPr>
        <w:t xml:space="preserve">Milano, </w:t>
      </w:r>
      <w:r w:rsidDel="00000000" w:rsidR="00000000" w:rsidRPr="00000000">
        <w:rPr>
          <w:rFonts w:ascii="Verdana" w:cs="Verdana" w:eastAsia="Verdana" w:hAnsi="Verdana"/>
          <w:color w:val="2a2828"/>
          <w:sz w:val="18"/>
          <w:szCs w:val="18"/>
          <w:rtl w:val="0"/>
        </w:rPr>
        <w:t xml:space="preserve">20</w:t>
      </w:r>
      <w:r w:rsidDel="00000000" w:rsidR="00000000" w:rsidRPr="00000000">
        <w:rPr>
          <w:rFonts w:ascii="Verdana" w:cs="Verdana" w:eastAsia="Verdana" w:hAnsi="Verdana"/>
          <w:b w:val="0"/>
          <w:i w:val="0"/>
          <w:smallCaps w:val="0"/>
          <w:strike w:val="0"/>
          <w:color w:val="2a2828"/>
          <w:sz w:val="18"/>
          <w:szCs w:val="18"/>
          <w:u w:val="none"/>
          <w:shd w:fill="auto" w:val="clear"/>
          <w:vertAlign w:val="baseline"/>
          <w:rtl w:val="0"/>
        </w:rPr>
        <w:t xml:space="preserve"> </w:t>
      </w:r>
      <w:r w:rsidDel="00000000" w:rsidR="00000000" w:rsidRPr="00000000">
        <w:rPr>
          <w:rFonts w:ascii="Verdana" w:cs="Verdana" w:eastAsia="Verdana" w:hAnsi="Verdana"/>
          <w:color w:val="2a2828"/>
          <w:sz w:val="18"/>
          <w:szCs w:val="18"/>
          <w:rtl w:val="0"/>
        </w:rPr>
        <w:t xml:space="preserve">gennaio</w:t>
      </w:r>
      <w:r w:rsidDel="00000000" w:rsidR="00000000" w:rsidRPr="00000000">
        <w:rPr>
          <w:rFonts w:ascii="Verdana" w:cs="Verdana" w:eastAsia="Verdana" w:hAnsi="Verdana"/>
          <w:b w:val="0"/>
          <w:i w:val="0"/>
          <w:smallCaps w:val="0"/>
          <w:strike w:val="0"/>
          <w:color w:val="2a2828"/>
          <w:sz w:val="18"/>
          <w:szCs w:val="18"/>
          <w:u w:val="none"/>
          <w:shd w:fill="auto" w:val="clear"/>
          <w:vertAlign w:val="baseline"/>
          <w:rtl w:val="0"/>
        </w:rPr>
        <w:t xml:space="preserve"> 20</w:t>
      </w:r>
      <w:r w:rsidDel="00000000" w:rsidR="00000000" w:rsidRPr="00000000">
        <w:rPr>
          <w:rFonts w:ascii="Verdana" w:cs="Verdana" w:eastAsia="Verdana" w:hAnsi="Verdana"/>
          <w:color w:val="2a2828"/>
          <w:sz w:val="18"/>
          <w:szCs w:val="18"/>
          <w:rtl w:val="0"/>
        </w:rPr>
        <w:t xml:space="preserve">23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color w:val="2a2828"/>
          <w:sz w:val="18"/>
          <w:szCs w:val="1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color w:val="2a2828"/>
          <w:sz w:val="18"/>
          <w:szCs w:val="1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b w:val="0"/>
          <w:i w:val="0"/>
          <w:smallCaps w:val="0"/>
          <w:strike w:val="0"/>
          <w:color w:val="f1af09"/>
          <w:sz w:val="36"/>
          <w:szCs w:val="36"/>
          <w:u w:val="none"/>
          <w:shd w:fill="auto" w:val="clear"/>
          <w:vertAlign w:val="baseline"/>
        </w:rPr>
      </w:pPr>
      <w:r w:rsidDel="00000000" w:rsidR="00000000" w:rsidRPr="00000000">
        <w:rPr>
          <w:rFonts w:ascii="Georgia" w:cs="Georgia" w:eastAsia="Georgia" w:hAnsi="Georgia"/>
          <w:b w:val="0"/>
          <w:i w:val="0"/>
          <w:smallCaps w:val="0"/>
          <w:strike w:val="0"/>
          <w:color w:val="f1af09"/>
          <w:sz w:val="36"/>
          <w:szCs w:val="36"/>
          <w:u w:val="none"/>
          <w:shd w:fill="auto" w:val="clear"/>
          <w:vertAlign w:val="baseline"/>
          <w:rtl w:val="0"/>
        </w:rPr>
        <w:t xml:space="preserve">PRESENTAZIONE DEL XI</w:t>
      </w:r>
      <w:r w:rsidDel="00000000" w:rsidR="00000000" w:rsidRPr="00000000">
        <w:rPr>
          <w:rFonts w:ascii="Georgia" w:cs="Georgia" w:eastAsia="Georgia" w:hAnsi="Georgia"/>
          <w:color w:val="f1af09"/>
          <w:sz w:val="36"/>
          <w:szCs w:val="36"/>
          <w:rtl w:val="0"/>
        </w:rPr>
        <w:t xml:space="preserve">V</w:t>
      </w:r>
      <w:r w:rsidDel="00000000" w:rsidR="00000000" w:rsidRPr="00000000">
        <w:rPr>
          <w:rFonts w:ascii="Georgia" w:cs="Georgia" w:eastAsia="Georgia" w:hAnsi="Georgia"/>
          <w:b w:val="0"/>
          <w:i w:val="0"/>
          <w:smallCaps w:val="0"/>
          <w:strike w:val="0"/>
          <w:color w:val="f1af09"/>
          <w:sz w:val="36"/>
          <w:szCs w:val="36"/>
          <w:u w:val="none"/>
          <w:shd w:fill="auto" w:val="clear"/>
          <w:vertAlign w:val="baseline"/>
          <w:rtl w:val="0"/>
        </w:rPr>
        <w:t xml:space="preserve"> REPORT TRIMESTRALE  DEL DIGITAL GOLD INSTITUTE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8017578125" w:line="364.29877281188965" w:lineRule="auto"/>
        <w:ind w:left="0" w:right="-1.23779296875" w:firstLine="0"/>
        <w:jc w:val="both"/>
        <w:rPr>
          <w:rFonts w:ascii="Verdana" w:cs="Verdana" w:eastAsia="Verdana" w:hAnsi="Verdana"/>
          <w:b w:val="0"/>
          <w:i w:val="0"/>
          <w:smallCaps w:val="0"/>
          <w:strike w:val="0"/>
          <w:color w:val="2a2828"/>
          <w:sz w:val="18"/>
          <w:szCs w:val="18"/>
          <w:u w:val="none"/>
          <w:vertAlign w:val="baseline"/>
        </w:rPr>
      </w:pPr>
      <w:r w:rsidDel="00000000" w:rsidR="00000000" w:rsidRPr="00000000">
        <w:rPr>
          <w:rFonts w:ascii="Verdana" w:cs="Verdana" w:eastAsia="Verdana" w:hAnsi="Verdana"/>
          <w:b w:val="0"/>
          <w:i w:val="0"/>
          <w:smallCaps w:val="0"/>
          <w:strike w:val="0"/>
          <w:color w:val="2a2828"/>
          <w:sz w:val="18"/>
          <w:szCs w:val="18"/>
          <w:u w:val="none"/>
          <w:shd w:fill="auto" w:val="clear"/>
          <w:vertAlign w:val="baseline"/>
          <w:rtl w:val="0"/>
        </w:rPr>
        <w:t xml:space="preserve">Si è svolta</w:t>
      </w:r>
      <w:r w:rsidDel="00000000" w:rsidR="00000000" w:rsidRPr="00000000">
        <w:rPr>
          <w:rFonts w:ascii="Verdana" w:cs="Verdana" w:eastAsia="Verdana" w:hAnsi="Verdana"/>
          <w:color w:val="2a2828"/>
          <w:sz w:val="18"/>
          <w:szCs w:val="18"/>
          <w:rtl w:val="0"/>
        </w:rPr>
        <w:t xml:space="preserve"> martedì 17 gennaio 2023</w:t>
      </w:r>
      <w:r w:rsidDel="00000000" w:rsidR="00000000" w:rsidRPr="00000000">
        <w:rPr>
          <w:rFonts w:ascii="Verdana" w:cs="Verdana" w:eastAsia="Verdana" w:hAnsi="Verdana"/>
          <w:b w:val="0"/>
          <w:i w:val="0"/>
          <w:smallCaps w:val="0"/>
          <w:strike w:val="0"/>
          <w:color w:val="2a2828"/>
          <w:sz w:val="18"/>
          <w:szCs w:val="18"/>
          <w:u w:val="none"/>
          <w:shd w:fill="auto" w:val="clear"/>
          <w:vertAlign w:val="baseline"/>
          <w:rtl w:val="0"/>
        </w:rPr>
        <w:t xml:space="preserve"> la presentazione della </w:t>
      </w:r>
      <w:r w:rsidDel="00000000" w:rsidR="00000000" w:rsidRPr="00000000">
        <w:rPr>
          <w:rFonts w:ascii="Verdana" w:cs="Verdana" w:eastAsia="Verdana" w:hAnsi="Verdana"/>
          <w:color w:val="2a2828"/>
          <w:sz w:val="18"/>
          <w:szCs w:val="18"/>
          <w:rtl w:val="0"/>
        </w:rPr>
        <w:t xml:space="preserve">quattordicesima</w:t>
      </w:r>
      <w:r w:rsidDel="00000000" w:rsidR="00000000" w:rsidRPr="00000000">
        <w:rPr>
          <w:rFonts w:ascii="Verdana" w:cs="Verdana" w:eastAsia="Verdana" w:hAnsi="Verdana"/>
          <w:b w:val="0"/>
          <w:i w:val="0"/>
          <w:smallCaps w:val="0"/>
          <w:strike w:val="0"/>
          <w:color w:val="2a2828"/>
          <w:sz w:val="18"/>
          <w:szCs w:val="18"/>
          <w:u w:val="none"/>
          <w:shd w:fill="auto" w:val="clear"/>
          <w:vertAlign w:val="baseline"/>
          <w:rtl w:val="0"/>
        </w:rPr>
        <w:t xml:space="preserve"> edizione del report trimestrale su ecosistema Bitcoin, crypto-asset e blockchain curato dal Digital Gold Institute, il principale think tank italiano dedicato al  fenomeno Bitcoin e alla scarsità in ambito digitale. </w:t>
      </w:r>
      <w:r w:rsidDel="00000000" w:rsidR="00000000" w:rsidRPr="00000000">
        <w:rPr>
          <w:rFonts w:ascii="Verdana" w:cs="Verdana" w:eastAsia="Verdana" w:hAnsi="Verdana"/>
          <w:b w:val="0"/>
          <w:i w:val="0"/>
          <w:smallCaps w:val="0"/>
          <w:strike w:val="0"/>
          <w:color w:val="2a2828"/>
          <w:sz w:val="18"/>
          <w:szCs w:val="18"/>
          <w:u w:val="none"/>
          <w:vertAlign w:val="baseline"/>
          <w:rtl w:val="0"/>
        </w:rPr>
        <w:t xml:space="preserve">Le slide presentate sono disponibili sul sito dell’Istituto (</w:t>
      </w:r>
      <w:r w:rsidDel="00000000" w:rsidR="00000000" w:rsidRPr="00000000">
        <w:rPr>
          <w:rFonts w:ascii="Verdana" w:cs="Verdana" w:eastAsia="Verdana" w:hAnsi="Verdana"/>
          <w:b w:val="0"/>
          <w:i w:val="0"/>
          <w:smallCaps w:val="0"/>
          <w:strike w:val="0"/>
          <w:color w:val="0e50f6"/>
          <w:sz w:val="18"/>
          <w:szCs w:val="18"/>
          <w:u w:val="single"/>
          <w:vertAlign w:val="baseline"/>
          <w:rtl w:val="0"/>
        </w:rPr>
        <w:t xml:space="preserve">www.dgi.io/reports</w:t>
      </w:r>
      <w:r w:rsidDel="00000000" w:rsidR="00000000" w:rsidRPr="00000000">
        <w:rPr>
          <w:rFonts w:ascii="Verdana" w:cs="Verdana" w:eastAsia="Verdana" w:hAnsi="Verdana"/>
          <w:b w:val="0"/>
          <w:i w:val="0"/>
          <w:smallCaps w:val="0"/>
          <w:strike w:val="0"/>
          <w:color w:val="2a2828"/>
          <w:sz w:val="18"/>
          <w:szCs w:val="18"/>
          <w:u w:val="none"/>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16357421875" w:line="365.18726348876953" w:lineRule="auto"/>
        <w:ind w:left="0" w:right="-6.400146484375" w:firstLine="0"/>
        <w:jc w:val="both"/>
        <w:rPr>
          <w:rFonts w:ascii="Verdana" w:cs="Verdana" w:eastAsia="Verdana" w:hAnsi="Verdana"/>
          <w:i w:val="0"/>
          <w:smallCaps w:val="0"/>
          <w:strike w:val="0"/>
          <w:color w:val="2a2828"/>
          <w:sz w:val="18"/>
          <w:szCs w:val="18"/>
          <w:u w:val="none"/>
          <w:shd w:fill="auto" w:val="clear"/>
          <w:vertAlign w:val="baseline"/>
        </w:rPr>
      </w:pPr>
      <w:r w:rsidDel="00000000" w:rsidR="00000000" w:rsidRPr="00000000">
        <w:rPr>
          <w:rFonts w:ascii="Verdana" w:cs="Verdana" w:eastAsia="Verdana" w:hAnsi="Verdana"/>
          <w:b w:val="1"/>
          <w:i w:val="0"/>
          <w:smallCaps w:val="0"/>
          <w:strike w:val="0"/>
          <w:color w:val="2a2828"/>
          <w:sz w:val="18"/>
          <w:szCs w:val="18"/>
          <w:u w:val="single"/>
          <w:shd w:fill="auto" w:val="clear"/>
          <w:vertAlign w:val="baseline"/>
          <w:rtl w:val="0"/>
        </w:rPr>
        <w:t xml:space="preserve">Ferdinando Ametrano</w:t>
      </w:r>
      <w:r w:rsidDel="00000000" w:rsidR="00000000" w:rsidRPr="00000000">
        <w:rPr>
          <w:rFonts w:ascii="Verdana" w:cs="Verdana" w:eastAsia="Verdana" w:hAnsi="Verdana"/>
          <w:i w:val="0"/>
          <w:smallCaps w:val="0"/>
          <w:strike w:val="0"/>
          <w:color w:val="2a2828"/>
          <w:sz w:val="18"/>
          <w:szCs w:val="18"/>
          <w:u w:val="none"/>
          <w:shd w:fill="auto" w:val="clear"/>
          <w:vertAlign w:val="baseline"/>
          <w:rtl w:val="0"/>
        </w:rPr>
        <w:t xml:space="preserve">, Direttore Scientifico del DGI e docente di </w:t>
      </w:r>
      <w:r w:rsidDel="00000000" w:rsidR="00000000" w:rsidRPr="00000000">
        <w:rPr>
          <w:rFonts w:ascii="Verdana" w:cs="Verdana" w:eastAsia="Verdana" w:hAnsi="Verdana"/>
          <w:color w:val="2a2828"/>
          <w:sz w:val="18"/>
          <w:szCs w:val="18"/>
          <w:rtl w:val="0"/>
        </w:rPr>
        <w:t xml:space="preserve">“</w:t>
      </w:r>
      <w:r w:rsidDel="00000000" w:rsidR="00000000" w:rsidRPr="00000000">
        <w:rPr>
          <w:rFonts w:ascii="Verdana" w:cs="Verdana" w:eastAsia="Verdana" w:hAnsi="Verdana"/>
          <w:smallCaps w:val="0"/>
          <w:strike w:val="0"/>
          <w:color w:val="2a2828"/>
          <w:sz w:val="18"/>
          <w:szCs w:val="18"/>
          <w:u w:val="none"/>
          <w:shd w:fill="auto" w:val="clear"/>
          <w:vertAlign w:val="baseline"/>
          <w:rtl w:val="0"/>
        </w:rPr>
        <w:t xml:space="preserve">Bitcoin and Blockchain Technology</w:t>
      </w:r>
      <w:r w:rsidDel="00000000" w:rsidR="00000000" w:rsidRPr="00000000">
        <w:rPr>
          <w:rFonts w:ascii="Verdana" w:cs="Verdana" w:eastAsia="Verdana" w:hAnsi="Verdana"/>
          <w:color w:val="2a2828"/>
          <w:sz w:val="18"/>
          <w:szCs w:val="18"/>
          <w:rtl w:val="0"/>
        </w:rPr>
        <w:t xml:space="preserve">”</w:t>
      </w:r>
      <w:r w:rsidDel="00000000" w:rsidR="00000000" w:rsidRPr="00000000">
        <w:rPr>
          <w:rFonts w:ascii="Verdana" w:cs="Verdana" w:eastAsia="Verdana" w:hAnsi="Verdana"/>
          <w:smallCaps w:val="0"/>
          <w:strike w:val="0"/>
          <w:color w:val="2a2828"/>
          <w:sz w:val="18"/>
          <w:szCs w:val="18"/>
          <w:u w:val="none"/>
          <w:shd w:fill="auto" w:val="clear"/>
          <w:vertAlign w:val="baseline"/>
          <w:rtl w:val="0"/>
        </w:rPr>
        <w:t xml:space="preserve"> </w:t>
      </w:r>
      <w:r w:rsidDel="00000000" w:rsidR="00000000" w:rsidRPr="00000000">
        <w:rPr>
          <w:rFonts w:ascii="Verdana" w:cs="Verdana" w:eastAsia="Verdana" w:hAnsi="Verdana"/>
          <w:i w:val="0"/>
          <w:smallCaps w:val="0"/>
          <w:strike w:val="0"/>
          <w:color w:val="2a2828"/>
          <w:sz w:val="18"/>
          <w:szCs w:val="18"/>
          <w:u w:val="none"/>
          <w:shd w:fill="auto" w:val="clear"/>
          <w:vertAlign w:val="baseline"/>
          <w:rtl w:val="0"/>
        </w:rPr>
        <w:t xml:space="preserve">a Milano-Bicocca e</w:t>
      </w:r>
      <w:r w:rsidDel="00000000" w:rsidR="00000000" w:rsidRPr="00000000">
        <w:rPr>
          <w:rFonts w:ascii="Verdana" w:cs="Verdana" w:eastAsia="Verdana" w:hAnsi="Verdana"/>
          <w:color w:val="2a2828"/>
          <w:sz w:val="18"/>
          <w:szCs w:val="18"/>
          <w:rtl w:val="0"/>
        </w:rPr>
        <w:t xml:space="preserve"> Parigi </w:t>
      </w:r>
      <w:r w:rsidDel="00000000" w:rsidR="00000000" w:rsidRPr="00000000">
        <w:rPr>
          <w:rFonts w:ascii="Verdana" w:cs="Verdana" w:eastAsia="Verdana" w:hAnsi="Verdana"/>
          <w:i w:val="0"/>
          <w:smallCaps w:val="0"/>
          <w:strike w:val="0"/>
          <w:color w:val="2a2828"/>
          <w:sz w:val="18"/>
          <w:szCs w:val="18"/>
          <w:u w:val="none"/>
          <w:shd w:fill="auto" w:val="clear"/>
          <w:vertAlign w:val="baseline"/>
          <w:rtl w:val="0"/>
        </w:rPr>
        <w:t xml:space="preserve">ESSEC Business School, ha dichiarato: “</w:t>
      </w:r>
      <w:r w:rsidDel="00000000" w:rsidR="00000000" w:rsidRPr="00000000">
        <w:rPr>
          <w:rFonts w:ascii="Verdana" w:cs="Verdana" w:eastAsia="Verdana" w:hAnsi="Verdana"/>
          <w:i w:val="1"/>
          <w:color w:val="2a2828"/>
          <w:sz w:val="18"/>
          <w:szCs w:val="18"/>
          <w:rtl w:val="0"/>
        </w:rPr>
        <w:t xml:space="preserve">è proseguito nel</w:t>
      </w:r>
      <w:r w:rsidDel="00000000" w:rsidR="00000000" w:rsidRPr="00000000">
        <w:rPr>
          <w:rFonts w:ascii="Verdana" w:cs="Verdana" w:eastAsia="Verdana" w:hAnsi="Verdana"/>
          <w:i w:val="1"/>
          <w:smallCaps w:val="0"/>
          <w:strike w:val="0"/>
          <w:color w:val="2a2828"/>
          <w:sz w:val="18"/>
          <w:szCs w:val="18"/>
          <w:u w:val="none"/>
          <w:shd w:fill="auto" w:val="clear"/>
          <w:vertAlign w:val="baseline"/>
          <w:rtl w:val="0"/>
        </w:rPr>
        <w:t xml:space="preserve"> </w:t>
      </w:r>
      <w:r w:rsidDel="00000000" w:rsidR="00000000" w:rsidRPr="00000000">
        <w:rPr>
          <w:rFonts w:ascii="Verdana" w:cs="Verdana" w:eastAsia="Verdana" w:hAnsi="Verdana"/>
          <w:i w:val="1"/>
          <w:color w:val="2a2828"/>
          <w:sz w:val="18"/>
          <w:szCs w:val="18"/>
          <w:rtl w:val="0"/>
        </w:rPr>
        <w:t xml:space="preserve">quarto</w:t>
      </w:r>
      <w:r w:rsidDel="00000000" w:rsidR="00000000" w:rsidRPr="00000000">
        <w:rPr>
          <w:rFonts w:ascii="Verdana" w:cs="Verdana" w:eastAsia="Verdana" w:hAnsi="Verdana"/>
          <w:i w:val="1"/>
          <w:smallCaps w:val="0"/>
          <w:strike w:val="0"/>
          <w:color w:val="2a2828"/>
          <w:sz w:val="18"/>
          <w:szCs w:val="18"/>
          <w:u w:val="none"/>
          <w:shd w:fill="auto" w:val="clear"/>
          <w:vertAlign w:val="baseline"/>
          <w:rtl w:val="0"/>
        </w:rPr>
        <w:t xml:space="preserve"> trimestre 2022 </w:t>
      </w:r>
      <w:r w:rsidDel="00000000" w:rsidR="00000000" w:rsidRPr="00000000">
        <w:rPr>
          <w:rFonts w:ascii="Verdana" w:cs="Verdana" w:eastAsia="Verdana" w:hAnsi="Verdana"/>
          <w:i w:val="1"/>
          <w:color w:val="2a2828"/>
          <w:sz w:val="18"/>
          <w:szCs w:val="18"/>
          <w:rtl w:val="0"/>
        </w:rPr>
        <w:t xml:space="preserve">il crescendo di </w:t>
      </w:r>
      <w:r w:rsidDel="00000000" w:rsidR="00000000" w:rsidRPr="00000000">
        <w:rPr>
          <w:rFonts w:ascii="Verdana" w:cs="Verdana" w:eastAsia="Verdana" w:hAnsi="Verdana"/>
          <w:b w:val="1"/>
          <w:i w:val="1"/>
          <w:color w:val="2a2828"/>
          <w:sz w:val="18"/>
          <w:szCs w:val="18"/>
          <w:rtl w:val="0"/>
        </w:rPr>
        <w:t xml:space="preserve">scandali e fallimenti che hanno coinvolto intermediari inaffidabili, con il conseguente crollo delle quotazioni</w:t>
      </w:r>
      <w:r w:rsidDel="00000000" w:rsidR="00000000" w:rsidRPr="00000000">
        <w:rPr>
          <w:rFonts w:ascii="Verdana" w:cs="Verdana" w:eastAsia="Verdana" w:hAnsi="Verdana"/>
          <w:i w:val="1"/>
          <w:color w:val="2a2828"/>
          <w:sz w:val="18"/>
          <w:szCs w:val="18"/>
          <w:rtl w:val="0"/>
        </w:rPr>
        <w:t xml:space="preserve">. Quanto al primo aspetto, è diventato evidente che gli esorbitanti rendimenti offerti da alcuni erano di fatto schemi di Ponzi, yielding/farming/staking hanno un rischio di controparte troppe volte sottostimato, </w:t>
      </w:r>
      <w:r w:rsidDel="00000000" w:rsidR="00000000" w:rsidRPr="00000000">
        <w:rPr>
          <w:rFonts w:ascii="Verdana" w:cs="Verdana" w:eastAsia="Verdana" w:hAnsi="Verdana"/>
          <w:b w:val="1"/>
          <w:i w:val="1"/>
          <w:color w:val="2a2828"/>
          <w:sz w:val="18"/>
          <w:szCs w:val="18"/>
          <w:rtl w:val="0"/>
        </w:rPr>
        <w:t xml:space="preserve">attori e processi non trasparenti sono da considerare inaffidabili e la segregazione tra i beni dei clienti e quelli dell’intermediario deve essere netta e chiara</w:t>
      </w:r>
      <w:r w:rsidDel="00000000" w:rsidR="00000000" w:rsidRPr="00000000">
        <w:rPr>
          <w:rFonts w:ascii="Verdana" w:cs="Verdana" w:eastAsia="Verdana" w:hAnsi="Verdana"/>
          <w:i w:val="0"/>
          <w:smallCaps w:val="0"/>
          <w:strike w:val="0"/>
          <w:color w:val="2a2828"/>
          <w:sz w:val="18"/>
          <w:szCs w:val="18"/>
          <w:u w:val="none"/>
          <w:shd w:fill="auto" w:val="clear"/>
          <w:vertAlign w:val="baseline"/>
          <w:rtl w:val="0"/>
        </w:rPr>
        <w:t xml:space="preserve">”</w:t>
      </w:r>
      <w:r w:rsidDel="00000000" w:rsidR="00000000" w:rsidRPr="00000000">
        <w:rPr>
          <w:rFonts w:ascii="Verdana" w:cs="Verdana" w:eastAsia="Verdana" w:hAnsi="Verdana"/>
          <w:color w:val="2a2828"/>
          <w:sz w:val="18"/>
          <w:szCs w:val="18"/>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0130615234375" w:line="364.2986583709717" w:lineRule="auto"/>
        <w:ind w:left="0" w:right="-5.799560546875" w:firstLine="0"/>
        <w:jc w:val="both"/>
        <w:rPr>
          <w:rFonts w:ascii="Verdana" w:cs="Verdana" w:eastAsia="Verdana" w:hAnsi="Verdana"/>
          <w:b w:val="0"/>
          <w:i w:val="0"/>
          <w:smallCaps w:val="0"/>
          <w:strike w:val="0"/>
          <w:color w:val="2a2828"/>
          <w:sz w:val="18"/>
          <w:szCs w:val="18"/>
          <w:u w:val="none"/>
          <w:shd w:fill="auto" w:val="clear"/>
          <w:vertAlign w:val="baseline"/>
        </w:rPr>
      </w:pPr>
      <w:r w:rsidDel="00000000" w:rsidR="00000000" w:rsidRPr="00000000">
        <w:rPr>
          <w:rFonts w:ascii="Verdana" w:cs="Verdana" w:eastAsia="Verdana" w:hAnsi="Verdana"/>
          <w:b w:val="0"/>
          <w:i w:val="0"/>
          <w:smallCaps w:val="0"/>
          <w:strike w:val="0"/>
          <w:color w:val="2a2828"/>
          <w:sz w:val="18"/>
          <w:szCs w:val="18"/>
          <w:u w:val="none"/>
          <w:shd w:fill="auto" w:val="clear"/>
          <w:vertAlign w:val="baseline"/>
          <w:rtl w:val="0"/>
        </w:rPr>
        <w:t xml:space="preserve">Qua</w:t>
      </w:r>
      <w:r w:rsidDel="00000000" w:rsidR="00000000" w:rsidRPr="00000000">
        <w:rPr>
          <w:rFonts w:ascii="Verdana" w:cs="Verdana" w:eastAsia="Verdana" w:hAnsi="Verdana"/>
          <w:color w:val="2a2828"/>
          <w:sz w:val="18"/>
          <w:szCs w:val="18"/>
          <w:rtl w:val="0"/>
        </w:rPr>
        <w:t xml:space="preserve">nto al crollo delle quotazioni, </w:t>
      </w:r>
      <w:r w:rsidDel="00000000" w:rsidR="00000000" w:rsidRPr="00000000">
        <w:rPr>
          <w:rFonts w:ascii="Verdana" w:cs="Verdana" w:eastAsia="Verdana" w:hAnsi="Verdana"/>
          <w:b w:val="0"/>
          <w:i w:val="0"/>
          <w:smallCaps w:val="0"/>
          <w:strike w:val="0"/>
          <w:color w:val="2a2828"/>
          <w:sz w:val="18"/>
          <w:szCs w:val="18"/>
          <w:u w:val="none"/>
          <w:shd w:fill="auto" w:val="clear"/>
          <w:vertAlign w:val="baseline"/>
          <w:rtl w:val="0"/>
        </w:rPr>
        <w:t xml:space="preserve">Ametrano ha evidenziato che “</w:t>
      </w:r>
      <w:r w:rsidDel="00000000" w:rsidR="00000000" w:rsidRPr="00000000">
        <w:rPr>
          <w:rFonts w:ascii="Verdana" w:cs="Verdana" w:eastAsia="Verdana" w:hAnsi="Verdana"/>
          <w:i w:val="1"/>
          <w:color w:val="2a2828"/>
          <w:sz w:val="18"/>
          <w:szCs w:val="18"/>
          <w:rtl w:val="0"/>
        </w:rPr>
        <w:t xml:space="preserve">da un lato, </w:t>
      </w:r>
      <w:r w:rsidDel="00000000" w:rsidR="00000000" w:rsidRPr="00000000">
        <w:rPr>
          <w:rFonts w:ascii="Verdana" w:cs="Verdana" w:eastAsia="Verdana" w:hAnsi="Verdana"/>
          <w:b w:val="1"/>
          <w:i w:val="1"/>
          <w:color w:val="2a2828"/>
          <w:sz w:val="18"/>
          <w:szCs w:val="18"/>
          <w:rtl w:val="0"/>
        </w:rPr>
        <w:t xml:space="preserve">chi conosce il mondo cripto ha già visto in passato ritracciamenti di prezzo drammatici, compensati successivamente da crescite vigorose</w:t>
      </w:r>
      <w:r w:rsidDel="00000000" w:rsidR="00000000" w:rsidRPr="00000000">
        <w:rPr>
          <w:rFonts w:ascii="Verdana" w:cs="Verdana" w:eastAsia="Verdana" w:hAnsi="Verdana"/>
          <w:i w:val="1"/>
          <w:color w:val="2a2828"/>
          <w:sz w:val="18"/>
          <w:szCs w:val="18"/>
          <w:rtl w:val="0"/>
        </w:rPr>
        <w:t xml:space="preserve">; dall’altro, </w:t>
      </w:r>
      <w:r w:rsidDel="00000000" w:rsidR="00000000" w:rsidRPr="00000000">
        <w:rPr>
          <w:rFonts w:ascii="Verdana" w:cs="Verdana" w:eastAsia="Verdana" w:hAnsi="Verdana"/>
          <w:b w:val="1"/>
          <w:i w:val="1"/>
          <w:color w:val="2a2828"/>
          <w:sz w:val="18"/>
          <w:szCs w:val="18"/>
          <w:rtl w:val="0"/>
        </w:rPr>
        <w:t xml:space="preserve">Bitcoin ha continuato a funzionare perfettamente</w:t>
      </w:r>
      <w:r w:rsidDel="00000000" w:rsidR="00000000" w:rsidRPr="00000000">
        <w:rPr>
          <w:rFonts w:ascii="Verdana" w:cs="Verdana" w:eastAsia="Verdana" w:hAnsi="Verdana"/>
          <w:i w:val="1"/>
          <w:color w:val="2a2828"/>
          <w:sz w:val="18"/>
          <w:szCs w:val="18"/>
          <w:rtl w:val="0"/>
        </w:rPr>
        <w:t xml:space="preserve">, confermando il suo ruolo di riferimento nel mondo cripto: l’asset che si usa a garanzia, l’oro di famiglia che si vende nei momenti di crisi. Se gli operatori di mercato ancora non hanno riconosciuto questo merito nei prezzi, comunque nessuna delle truffe o degli scandali che abbiamo visto erano basati su bitcoin: la sua trasparenza e il suo determinismo algoritmico non si prestano infatti a schemi malversatori</w:t>
      </w:r>
      <w:r w:rsidDel="00000000" w:rsidR="00000000" w:rsidRPr="00000000">
        <w:rPr>
          <w:rFonts w:ascii="Verdana" w:cs="Verdana" w:eastAsia="Verdana" w:hAnsi="Verdana"/>
          <w:b w:val="0"/>
          <w:i w:val="0"/>
          <w:smallCaps w:val="0"/>
          <w:strike w:val="0"/>
          <w:color w:val="2a2828"/>
          <w:sz w:val="18"/>
          <w:szCs w:val="18"/>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159851074219" w:line="365.18726348876953" w:lineRule="auto"/>
        <w:ind w:left="0" w:right="-5.799560546875" w:firstLine="0"/>
        <w:jc w:val="both"/>
        <w:rPr>
          <w:rFonts w:ascii="Verdana" w:cs="Verdana" w:eastAsia="Verdana" w:hAnsi="Verdana"/>
          <w:color w:val="2a2828"/>
          <w:sz w:val="18"/>
          <w:szCs w:val="18"/>
        </w:rPr>
      </w:pPr>
      <w:r w:rsidDel="00000000" w:rsidR="00000000" w:rsidRPr="00000000">
        <w:rPr>
          <w:rFonts w:ascii="Verdana" w:cs="Verdana" w:eastAsia="Verdana" w:hAnsi="Verdana"/>
          <w:color w:val="2a2828"/>
          <w:sz w:val="18"/>
          <w:szCs w:val="18"/>
          <w:rtl w:val="0"/>
        </w:rPr>
        <w:t xml:space="preserve">Non sono mancate osservazioni </w:t>
      </w:r>
      <w:r w:rsidDel="00000000" w:rsidR="00000000" w:rsidRPr="00000000">
        <w:rPr>
          <w:rFonts w:ascii="Verdana" w:cs="Verdana" w:eastAsia="Verdana" w:hAnsi="Verdana"/>
          <w:b w:val="1"/>
          <w:color w:val="2a2828"/>
          <w:sz w:val="18"/>
          <w:szCs w:val="18"/>
          <w:rtl w:val="0"/>
        </w:rPr>
        <w:t xml:space="preserve">critiche verso i regolatori</w:t>
      </w:r>
      <w:r w:rsidDel="00000000" w:rsidR="00000000" w:rsidRPr="00000000">
        <w:rPr>
          <w:rFonts w:ascii="Verdana" w:cs="Verdana" w:eastAsia="Verdana" w:hAnsi="Verdana"/>
          <w:color w:val="2a2828"/>
          <w:sz w:val="18"/>
          <w:szCs w:val="18"/>
          <w:rtl w:val="0"/>
        </w:rPr>
        <w:t xml:space="preserve">, per i loro atteggiamenti dissuasivi </w:t>
      </w:r>
      <w:r w:rsidDel="00000000" w:rsidR="00000000" w:rsidRPr="00000000">
        <w:rPr>
          <w:rFonts w:ascii="Verdana" w:cs="Verdana" w:eastAsia="Verdana" w:hAnsi="Verdana"/>
          <w:color w:val="2a2828"/>
          <w:sz w:val="18"/>
          <w:szCs w:val="18"/>
          <w:rtl w:val="0"/>
        </w:rPr>
        <w:t xml:space="preserve">che</w:t>
      </w:r>
      <w:r w:rsidDel="00000000" w:rsidR="00000000" w:rsidRPr="00000000">
        <w:rPr>
          <w:rFonts w:ascii="Verdana" w:cs="Verdana" w:eastAsia="Verdana" w:hAnsi="Verdana"/>
          <w:color w:val="2a2828"/>
          <w:sz w:val="18"/>
          <w:szCs w:val="18"/>
          <w:rtl w:val="0"/>
        </w:rPr>
        <w:t xml:space="preserve"> “</w:t>
      </w:r>
      <w:r w:rsidDel="00000000" w:rsidR="00000000" w:rsidRPr="00000000">
        <w:rPr>
          <w:rFonts w:ascii="Verdana" w:cs="Verdana" w:eastAsia="Verdana" w:hAnsi="Verdana"/>
          <w:b w:val="1"/>
          <w:i w:val="1"/>
          <w:color w:val="2a2828"/>
          <w:sz w:val="18"/>
          <w:szCs w:val="18"/>
          <w:rtl w:val="0"/>
        </w:rPr>
        <w:t xml:space="preserve">fermano gli attori finanziari vigilati che vogliono offrire servizi cripto e scoraggiano le società di revisione e consulenza ad operare professionalmente con le aziende cripto</w:t>
      </w:r>
      <w:r w:rsidDel="00000000" w:rsidR="00000000" w:rsidRPr="00000000">
        <w:rPr>
          <w:rFonts w:ascii="Verdana" w:cs="Verdana" w:eastAsia="Verdana" w:hAnsi="Verdana"/>
          <w:i w:val="1"/>
          <w:color w:val="2a2828"/>
          <w:sz w:val="18"/>
          <w:szCs w:val="18"/>
          <w:rtl w:val="0"/>
        </w:rPr>
        <w:t xml:space="preserve">. Ci vorrà onestà intellettuale per rettificare queste indicazioni improvvide fornite da regolatori italiani ed europei negli ultimi mesi, il cui paradossale effetto è di abbandonare risparmiatori ed investitori in balìa di operatori inaffidabili</w:t>
      </w:r>
      <w:r w:rsidDel="00000000" w:rsidR="00000000" w:rsidRPr="00000000">
        <w:rPr>
          <w:rFonts w:ascii="Verdana" w:cs="Verdana" w:eastAsia="Verdana" w:hAnsi="Verdana"/>
          <w:color w:val="2a2828"/>
          <w:sz w:val="18"/>
          <w:szCs w:val="18"/>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159851074219" w:line="365.18726348876953" w:lineRule="auto"/>
        <w:ind w:left="0" w:right="-5.799560546875" w:firstLine="0"/>
        <w:jc w:val="both"/>
        <w:rPr>
          <w:rFonts w:ascii="Verdana" w:cs="Verdana" w:eastAsia="Verdana" w:hAnsi="Verdana"/>
          <w:color w:val="2a2828"/>
          <w:sz w:val="18"/>
          <w:szCs w:val="18"/>
        </w:rPr>
      </w:pPr>
      <w:r w:rsidDel="00000000" w:rsidR="00000000" w:rsidRPr="00000000">
        <w:rPr>
          <w:rFonts w:ascii="Verdana" w:cs="Verdana" w:eastAsia="Verdana" w:hAnsi="Verdana"/>
          <w:b w:val="0"/>
          <w:i w:val="0"/>
          <w:smallCaps w:val="0"/>
          <w:strike w:val="0"/>
          <w:color w:val="2a2828"/>
          <w:sz w:val="18"/>
          <w:szCs w:val="18"/>
          <w:u w:val="none"/>
          <w:shd w:fill="auto" w:val="clear"/>
          <w:vertAlign w:val="baseline"/>
          <w:rtl w:val="0"/>
        </w:rPr>
        <w:t xml:space="preserve">Infine, Ametrano ha sottolineato che </w:t>
      </w:r>
      <w:r w:rsidDel="00000000" w:rsidR="00000000" w:rsidRPr="00000000">
        <w:rPr>
          <w:rFonts w:ascii="Verdana" w:cs="Verdana" w:eastAsia="Verdana" w:hAnsi="Verdana"/>
          <w:b w:val="1"/>
          <w:color w:val="2a2828"/>
          <w:sz w:val="18"/>
          <w:szCs w:val="18"/>
          <w:rtl w:val="0"/>
        </w:rPr>
        <w:t xml:space="preserve">per il 2023</w:t>
      </w:r>
      <w:r w:rsidDel="00000000" w:rsidR="00000000" w:rsidRPr="00000000">
        <w:rPr>
          <w:rFonts w:ascii="Verdana" w:cs="Verdana" w:eastAsia="Verdana" w:hAnsi="Verdana"/>
          <w:color w:val="2a2828"/>
          <w:sz w:val="18"/>
          <w:szCs w:val="18"/>
          <w:rtl w:val="0"/>
        </w:rPr>
        <w:t xml:space="preserve"> “</w:t>
      </w:r>
      <w:r w:rsidDel="00000000" w:rsidR="00000000" w:rsidRPr="00000000">
        <w:rPr>
          <w:rFonts w:ascii="Verdana" w:cs="Verdana" w:eastAsia="Verdana" w:hAnsi="Verdana"/>
          <w:b w:val="1"/>
          <w:i w:val="1"/>
          <w:color w:val="2a2828"/>
          <w:sz w:val="18"/>
          <w:szCs w:val="18"/>
          <w:rtl w:val="0"/>
        </w:rPr>
        <w:t xml:space="preserve">i rischi principali </w:t>
      </w:r>
      <w:r w:rsidDel="00000000" w:rsidR="00000000" w:rsidRPr="00000000">
        <w:rPr>
          <w:rFonts w:ascii="Verdana" w:cs="Verdana" w:eastAsia="Verdana" w:hAnsi="Verdana"/>
          <w:b w:val="1"/>
          <w:i w:val="1"/>
          <w:smallCaps w:val="0"/>
          <w:strike w:val="0"/>
          <w:color w:val="2a2828"/>
          <w:sz w:val="18"/>
          <w:szCs w:val="18"/>
          <w:u w:val="none"/>
          <w:shd w:fill="auto" w:val="clear"/>
          <w:vertAlign w:val="baseline"/>
          <w:rtl w:val="0"/>
        </w:rPr>
        <w:t xml:space="preserve">riguardano principalmente la </w:t>
      </w:r>
      <w:r w:rsidDel="00000000" w:rsidR="00000000" w:rsidRPr="00000000">
        <w:rPr>
          <w:rFonts w:ascii="Verdana" w:cs="Verdana" w:eastAsia="Verdana" w:hAnsi="Verdana"/>
          <w:b w:val="1"/>
          <w:i w:val="1"/>
          <w:color w:val="2a2828"/>
          <w:sz w:val="18"/>
          <w:szCs w:val="18"/>
          <w:rtl w:val="0"/>
        </w:rPr>
        <w:t xml:space="preserve">tenuta</w:t>
      </w:r>
      <w:r w:rsidDel="00000000" w:rsidR="00000000" w:rsidRPr="00000000">
        <w:rPr>
          <w:rFonts w:ascii="Verdana" w:cs="Verdana" w:eastAsia="Verdana" w:hAnsi="Verdana"/>
          <w:b w:val="1"/>
          <w:i w:val="1"/>
          <w:smallCaps w:val="0"/>
          <w:strike w:val="0"/>
          <w:color w:val="2a2828"/>
          <w:sz w:val="18"/>
          <w:szCs w:val="18"/>
          <w:u w:val="none"/>
          <w:shd w:fill="auto" w:val="clear"/>
          <w:vertAlign w:val="baseline"/>
          <w:rtl w:val="0"/>
        </w:rPr>
        <w:t xml:space="preserve"> di attori sistemi</w:t>
      </w:r>
      <w:r w:rsidDel="00000000" w:rsidR="00000000" w:rsidRPr="00000000">
        <w:rPr>
          <w:rFonts w:ascii="Verdana" w:cs="Verdana" w:eastAsia="Verdana" w:hAnsi="Verdana"/>
          <w:b w:val="1"/>
          <w:i w:val="1"/>
          <w:color w:val="2a2828"/>
          <w:sz w:val="18"/>
          <w:szCs w:val="18"/>
          <w:rtl w:val="0"/>
        </w:rPr>
        <w:t xml:space="preserve">camente rilevanti </w:t>
      </w:r>
      <w:r w:rsidDel="00000000" w:rsidR="00000000" w:rsidRPr="00000000">
        <w:rPr>
          <w:rFonts w:ascii="Verdana" w:cs="Verdana" w:eastAsia="Verdana" w:hAnsi="Verdana"/>
          <w:b w:val="1"/>
          <w:i w:val="1"/>
          <w:smallCaps w:val="0"/>
          <w:strike w:val="0"/>
          <w:color w:val="2a2828"/>
          <w:sz w:val="18"/>
          <w:szCs w:val="18"/>
          <w:u w:val="none"/>
          <w:shd w:fill="auto" w:val="clear"/>
          <w:vertAlign w:val="baseline"/>
          <w:rtl w:val="0"/>
        </w:rPr>
        <w:t xml:space="preserve">come Tether, Binance e DCG/GrayScale</w:t>
      </w:r>
      <w:r w:rsidDel="00000000" w:rsidR="00000000" w:rsidRPr="00000000">
        <w:rPr>
          <w:rFonts w:ascii="Verdana" w:cs="Verdana" w:eastAsia="Verdana" w:hAnsi="Verdana"/>
          <w:b w:val="0"/>
          <w:i w:val="1"/>
          <w:smallCaps w:val="0"/>
          <w:strike w:val="0"/>
          <w:color w:val="2a2828"/>
          <w:sz w:val="18"/>
          <w:szCs w:val="18"/>
          <w:u w:val="none"/>
          <w:shd w:fill="auto" w:val="clear"/>
          <w:vertAlign w:val="baseline"/>
          <w:rtl w:val="0"/>
        </w:rPr>
        <w:t xml:space="preserve">, ma anche la resilienza della miriade di operatori minori. </w:t>
      </w:r>
      <w:r w:rsidDel="00000000" w:rsidR="00000000" w:rsidRPr="00000000">
        <w:rPr>
          <w:rFonts w:ascii="Verdana" w:cs="Verdana" w:eastAsia="Verdana" w:hAnsi="Verdana"/>
          <w:i w:val="1"/>
          <w:color w:val="2a2828"/>
          <w:sz w:val="18"/>
          <w:szCs w:val="18"/>
          <w:rtl w:val="0"/>
        </w:rPr>
        <w:t xml:space="preserve">U</w:t>
      </w:r>
      <w:r w:rsidDel="00000000" w:rsidR="00000000" w:rsidRPr="00000000">
        <w:rPr>
          <w:rFonts w:ascii="Verdana" w:cs="Verdana" w:eastAsia="Verdana" w:hAnsi="Verdana"/>
          <w:b w:val="0"/>
          <w:i w:val="1"/>
          <w:smallCaps w:val="0"/>
          <w:strike w:val="0"/>
          <w:color w:val="2a2828"/>
          <w:sz w:val="18"/>
          <w:szCs w:val="18"/>
          <w:u w:val="none"/>
          <w:shd w:fill="auto" w:val="clear"/>
          <w:vertAlign w:val="baseline"/>
          <w:rtl w:val="0"/>
        </w:rPr>
        <w:t xml:space="preserve">n quadro stabile </w:t>
      </w:r>
      <w:r w:rsidDel="00000000" w:rsidR="00000000" w:rsidRPr="00000000">
        <w:rPr>
          <w:rFonts w:ascii="Verdana" w:cs="Verdana" w:eastAsia="Verdana" w:hAnsi="Verdana"/>
          <w:i w:val="1"/>
          <w:color w:val="2a2828"/>
          <w:sz w:val="18"/>
          <w:szCs w:val="18"/>
          <w:rtl w:val="0"/>
        </w:rPr>
        <w:t xml:space="preserve">vedrebbe facilmente una ripresa del valore delle principali criptovalute, Bitcoin e Ether su tutte. Se gli scenari dovessero essere invece più caotici, </w:t>
      </w:r>
      <w:r w:rsidDel="00000000" w:rsidR="00000000" w:rsidRPr="00000000">
        <w:rPr>
          <w:rFonts w:ascii="Verdana" w:cs="Verdana" w:eastAsia="Verdana" w:hAnsi="Verdana"/>
          <w:b w:val="1"/>
          <w:i w:val="1"/>
          <w:color w:val="2a2828"/>
          <w:sz w:val="18"/>
          <w:szCs w:val="18"/>
          <w:rtl w:val="0"/>
        </w:rPr>
        <w:t xml:space="preserve">gli investitori cripto dovranno avere la pazienza di attendere che il mercato impari a discriminare i valori in campo</w:t>
      </w:r>
      <w:r w:rsidDel="00000000" w:rsidR="00000000" w:rsidRPr="00000000">
        <w:rPr>
          <w:rFonts w:ascii="Verdana" w:cs="Verdana" w:eastAsia="Verdana" w:hAnsi="Verdana"/>
          <w:i w:val="1"/>
          <w:color w:val="2a2828"/>
          <w:sz w:val="18"/>
          <w:szCs w:val="18"/>
          <w:rtl w:val="0"/>
        </w:rPr>
        <w:t xml:space="preserve">, un po’ come fu necessaria pazienza quando allo scoppio della bolla dot.com il mercato non distingueva Amazon.com da Pets.com</w:t>
      </w:r>
      <w:r w:rsidDel="00000000" w:rsidR="00000000" w:rsidRPr="00000000">
        <w:rPr>
          <w:rFonts w:ascii="Verdana" w:cs="Verdana" w:eastAsia="Verdana" w:hAnsi="Verdana"/>
          <w:color w:val="2a2828"/>
          <w:sz w:val="18"/>
          <w:szCs w:val="18"/>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159851074219" w:line="365.18726348876953" w:lineRule="auto"/>
        <w:ind w:left="0" w:right="-5.799560546875" w:firstLine="0"/>
        <w:jc w:val="both"/>
        <w:rPr>
          <w:rFonts w:ascii="Verdana" w:cs="Verdana" w:eastAsia="Verdana" w:hAnsi="Verdana"/>
          <w:color w:val="2a2828"/>
          <w:sz w:val="18"/>
          <w:szCs w:val="18"/>
        </w:rPr>
      </w:pPr>
      <w:r w:rsidDel="00000000" w:rsidR="00000000" w:rsidRPr="00000000">
        <w:rPr>
          <w:rFonts w:ascii="Verdana" w:cs="Verdana" w:eastAsia="Verdana" w:hAnsi="Verdana"/>
          <w:color w:val="2a2828"/>
          <w:sz w:val="18"/>
          <w:szCs w:val="18"/>
          <w:rtl w:val="0"/>
        </w:rPr>
        <w:t xml:space="preserve">È consuetudine che alla presentazione del report trimestrale DGI intervenga un ospite qualificato. Questa è stata la volta di </w:t>
      </w:r>
      <w:r w:rsidDel="00000000" w:rsidR="00000000" w:rsidRPr="00000000">
        <w:rPr>
          <w:rFonts w:ascii="Verdana" w:cs="Verdana" w:eastAsia="Verdana" w:hAnsi="Verdana"/>
          <w:b w:val="1"/>
          <w:color w:val="2a2828"/>
          <w:sz w:val="18"/>
          <w:szCs w:val="18"/>
          <w:u w:val="single"/>
          <w:rtl w:val="0"/>
        </w:rPr>
        <w:t xml:space="preserve">Francesco Avella</w:t>
      </w:r>
      <w:r w:rsidDel="00000000" w:rsidR="00000000" w:rsidRPr="00000000">
        <w:rPr>
          <w:rFonts w:ascii="Verdana" w:cs="Verdana" w:eastAsia="Verdana" w:hAnsi="Verdana"/>
          <w:color w:val="2a2828"/>
          <w:sz w:val="18"/>
          <w:szCs w:val="18"/>
          <w:rtl w:val="0"/>
        </w:rPr>
        <w:t xml:space="preserve">, LL.M.</w:t>
      </w:r>
      <w:r w:rsidDel="00000000" w:rsidR="00000000" w:rsidRPr="00000000">
        <w:rPr>
          <w:rFonts w:ascii="Verdana" w:cs="Verdana" w:eastAsia="Verdana" w:hAnsi="Verdana"/>
          <w:i w:val="0"/>
          <w:smallCaps w:val="0"/>
          <w:strike w:val="0"/>
          <w:color w:val="2a2828"/>
          <w:sz w:val="18"/>
          <w:szCs w:val="18"/>
          <w:shd w:fill="auto" w:val="clear"/>
          <w:vertAlign w:val="baseline"/>
          <w:rtl w:val="0"/>
        </w:rPr>
        <w:t xml:space="preserve">, </w:t>
      </w:r>
      <w:r w:rsidDel="00000000" w:rsidR="00000000" w:rsidRPr="00000000">
        <w:rPr>
          <w:rFonts w:ascii="Verdana" w:cs="Verdana" w:eastAsia="Verdana" w:hAnsi="Verdana"/>
          <w:color w:val="2a2828"/>
          <w:sz w:val="18"/>
          <w:szCs w:val="18"/>
          <w:rtl w:val="0"/>
        </w:rPr>
        <w:t xml:space="preserve">Managing Partner di Studio Avella e Associati, esperto di diritto tributario nazionale e internazionale e di fiscalità delle cripto-attività, che ha commentato le recenti novità introdotte dalla legge di bilancio 2023.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159851074219" w:line="365.18726348876953" w:lineRule="auto"/>
        <w:ind w:left="0" w:right="-5.799560546875" w:firstLine="0"/>
        <w:jc w:val="both"/>
        <w:rPr>
          <w:rFonts w:ascii="Verdana" w:cs="Verdana" w:eastAsia="Verdana" w:hAnsi="Verdana"/>
          <w:color w:val="2a2828"/>
          <w:sz w:val="18"/>
          <w:szCs w:val="18"/>
        </w:rPr>
      </w:pPr>
      <w:r w:rsidDel="00000000" w:rsidR="00000000" w:rsidRPr="00000000">
        <w:rPr>
          <w:rFonts w:ascii="Verdana" w:cs="Verdana" w:eastAsia="Verdana" w:hAnsi="Verdana"/>
          <w:b w:val="0"/>
          <w:i w:val="0"/>
          <w:smallCaps w:val="0"/>
          <w:strike w:val="0"/>
          <w:color w:val="2a2828"/>
          <w:sz w:val="18"/>
          <w:szCs w:val="18"/>
          <w:u w:val="none"/>
          <w:shd w:fill="auto" w:val="clear"/>
          <w:vertAlign w:val="baseline"/>
          <w:rtl w:val="0"/>
        </w:rPr>
        <w:t xml:space="preserve">“</w:t>
      </w:r>
      <w:r w:rsidDel="00000000" w:rsidR="00000000" w:rsidRPr="00000000">
        <w:rPr>
          <w:rFonts w:ascii="Verdana" w:cs="Verdana" w:eastAsia="Verdana" w:hAnsi="Verdana"/>
          <w:i w:val="1"/>
          <w:color w:val="2a2828"/>
          <w:sz w:val="18"/>
          <w:szCs w:val="18"/>
          <w:rtl w:val="0"/>
        </w:rPr>
        <w:t xml:space="preserve">L’</w:t>
      </w:r>
      <w:r w:rsidDel="00000000" w:rsidR="00000000" w:rsidRPr="00000000">
        <w:rPr>
          <w:rFonts w:ascii="Verdana" w:cs="Verdana" w:eastAsia="Verdana" w:hAnsi="Verdana"/>
          <w:b w:val="1"/>
          <w:i w:val="1"/>
          <w:color w:val="2a2828"/>
          <w:sz w:val="18"/>
          <w:szCs w:val="18"/>
          <w:rtl w:val="0"/>
        </w:rPr>
        <w:t xml:space="preserve">Italia è tra i primi paesi al mondo ad essersi dotati di una specifica legislazione in materia</w:t>
      </w:r>
      <w:r w:rsidDel="00000000" w:rsidR="00000000" w:rsidRPr="00000000">
        <w:rPr>
          <w:rFonts w:ascii="Verdana" w:cs="Verdana" w:eastAsia="Verdana" w:hAnsi="Verdana"/>
          <w:color w:val="2a2828"/>
          <w:sz w:val="18"/>
          <w:szCs w:val="18"/>
          <w:rtl w:val="0"/>
        </w:rPr>
        <w:t xml:space="preserve">”,  ha spiegato Avella. “</w:t>
      </w:r>
      <w:r w:rsidDel="00000000" w:rsidR="00000000" w:rsidRPr="00000000">
        <w:rPr>
          <w:rFonts w:ascii="Verdana" w:cs="Verdana" w:eastAsia="Verdana" w:hAnsi="Verdana"/>
          <w:i w:val="1"/>
          <w:color w:val="2a2828"/>
          <w:sz w:val="18"/>
          <w:szCs w:val="18"/>
          <w:rtl w:val="0"/>
        </w:rPr>
        <w:t xml:space="preserve">Le</w:t>
      </w:r>
      <w:r w:rsidDel="00000000" w:rsidR="00000000" w:rsidRPr="00000000">
        <w:rPr>
          <w:rFonts w:ascii="Verdana" w:cs="Verdana" w:eastAsia="Verdana" w:hAnsi="Verdana"/>
          <w:i w:val="1"/>
          <w:color w:val="2a2828"/>
          <w:sz w:val="18"/>
          <w:szCs w:val="18"/>
          <w:rtl w:val="0"/>
        </w:rPr>
        <w:t xml:space="preserve"> nuove norme, che decorrono dal periodo d’imposta 2023, introducono una specifica nozione tributaria di “cripto-attività”. Per gli investitori privati i connessi proventi sono una sottocategoria dei redditi diversi di natura finanziaria soggetti a tassazione se superiori a 2.000 euro nel periodo d’imposta; inoltre, sono fiscalmente irrilevanti alcune permute tra cripto-attività, sebbene la norma necessiterebbe di chiarimenti. </w:t>
      </w:r>
      <w:r w:rsidDel="00000000" w:rsidR="00000000" w:rsidRPr="00000000">
        <w:rPr>
          <w:rFonts w:ascii="Verdana" w:cs="Verdana" w:eastAsia="Verdana" w:hAnsi="Verdana"/>
          <w:i w:val="1"/>
          <w:color w:val="2a2828"/>
          <w:sz w:val="18"/>
          <w:szCs w:val="18"/>
          <w:rtl w:val="0"/>
        </w:rPr>
        <w:t xml:space="preserve">Molto cri</w:t>
      </w:r>
      <w:r w:rsidDel="00000000" w:rsidR="00000000" w:rsidRPr="00000000">
        <w:rPr>
          <w:rFonts w:ascii="Verdana" w:cs="Verdana" w:eastAsia="Verdana" w:hAnsi="Verdana"/>
          <w:i w:val="1"/>
          <w:color w:val="2a2828"/>
          <w:sz w:val="18"/>
          <w:szCs w:val="18"/>
          <w:rtl w:val="0"/>
        </w:rPr>
        <w:t xml:space="preserve">ticata e foriera di svariati dubbi applicativi è, invece, l</w:t>
      </w:r>
      <w:r w:rsidDel="00000000" w:rsidR="00000000" w:rsidRPr="00000000">
        <w:rPr>
          <w:rFonts w:ascii="Verdana" w:cs="Verdana" w:eastAsia="Verdana" w:hAnsi="Verdana"/>
          <w:b w:val="1"/>
          <w:i w:val="1"/>
          <w:color w:val="2a2828"/>
          <w:sz w:val="18"/>
          <w:szCs w:val="18"/>
          <w:rtl w:val="0"/>
        </w:rPr>
        <w:t xml:space="preserve">’introduzione di una imposta patrimoniale dello 0,2% all’anno sulle cripto-attività</w:t>
      </w:r>
      <w:r w:rsidDel="00000000" w:rsidR="00000000" w:rsidRPr="00000000">
        <w:rPr>
          <w:rFonts w:ascii="Verdana" w:cs="Verdana" w:eastAsia="Verdana" w:hAnsi="Verdana"/>
          <w:i w:val="1"/>
          <w:color w:val="2a2828"/>
          <w:sz w:val="18"/>
          <w:szCs w:val="18"/>
          <w:rtl w:val="0"/>
        </w:rPr>
        <w:t xml:space="preserve">, in forma di imposta di bollo</w:t>
      </w:r>
      <w:r w:rsidDel="00000000" w:rsidR="00000000" w:rsidRPr="00000000">
        <w:rPr>
          <w:rFonts w:ascii="Verdana" w:cs="Verdana" w:eastAsia="Verdana" w:hAnsi="Verdana"/>
          <w:color w:val="2a2828"/>
          <w:sz w:val="18"/>
          <w:szCs w:val="18"/>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159851074219" w:line="365.18726348876953" w:lineRule="auto"/>
        <w:ind w:left="0" w:right="-5.799560546875" w:firstLine="0"/>
        <w:jc w:val="both"/>
        <w:rPr>
          <w:rFonts w:ascii="Verdana" w:cs="Verdana" w:eastAsia="Verdana" w:hAnsi="Verdana"/>
          <w:color w:val="2a2828"/>
          <w:sz w:val="18"/>
          <w:szCs w:val="18"/>
        </w:rPr>
      </w:pPr>
      <w:r w:rsidDel="00000000" w:rsidR="00000000" w:rsidRPr="00000000">
        <w:rPr>
          <w:rFonts w:ascii="Verdana" w:cs="Verdana" w:eastAsia="Verdana" w:hAnsi="Verdana"/>
          <w:color w:val="2a2828"/>
          <w:sz w:val="18"/>
          <w:szCs w:val="18"/>
          <w:rtl w:val="0"/>
        </w:rPr>
        <w:t xml:space="preserve">Le novità non riguardano solo gli investitori, ma anche </w:t>
      </w:r>
      <w:r w:rsidDel="00000000" w:rsidR="00000000" w:rsidRPr="00000000">
        <w:rPr>
          <w:rFonts w:ascii="Verdana" w:cs="Verdana" w:eastAsia="Verdana" w:hAnsi="Verdana"/>
          <w:b w:val="1"/>
          <w:color w:val="2a2828"/>
          <w:sz w:val="18"/>
          <w:szCs w:val="18"/>
          <w:rtl w:val="0"/>
        </w:rPr>
        <w:t xml:space="preserve">intermediari finanziari e operatori cripto italiani</w:t>
      </w:r>
      <w:r w:rsidDel="00000000" w:rsidR="00000000" w:rsidRPr="00000000">
        <w:rPr>
          <w:rFonts w:ascii="Verdana" w:cs="Verdana" w:eastAsia="Verdana" w:hAnsi="Verdana"/>
          <w:color w:val="2a2828"/>
          <w:sz w:val="18"/>
          <w:szCs w:val="18"/>
          <w:rtl w:val="0"/>
        </w:rPr>
        <w:t xml:space="preserve">: “</w:t>
      </w:r>
      <w:r w:rsidDel="00000000" w:rsidR="00000000" w:rsidRPr="00000000">
        <w:rPr>
          <w:rFonts w:ascii="Verdana" w:cs="Verdana" w:eastAsia="Verdana" w:hAnsi="Verdana"/>
          <w:i w:val="1"/>
          <w:color w:val="2a2828"/>
          <w:sz w:val="18"/>
          <w:szCs w:val="18"/>
          <w:rtl w:val="0"/>
        </w:rPr>
        <w:t xml:space="preserve">questi</w:t>
      </w:r>
      <w:r w:rsidDel="00000000" w:rsidR="00000000" w:rsidRPr="00000000">
        <w:rPr>
          <w:rFonts w:ascii="Verdana" w:cs="Verdana" w:eastAsia="Verdana" w:hAnsi="Verdana"/>
          <w:b w:val="1"/>
          <w:i w:val="1"/>
          <w:color w:val="2a2828"/>
          <w:sz w:val="18"/>
          <w:szCs w:val="18"/>
          <w:rtl w:val="0"/>
        </w:rPr>
        <w:t xml:space="preserve"> possono applicare direttamente le imposte per conto dei loro clienti</w:t>
      </w:r>
      <w:r w:rsidDel="00000000" w:rsidR="00000000" w:rsidRPr="00000000">
        <w:rPr>
          <w:rFonts w:ascii="Verdana" w:cs="Verdana" w:eastAsia="Verdana" w:hAnsi="Verdana"/>
          <w:i w:val="1"/>
          <w:color w:val="2a2828"/>
          <w:sz w:val="18"/>
          <w:szCs w:val="18"/>
          <w:rtl w:val="0"/>
        </w:rPr>
        <w:t xml:space="preserve">, sollevandoli dall’obbligo del quadro RW che resta invece confermato negli altri casi. Questa apertura è stata però introdotta senza adeguato preavviso e, come per l’imposta di bollo, gli operatori non sono probabilmente preparati, restando quindi esposti al rischio di sanzioni oltre agli elevati costi per l’adeguamento infrastrutturale</w:t>
      </w:r>
      <w:r w:rsidDel="00000000" w:rsidR="00000000" w:rsidRPr="00000000">
        <w:rPr>
          <w:rFonts w:ascii="Verdana" w:cs="Verdana" w:eastAsia="Verdana" w:hAnsi="Verdana"/>
          <w:color w:val="2a2828"/>
          <w:sz w:val="18"/>
          <w:szCs w:val="18"/>
          <w:rtl w:val="0"/>
        </w:rPr>
        <w:t xml:space="preserve">”.</w:t>
      </w:r>
    </w:p>
    <w:p w:rsidR="00000000" w:rsidDel="00000000" w:rsidP="00000000" w:rsidRDefault="00000000" w:rsidRPr="00000000" w14:paraId="0000000D">
      <w:pPr>
        <w:widowControl w:val="0"/>
        <w:spacing w:before="265.40130615234375" w:line="364.2986583709717" w:lineRule="auto"/>
        <w:ind w:right="-5.799560546875"/>
        <w:jc w:val="both"/>
        <w:rPr>
          <w:rFonts w:ascii="Verdana" w:cs="Verdana" w:eastAsia="Verdana" w:hAnsi="Verdana"/>
          <w:color w:val="2a2828"/>
          <w:sz w:val="18"/>
          <w:szCs w:val="18"/>
        </w:rPr>
      </w:pPr>
      <w:r w:rsidDel="00000000" w:rsidR="00000000" w:rsidRPr="00000000">
        <w:rPr>
          <w:rFonts w:ascii="Verdana" w:cs="Verdana" w:eastAsia="Verdana" w:hAnsi="Verdana"/>
          <w:color w:val="2a2828"/>
          <w:sz w:val="18"/>
          <w:szCs w:val="18"/>
          <w:rtl w:val="0"/>
        </w:rPr>
        <w:t xml:space="preserve">Aggiunge Avella che “</w:t>
      </w:r>
      <w:r w:rsidDel="00000000" w:rsidR="00000000" w:rsidRPr="00000000">
        <w:rPr>
          <w:rFonts w:ascii="Verdana" w:cs="Verdana" w:eastAsia="Verdana" w:hAnsi="Verdana"/>
          <w:i w:val="1"/>
          <w:color w:val="2a2828"/>
          <w:sz w:val="18"/>
          <w:szCs w:val="18"/>
          <w:rtl w:val="0"/>
        </w:rPr>
        <w:t xml:space="preserve">s</w:t>
      </w:r>
      <w:r w:rsidDel="00000000" w:rsidR="00000000" w:rsidRPr="00000000">
        <w:rPr>
          <w:rFonts w:ascii="Verdana" w:cs="Verdana" w:eastAsia="Verdana" w:hAnsi="Verdana"/>
          <w:i w:val="1"/>
          <w:color w:val="2a2828"/>
          <w:sz w:val="18"/>
          <w:szCs w:val="18"/>
          <w:rtl w:val="0"/>
        </w:rPr>
        <w:t xml:space="preserve">ono state anche introdotte due </w:t>
      </w:r>
      <w:r w:rsidDel="00000000" w:rsidR="00000000" w:rsidRPr="00000000">
        <w:rPr>
          <w:rFonts w:ascii="Verdana" w:cs="Verdana" w:eastAsia="Verdana" w:hAnsi="Verdana"/>
          <w:b w:val="1"/>
          <w:i w:val="1"/>
          <w:color w:val="2a2828"/>
          <w:sz w:val="18"/>
          <w:szCs w:val="18"/>
          <w:rtl w:val="0"/>
        </w:rPr>
        <w:t xml:space="preserve">misure transitorie, per regolarizzare il passato e per aggiornare i valori fiscali delle cripto-attività"</w:t>
      </w:r>
      <w:r w:rsidDel="00000000" w:rsidR="00000000" w:rsidRPr="00000000">
        <w:rPr>
          <w:rFonts w:ascii="Verdana" w:cs="Verdana" w:eastAsia="Verdana" w:hAnsi="Verdana"/>
          <w:i w:val="1"/>
          <w:color w:val="2a2828"/>
          <w:sz w:val="18"/>
          <w:szCs w:val="18"/>
          <w:rtl w:val="0"/>
        </w:rPr>
        <w:t xml:space="preserve">. La</w:t>
      </w:r>
      <w:r w:rsidDel="00000000" w:rsidR="00000000" w:rsidRPr="00000000">
        <w:rPr>
          <w:rFonts w:ascii="Verdana" w:cs="Verdana" w:eastAsia="Verdana" w:hAnsi="Verdana"/>
          <w:i w:val="1"/>
          <w:color w:val="2a2828"/>
          <w:sz w:val="18"/>
          <w:szCs w:val="18"/>
          <w:rtl w:val="0"/>
        </w:rPr>
        <w:t xml:space="preserve"> norma di regolarizzazione è tuttavia poco interessante, perché potenzialmente molto onerosa ed incerta nell’applicazione. Più interessante la norma per aggiornare i valori ai corsi del 1° gennaio 2023 dietro pagamento di un’imposta sostitutiva del 14%, sebbene giunga in un periodo di valori molto bassi e rischi di trovare una limitata adesione</w:t>
      </w:r>
      <w:r w:rsidDel="00000000" w:rsidR="00000000" w:rsidRPr="00000000">
        <w:rPr>
          <w:rFonts w:ascii="Verdana" w:cs="Verdana" w:eastAsia="Verdana" w:hAnsi="Verdana"/>
          <w:color w:val="2a2828"/>
          <w:sz w:val="18"/>
          <w:szCs w:val="18"/>
          <w:rtl w:val="0"/>
        </w:rPr>
        <w:t xml:space="preserve">”.</w:t>
      </w:r>
    </w:p>
    <w:p w:rsidR="00000000" w:rsidDel="00000000" w:rsidP="00000000" w:rsidRDefault="00000000" w:rsidRPr="00000000" w14:paraId="0000000E">
      <w:pPr>
        <w:widowControl w:val="0"/>
        <w:spacing w:before="261.9500732421875" w:line="364.74291801452637" w:lineRule="auto"/>
        <w:ind w:right="-3.819580078125"/>
        <w:jc w:val="both"/>
        <w:rPr>
          <w:rFonts w:ascii="Verdana" w:cs="Verdana" w:eastAsia="Verdana" w:hAnsi="Verdana"/>
          <w:color w:val="2a2828"/>
          <w:sz w:val="18"/>
          <w:szCs w:val="18"/>
        </w:rPr>
      </w:pPr>
      <w:r w:rsidDel="00000000" w:rsidR="00000000" w:rsidRPr="00000000">
        <w:rPr>
          <w:rFonts w:ascii="Verdana" w:cs="Verdana" w:eastAsia="Verdana" w:hAnsi="Verdana"/>
          <w:color w:val="2a2828"/>
          <w:sz w:val="18"/>
          <w:szCs w:val="18"/>
          <w:rtl w:val="0"/>
        </w:rPr>
        <w:t xml:space="preserve">“In definitiva”, conclude Avella, “</w:t>
      </w:r>
      <w:r w:rsidDel="00000000" w:rsidR="00000000" w:rsidRPr="00000000">
        <w:rPr>
          <w:rFonts w:ascii="Verdana" w:cs="Verdana" w:eastAsia="Verdana" w:hAnsi="Verdana"/>
          <w:b w:val="1"/>
          <w:color w:val="2a2828"/>
          <w:sz w:val="18"/>
          <w:szCs w:val="18"/>
          <w:rtl w:val="0"/>
        </w:rPr>
        <w:t xml:space="preserve">restano incertezze e limiti evidenti, destinati ad ingessare operatori e investitori</w:t>
      </w:r>
      <w:r w:rsidDel="00000000" w:rsidR="00000000" w:rsidRPr="00000000">
        <w:rPr>
          <w:rFonts w:ascii="Verdana" w:cs="Verdana" w:eastAsia="Verdana" w:hAnsi="Verdana"/>
          <w:color w:val="2a2828"/>
          <w:sz w:val="18"/>
          <w:szCs w:val="18"/>
          <w:rtl w:val="0"/>
        </w:rPr>
        <w:t xml:space="preserve">, </w:t>
      </w:r>
      <w:r w:rsidDel="00000000" w:rsidR="00000000" w:rsidRPr="00000000">
        <w:rPr>
          <w:rFonts w:ascii="Verdana" w:cs="Verdana" w:eastAsia="Verdana" w:hAnsi="Verdana"/>
          <w:color w:val="2a2828"/>
          <w:sz w:val="18"/>
          <w:szCs w:val="18"/>
          <w:rtl w:val="0"/>
        </w:rPr>
        <w:t xml:space="preserve">scoraggiando l’emersione e la regolarizzazione dei patrimoni cripto. </w:t>
      </w:r>
      <w:r w:rsidDel="00000000" w:rsidR="00000000" w:rsidRPr="00000000">
        <w:rPr>
          <w:rFonts w:ascii="Verdana" w:cs="Verdana" w:eastAsia="Verdana" w:hAnsi="Verdana"/>
          <w:b w:val="1"/>
          <w:color w:val="2a2828"/>
          <w:sz w:val="18"/>
          <w:szCs w:val="18"/>
          <w:rtl w:val="0"/>
        </w:rPr>
        <w:t xml:space="preserve">Sono perciò necessari tempestivi correttivi in via legislativa e, in alcuni casi, interventi interpretativi da parte dell’Agenzia delle Entrate</w:t>
      </w:r>
      <w:r w:rsidDel="00000000" w:rsidR="00000000" w:rsidRPr="00000000">
        <w:rPr>
          <w:rFonts w:ascii="Verdana" w:cs="Verdana" w:eastAsia="Verdana" w:hAnsi="Verdana"/>
          <w:color w:val="2a2828"/>
          <w:sz w:val="18"/>
          <w:szCs w:val="18"/>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572265625" w:line="364.29877281188965" w:lineRule="auto"/>
        <w:ind w:left="0" w:right="-4.4189453125" w:firstLine="0"/>
        <w:jc w:val="both"/>
        <w:rPr>
          <w:rFonts w:ascii="Verdana" w:cs="Verdana" w:eastAsia="Verdana" w:hAnsi="Verdana"/>
          <w:b w:val="1"/>
          <w:color w:val="2a2828"/>
          <w:sz w:val="18"/>
          <w:szCs w:val="18"/>
        </w:rPr>
      </w:pPr>
      <w:r w:rsidDel="00000000" w:rsidR="00000000" w:rsidRPr="00000000">
        <w:rPr>
          <w:rFonts w:ascii="Verdana" w:cs="Verdana" w:eastAsia="Verdana" w:hAnsi="Verdana"/>
          <w:color w:val="2a2828"/>
          <w:sz w:val="18"/>
          <w:szCs w:val="18"/>
          <w:rtl w:val="0"/>
        </w:rPr>
        <w:t xml:space="preserve">Il report DGI è trimestrale: il prossimo appuntamento per commentare il primo trimestre 2023 è martedì 18 aprile. Nel frattempo, gli aggiornamenti settimanali su Bitcoin e dintorni sono ogni venerdì alle 18:00 su CryptoWeek (</w:t>
      </w:r>
      <w:hyperlink r:id="rId6">
        <w:r w:rsidDel="00000000" w:rsidR="00000000" w:rsidRPr="00000000">
          <w:rPr>
            <w:rFonts w:ascii="Verdana" w:cs="Verdana" w:eastAsia="Verdana" w:hAnsi="Verdana"/>
            <w:color w:val="1155cc"/>
            <w:sz w:val="18"/>
            <w:szCs w:val="18"/>
            <w:u w:val="single"/>
            <w:rtl w:val="0"/>
          </w:rPr>
          <w:t xml:space="preserve">www.checksig.com/it/cryptoweek</w:t>
        </w:r>
      </w:hyperlink>
      <w:r w:rsidDel="00000000" w:rsidR="00000000" w:rsidRPr="00000000">
        <w:rPr>
          <w:rFonts w:ascii="Verdana" w:cs="Verdana" w:eastAsia="Verdana" w:hAnsi="Verdana"/>
          <w:color w:val="2a2828"/>
          <w:sz w:val="18"/>
          <w:szCs w:val="18"/>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572265625" w:line="364.29877281188965" w:lineRule="auto"/>
        <w:ind w:left="0" w:right="-4.4189453125" w:firstLine="0"/>
        <w:rPr>
          <w:rFonts w:ascii="Verdana" w:cs="Verdana" w:eastAsia="Verdana" w:hAnsi="Verdana"/>
          <w:b w:val="1"/>
          <w:color w:val="2a2828"/>
          <w:sz w:val="18"/>
          <w:szCs w:val="1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572265625" w:line="364.29877281188965" w:lineRule="auto"/>
        <w:ind w:left="0" w:right="-4.4189453125" w:firstLine="0"/>
        <w:rPr>
          <w:rFonts w:ascii="Verdana" w:cs="Verdana" w:eastAsia="Verdana" w:hAnsi="Verdana"/>
          <w:b w:val="1"/>
          <w:i w:val="0"/>
          <w:smallCaps w:val="0"/>
          <w:strike w:val="0"/>
          <w:color w:val="2a2828"/>
          <w:sz w:val="18"/>
          <w:szCs w:val="18"/>
          <w:u w:val="none"/>
          <w:shd w:fill="auto" w:val="clear"/>
          <w:vertAlign w:val="baseline"/>
        </w:rPr>
      </w:pPr>
      <w:r w:rsidDel="00000000" w:rsidR="00000000" w:rsidRPr="00000000">
        <w:rPr>
          <w:rFonts w:ascii="Verdana" w:cs="Verdana" w:eastAsia="Verdana" w:hAnsi="Verdana"/>
          <w:b w:val="1"/>
          <w:i w:val="0"/>
          <w:smallCaps w:val="0"/>
          <w:strike w:val="0"/>
          <w:color w:val="2a2828"/>
          <w:sz w:val="18"/>
          <w:szCs w:val="18"/>
          <w:u w:val="none"/>
          <w:shd w:fill="auto" w:val="clear"/>
          <w:vertAlign w:val="baseline"/>
          <w:rtl w:val="0"/>
        </w:rPr>
        <w:t xml:space="preserve">Informazioni e contatti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40283203125" w:line="364.65399742126465" w:lineRule="auto"/>
        <w:ind w:left="0" w:right="-3.399658203125" w:firstLine="0"/>
        <w:jc w:val="both"/>
        <w:rPr>
          <w:rFonts w:ascii="Verdana" w:cs="Verdana" w:eastAsia="Verdana" w:hAnsi="Verdana"/>
          <w:color w:val="2a2828"/>
          <w:sz w:val="18"/>
          <w:szCs w:val="18"/>
        </w:rPr>
      </w:pPr>
      <w:r w:rsidDel="00000000" w:rsidR="00000000" w:rsidRPr="00000000">
        <w:rPr>
          <w:rFonts w:ascii="Verdana" w:cs="Verdana" w:eastAsia="Verdana" w:hAnsi="Verdana"/>
          <w:color w:val="2a2828"/>
          <w:sz w:val="18"/>
          <w:szCs w:val="18"/>
          <w:rtl w:val="0"/>
        </w:rPr>
        <w:t xml:space="preserve">Fondato nel 2018, il Digital Gold Institute (www.dgi.io) è il principale think tank italiano dedicato al fenomeno Bitcoin inteso come esperimento per la creazione della scarsità in ambito digitale. DGI promuove queste tematiche nel dibattito pubblico e nel mondo accademico attraverso ricerca e sviluppo, formazione, consulenza operativa e strategica. Inoltre, sostiene iniziative imprenditoriali nel campo cripto. Nel 2019, come </w:t>
      </w:r>
      <w:r w:rsidDel="00000000" w:rsidR="00000000" w:rsidRPr="00000000">
        <w:rPr>
          <w:rFonts w:ascii="Verdana" w:cs="Verdana" w:eastAsia="Verdana" w:hAnsi="Verdana"/>
          <w:color w:val="2a2828"/>
          <w:sz w:val="18"/>
          <w:szCs w:val="18"/>
          <w:rtl w:val="0"/>
        </w:rPr>
        <w:t xml:space="preserve">spin-off</w:t>
      </w:r>
      <w:r w:rsidDel="00000000" w:rsidR="00000000" w:rsidRPr="00000000">
        <w:rPr>
          <w:rFonts w:ascii="Verdana" w:cs="Verdana" w:eastAsia="Verdana" w:hAnsi="Verdana"/>
          <w:color w:val="2a2828"/>
          <w:sz w:val="18"/>
          <w:szCs w:val="18"/>
          <w:rtl w:val="0"/>
        </w:rPr>
        <w:t xml:space="preserve"> del think tank, è nata CheckSig, che ha la missione di rendere semplice e sicuro l’accesso al mondo cripto per clientela Private e investitori istituzionali. In partnership con l’Università degli Studi di Milano-Bicocca, DGI è membro fondatore del Crypto Asset Lab, la cui conferenza annuale è co-organizzata assieme alla direzione generale Joint Research Center della Commissione Europea.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40283203125" w:line="364.65399742126465" w:lineRule="auto"/>
        <w:ind w:left="0" w:right="-3.399658203125" w:firstLine="0"/>
        <w:rPr>
          <w:rFonts w:ascii="Verdana" w:cs="Verdana" w:eastAsia="Verdana" w:hAnsi="Verdana"/>
          <w:sz w:val="18"/>
          <w:szCs w:val="18"/>
        </w:rPr>
      </w:pPr>
      <w:r w:rsidDel="00000000" w:rsidR="00000000" w:rsidRPr="00000000">
        <w:rPr>
          <w:rFonts w:ascii="Verdana" w:cs="Verdana" w:eastAsia="Verdana" w:hAnsi="Verdana"/>
          <w:b w:val="0"/>
          <w:i w:val="1"/>
          <w:smallCaps w:val="0"/>
          <w:strike w:val="0"/>
          <w:color w:val="2a2828"/>
          <w:sz w:val="18"/>
          <w:szCs w:val="18"/>
          <w:u w:val="none"/>
          <w:shd w:fill="auto" w:val="clear"/>
          <w:vertAlign w:val="baseline"/>
          <w:rtl w:val="0"/>
        </w:rPr>
        <w:t xml:space="preserve">General Inquiry</w:t>
      </w:r>
      <w:r w:rsidDel="00000000" w:rsidR="00000000" w:rsidRPr="00000000">
        <w:rPr>
          <w:rFonts w:ascii="Verdana" w:cs="Verdana" w:eastAsia="Verdana" w:hAnsi="Verdana"/>
          <w:b w:val="0"/>
          <w:smallCaps w:val="0"/>
          <w:strike w:val="0"/>
          <w:color w:val="2a2828"/>
          <w:sz w:val="18"/>
          <w:szCs w:val="18"/>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2a2828"/>
          <w:sz w:val="18"/>
          <w:szCs w:val="18"/>
          <w:u w:val="none"/>
          <w:shd w:fill="auto" w:val="clear"/>
          <w:vertAlign w:val="baseline"/>
          <w:rtl w:val="0"/>
        </w:rPr>
        <w:t xml:space="preserve"> </w:t>
      </w:r>
      <w:hyperlink r:id="rId7">
        <w:r w:rsidDel="00000000" w:rsidR="00000000" w:rsidRPr="00000000">
          <w:rPr>
            <w:rFonts w:ascii="Verdana" w:cs="Verdana" w:eastAsia="Verdana" w:hAnsi="Verdana"/>
            <w:b w:val="0"/>
            <w:i w:val="0"/>
            <w:smallCaps w:val="0"/>
            <w:strike w:val="0"/>
            <w:color w:val="1155cc"/>
            <w:sz w:val="18"/>
            <w:szCs w:val="18"/>
            <w:u w:val="single"/>
            <w:shd w:fill="auto" w:val="clear"/>
            <w:vertAlign w:val="baseline"/>
            <w:rtl w:val="0"/>
          </w:rPr>
          <w:t xml:space="preserve">info@dgi.io</w:t>
        </w:r>
      </w:hyperlink>
      <w:r w:rsidDel="00000000" w:rsidR="00000000" w:rsidRPr="00000000">
        <w:rPr>
          <w:rtl w:val="0"/>
        </w:rPr>
      </w:r>
    </w:p>
    <w:sectPr>
      <w:headerReference r:id="rId8" w:type="default"/>
      <w:pgSz w:h="16820" w:w="11900" w:orient="portrait"/>
      <w:pgMar w:bottom="504.00001525878906" w:top="391.0009765625" w:left="828.0000305175781" w:right="897.03857421875"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-600074</wp:posOffset>
          </wp:positionV>
          <wp:extent cx="1349338" cy="6238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49338" cy="6238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hecksig.com/it/cryptoweek" TargetMode="External"/><Relationship Id="rId7" Type="http://schemas.openxmlformats.org/officeDocument/2006/relationships/hyperlink" Target="mailto:info@dgi.io"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