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Verdana" w:cs="Verdana" w:eastAsia="Verdana" w:hAnsi="Verdana"/>
          <w:color w:val="2a2828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a2828"/>
          <w:u w:val="none"/>
          <w:shd w:fill="auto" w:val="clear"/>
          <w:vertAlign w:val="baseline"/>
          <w:rtl w:val="0"/>
        </w:rPr>
        <w:t xml:space="preserve">Milano, </w:t>
      </w:r>
      <w:r w:rsidDel="00000000" w:rsidR="00000000" w:rsidRPr="00000000">
        <w:rPr>
          <w:rFonts w:ascii="Verdana" w:cs="Verdana" w:eastAsia="Verdana" w:hAnsi="Verdana"/>
          <w:color w:val="2a2828"/>
          <w:rtl w:val="0"/>
        </w:rPr>
        <w:t xml:space="preserve">21 aprile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a2828"/>
          <w:u w:val="none"/>
          <w:shd w:fill="auto" w:val="clear"/>
          <w:vertAlign w:val="baseline"/>
          <w:rtl w:val="0"/>
        </w:rPr>
        <w:t xml:space="preserve"> 20</w:t>
      </w:r>
      <w:r w:rsidDel="00000000" w:rsidR="00000000" w:rsidRPr="00000000">
        <w:rPr>
          <w:rFonts w:ascii="Verdana" w:cs="Verdana" w:eastAsia="Verdana" w:hAnsi="Verdana"/>
          <w:color w:val="2a2828"/>
          <w:rtl w:val="0"/>
        </w:rPr>
        <w:t xml:space="preserve">23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Verdana" w:cs="Verdana" w:eastAsia="Verdana" w:hAnsi="Verdana"/>
          <w:color w:val="2a28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Verdana" w:cs="Verdana" w:eastAsia="Verdana" w:hAnsi="Verdana"/>
          <w:color w:val="2a28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Georgia" w:cs="Georgia" w:eastAsia="Georgia" w:hAnsi="Georgia"/>
          <w:b w:val="0"/>
          <w:i w:val="0"/>
          <w:smallCaps w:val="0"/>
          <w:strike w:val="0"/>
          <w:color w:val="f1af09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f1af09"/>
          <w:sz w:val="40"/>
          <w:szCs w:val="40"/>
          <w:u w:val="none"/>
          <w:shd w:fill="auto" w:val="clear"/>
          <w:vertAlign w:val="baseline"/>
          <w:rtl w:val="0"/>
        </w:rPr>
        <w:t xml:space="preserve">PRESENTAZIONE DEL X</w:t>
      </w:r>
      <w:r w:rsidDel="00000000" w:rsidR="00000000" w:rsidRPr="00000000">
        <w:rPr>
          <w:rFonts w:ascii="Georgia" w:cs="Georgia" w:eastAsia="Georgia" w:hAnsi="Georgia"/>
          <w:color w:val="f1af09"/>
          <w:sz w:val="40"/>
          <w:szCs w:val="40"/>
          <w:rtl w:val="0"/>
        </w:rPr>
        <w:t xml:space="preserve">V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f1af09"/>
          <w:sz w:val="40"/>
          <w:szCs w:val="40"/>
          <w:u w:val="none"/>
          <w:shd w:fill="auto" w:val="clear"/>
          <w:vertAlign w:val="baseline"/>
          <w:rtl w:val="0"/>
        </w:rPr>
        <w:t xml:space="preserve"> REPORT TRIMESTRALE  DEL DIGITAL GOLD INSTITUTE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.218017578125" w:line="364.29877281188965" w:lineRule="auto"/>
        <w:ind w:left="0" w:right="-1.23779296875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2a2828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a2828"/>
          <w:u w:val="none"/>
          <w:shd w:fill="auto" w:val="clear"/>
          <w:vertAlign w:val="baseline"/>
          <w:rtl w:val="0"/>
        </w:rPr>
        <w:t xml:space="preserve">Si è svolta</w:t>
      </w:r>
      <w:r w:rsidDel="00000000" w:rsidR="00000000" w:rsidRPr="00000000">
        <w:rPr>
          <w:rFonts w:ascii="Verdana" w:cs="Verdana" w:eastAsia="Verdana" w:hAnsi="Verdana"/>
          <w:color w:val="2a2828"/>
          <w:rtl w:val="0"/>
        </w:rPr>
        <w:t xml:space="preserve"> martedì 18 aprile 2023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a2828"/>
          <w:u w:val="none"/>
          <w:shd w:fill="auto" w:val="clear"/>
          <w:vertAlign w:val="baseline"/>
          <w:rtl w:val="0"/>
        </w:rPr>
        <w:t xml:space="preserve"> la presentazione della </w:t>
      </w:r>
      <w:r w:rsidDel="00000000" w:rsidR="00000000" w:rsidRPr="00000000">
        <w:rPr>
          <w:rFonts w:ascii="Verdana" w:cs="Verdana" w:eastAsia="Verdana" w:hAnsi="Verdana"/>
          <w:color w:val="2a2828"/>
          <w:rtl w:val="0"/>
        </w:rPr>
        <w:t xml:space="preserve">quindicesima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a2828"/>
          <w:u w:val="none"/>
          <w:shd w:fill="auto" w:val="clear"/>
          <w:vertAlign w:val="baseline"/>
          <w:rtl w:val="0"/>
        </w:rPr>
        <w:t xml:space="preserve"> edizione del report trimestrale su ecosistema Bitcoin, crypto-asset e blockchain curato dal Digital Gold Institute, il principale think tank italiano dedicato al  fenomeno Bitcoin e alla scarsità in ambito digitale.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a2828"/>
          <w:u w:val="none"/>
          <w:vertAlign w:val="baseline"/>
          <w:rtl w:val="0"/>
        </w:rPr>
        <w:t xml:space="preserve">L</w:t>
      </w:r>
      <w:r w:rsidDel="00000000" w:rsidR="00000000" w:rsidRPr="00000000">
        <w:rPr>
          <w:rFonts w:ascii="Verdana" w:cs="Verdana" w:eastAsia="Verdana" w:hAnsi="Verdana"/>
          <w:color w:val="2a2828"/>
          <w:rtl w:val="0"/>
        </w:rPr>
        <w:t xml:space="preserve">a registrazione della presentazione e le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a2828"/>
          <w:u w:val="none"/>
          <w:vertAlign w:val="baseline"/>
          <w:rtl w:val="0"/>
        </w:rPr>
        <w:t xml:space="preserve">slide</w:t>
      </w:r>
      <w:r w:rsidDel="00000000" w:rsidR="00000000" w:rsidRPr="00000000">
        <w:rPr>
          <w:rFonts w:ascii="Verdana" w:cs="Verdana" w:eastAsia="Verdana" w:hAnsi="Verdana"/>
          <w:color w:val="2a282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a2828"/>
          <w:u w:val="none"/>
          <w:vertAlign w:val="baseline"/>
          <w:rtl w:val="0"/>
        </w:rPr>
        <w:t xml:space="preserve">sono disponibili sul sito dell’Istituto (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e50f6"/>
          <w:u w:val="single"/>
          <w:vertAlign w:val="baseline"/>
          <w:rtl w:val="0"/>
        </w:rPr>
        <w:t xml:space="preserve">www.dgi.io/reports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a2828"/>
          <w:u w:val="none"/>
          <w:vertAlign w:val="baseline"/>
          <w:rtl w:val="0"/>
        </w:rPr>
        <w:t xml:space="preserve">).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516357421875" w:line="365.18726348876953" w:lineRule="auto"/>
        <w:ind w:left="0" w:right="-6.400146484375" w:firstLine="0"/>
        <w:jc w:val="both"/>
        <w:rPr>
          <w:rFonts w:ascii="Verdana" w:cs="Verdana" w:eastAsia="Verdana" w:hAnsi="Verdana"/>
          <w:i w:val="0"/>
          <w:smallCaps w:val="0"/>
          <w:strike w:val="0"/>
          <w:color w:val="2a2828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2a2828"/>
          <w:u w:val="single"/>
          <w:shd w:fill="auto" w:val="clear"/>
          <w:vertAlign w:val="baseline"/>
          <w:rtl w:val="0"/>
        </w:rPr>
        <w:t xml:space="preserve">Ferdinando Ametrano</w:t>
      </w: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2a2828"/>
          <w:u w:val="none"/>
          <w:shd w:fill="auto" w:val="clear"/>
          <w:vertAlign w:val="baseline"/>
          <w:rtl w:val="0"/>
        </w:rPr>
        <w:t xml:space="preserve">, Direttore Scientifico del DGI e do</w:t>
      </w: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2a2828"/>
          <w:u w:val="none"/>
          <w:vertAlign w:val="baseline"/>
          <w:rtl w:val="0"/>
        </w:rPr>
        <w:t xml:space="preserve">cente di </w:t>
      </w:r>
      <w:r w:rsidDel="00000000" w:rsidR="00000000" w:rsidRPr="00000000">
        <w:rPr>
          <w:rFonts w:ascii="Verdana" w:cs="Verdana" w:eastAsia="Verdana" w:hAnsi="Verdana"/>
          <w:color w:val="2a2828"/>
          <w:rtl w:val="0"/>
        </w:rPr>
        <w:t xml:space="preserve">“</w:t>
      </w:r>
      <w:r w:rsidDel="00000000" w:rsidR="00000000" w:rsidRPr="00000000">
        <w:rPr>
          <w:rFonts w:ascii="Verdana" w:cs="Verdana" w:eastAsia="Verdana" w:hAnsi="Verdana"/>
          <w:smallCaps w:val="0"/>
          <w:strike w:val="0"/>
          <w:color w:val="2a2828"/>
          <w:u w:val="none"/>
          <w:vertAlign w:val="baseline"/>
          <w:rtl w:val="0"/>
        </w:rPr>
        <w:t xml:space="preserve">Bitcoin and Blockchain Technology</w:t>
      </w:r>
      <w:r w:rsidDel="00000000" w:rsidR="00000000" w:rsidRPr="00000000">
        <w:rPr>
          <w:rFonts w:ascii="Verdana" w:cs="Verdana" w:eastAsia="Verdana" w:hAnsi="Verdana"/>
          <w:color w:val="2a2828"/>
          <w:rtl w:val="0"/>
        </w:rPr>
        <w:t xml:space="preserve">”</w:t>
      </w:r>
      <w:r w:rsidDel="00000000" w:rsidR="00000000" w:rsidRPr="00000000">
        <w:rPr>
          <w:rFonts w:ascii="Verdana" w:cs="Verdana" w:eastAsia="Verdana" w:hAnsi="Verdana"/>
          <w:smallCaps w:val="0"/>
          <w:strike w:val="0"/>
          <w:color w:val="2a2828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2a2828"/>
          <w:u w:val="none"/>
          <w:vertAlign w:val="baseline"/>
          <w:rtl w:val="0"/>
        </w:rPr>
        <w:t xml:space="preserve">a Milano-Bicocca e</w:t>
      </w:r>
      <w:r w:rsidDel="00000000" w:rsidR="00000000" w:rsidRPr="00000000">
        <w:rPr>
          <w:rFonts w:ascii="Verdana" w:cs="Verdana" w:eastAsia="Verdana" w:hAnsi="Verdana"/>
          <w:color w:val="2a2828"/>
          <w:rtl w:val="0"/>
        </w:rPr>
        <w:t xml:space="preserve"> Parigi </w:t>
      </w: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2a2828"/>
          <w:u w:val="none"/>
          <w:vertAlign w:val="baseline"/>
          <w:rtl w:val="0"/>
        </w:rPr>
        <w:t xml:space="preserve">ESSEC Business School, ha dichiarato: “</w:t>
      </w:r>
      <w:r w:rsidDel="00000000" w:rsidR="00000000" w:rsidRPr="00000000">
        <w:rPr>
          <w:rFonts w:ascii="Verdana" w:cs="Verdana" w:eastAsia="Verdana" w:hAnsi="Verdana"/>
          <w:i w:val="1"/>
          <w:color w:val="2a2828"/>
          <w:rtl w:val="0"/>
        </w:rPr>
        <w:t xml:space="preserve">Il primo trimestre 2023 ha visto Bitcoin mettere a segno una performance positiva del 73%, la migliore degli ultimi due anni, con una volatilità sostanzialmente stabile e una diminuzione della correlazione con l’azionario. Un Bitcoin che, a dispetto dei necrologi letti negli scorsi mesi, si conferma vivo e vegeto e reclama il suo ruolo leader della liquidità: i volumi scambiati quotidianamente sono circa 20 miliardi di dollari, 300 volte i volumi di Apple (circa 65 milioni), il 68% dei volumi cripto globali (stablecoin esclusi), con Ether seconda al 22% e il resto a spartirsi un trascurabile 10%</w:t>
      </w: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2a2828"/>
          <w:u w:val="none"/>
          <w:vertAlign w:val="baseline"/>
          <w:rtl w:val="0"/>
        </w:rPr>
        <w:t xml:space="preserve">”</w:t>
      </w:r>
      <w:r w:rsidDel="00000000" w:rsidR="00000000" w:rsidRPr="00000000">
        <w:rPr>
          <w:rFonts w:ascii="Verdana" w:cs="Verdana" w:eastAsia="Verdana" w:hAnsi="Verdana"/>
          <w:color w:val="2a28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40130615234375" w:line="364.2986583709717" w:lineRule="auto"/>
        <w:ind w:left="0" w:right="-5.799560546875" w:firstLine="0"/>
        <w:jc w:val="both"/>
        <w:rPr>
          <w:rFonts w:ascii="Verdana" w:cs="Verdana" w:eastAsia="Verdana" w:hAnsi="Verdana"/>
          <w:color w:val="2a2828"/>
        </w:rPr>
      </w:pPr>
      <w:r w:rsidDel="00000000" w:rsidR="00000000" w:rsidRPr="00000000">
        <w:rPr>
          <w:rFonts w:ascii="Verdana" w:cs="Verdana" w:eastAsia="Verdana" w:hAnsi="Verdana"/>
          <w:color w:val="2a2828"/>
          <w:rtl w:val="0"/>
        </w:rPr>
        <w:t xml:space="preserve">Sul fronte della rilevanza del mondo cripto per i mercati finanziari,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a2828"/>
          <w:u w:val="none"/>
          <w:shd w:fill="auto" w:val="clear"/>
          <w:vertAlign w:val="baseline"/>
          <w:rtl w:val="0"/>
        </w:rPr>
        <w:t xml:space="preserve">Ametrano ha evidenziato che “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2a2828"/>
          <w:u w:val="none"/>
          <w:shd w:fill="auto" w:val="clear"/>
          <w:vertAlign w:val="baseline"/>
          <w:rtl w:val="0"/>
        </w:rPr>
        <w:t xml:space="preserve">nonostante i crack e gli </w:t>
      </w:r>
      <w:r w:rsidDel="00000000" w:rsidR="00000000" w:rsidRPr="00000000">
        <w:rPr>
          <w:rFonts w:ascii="Verdana" w:cs="Verdana" w:eastAsia="Verdana" w:hAnsi="Verdana"/>
          <w:i w:val="1"/>
          <w:color w:val="2a2828"/>
          <w:rtl w:val="0"/>
        </w:rPr>
        <w:t xml:space="preserve">scandali del 2021 (FTX, Celsius, Terra/Luna) e l’onda lunga arrivata in Italia col fallimento di The Rock Trading a febbraio, il mercato finanziario tradizionale prosegue nell’adozione delle cripto come asset di investimento. Bitcoin e </w:t>
      </w:r>
      <w:r w:rsidDel="00000000" w:rsidR="00000000" w:rsidRPr="00000000">
        <w:rPr>
          <w:rFonts w:ascii="Verdana" w:cs="Verdana" w:eastAsia="Verdana" w:hAnsi="Verdana"/>
          <w:i w:val="1"/>
          <w:color w:val="2a2828"/>
          <w:rtl w:val="0"/>
        </w:rPr>
        <w:t xml:space="preserve">Ether</w:t>
      </w:r>
      <w:r w:rsidDel="00000000" w:rsidR="00000000" w:rsidRPr="00000000">
        <w:rPr>
          <w:rFonts w:ascii="Verdana" w:cs="Verdana" w:eastAsia="Verdana" w:hAnsi="Verdana"/>
          <w:i w:val="1"/>
          <w:color w:val="2a2828"/>
          <w:rtl w:val="0"/>
        </w:rPr>
        <w:t xml:space="preserve"> sono esplicitamente offerti da Fidelity e persino dalle Poste Svizzere (controllate direttamente dal governo elvetico). Sul fronte degli investimenti in start-up cripto italiane, è invece sempre più attivo un player rilevante del risparmio gestito come Azimut</w:t>
      </w:r>
      <w:r w:rsidDel="00000000" w:rsidR="00000000" w:rsidRPr="00000000">
        <w:rPr>
          <w:rFonts w:ascii="Verdana" w:cs="Verdana" w:eastAsia="Verdana" w:hAnsi="Verdana"/>
          <w:i w:val="1"/>
          <w:color w:val="2a2828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i w:val="1"/>
          <w:color w:val="2a2828"/>
          <w:rtl w:val="0"/>
        </w:rPr>
        <w:t xml:space="preserve"> Certamente ci sono ancora timori legati ai problemi contabili e regolamentari di player sistemicamente rilevanti come </w:t>
      </w:r>
      <w:r w:rsidDel="00000000" w:rsidR="00000000" w:rsidRPr="00000000">
        <w:rPr>
          <w:rFonts w:ascii="Verdana" w:cs="Verdana" w:eastAsia="Verdana" w:hAnsi="Verdana"/>
          <w:i w:val="1"/>
          <w:color w:val="2a2828"/>
          <w:rtl w:val="0"/>
        </w:rPr>
        <w:t xml:space="preserve">Binance</w:t>
      </w:r>
      <w:r w:rsidDel="00000000" w:rsidR="00000000" w:rsidRPr="00000000">
        <w:rPr>
          <w:rFonts w:ascii="Verdana" w:cs="Verdana" w:eastAsia="Verdana" w:hAnsi="Verdana"/>
          <w:i w:val="1"/>
          <w:color w:val="2a2828"/>
          <w:rtl w:val="0"/>
        </w:rPr>
        <w:t xml:space="preserve"> e il gruppo DCG (che controlla GrayScale, Genesis e Coindesk ed ha coinvolto nelle sue sorti anche Gemini), ma il mercato sembra distinguere sempre meglio tra le qualità degli asset cripto e la reputazione di certi attori che sguazzano in un ecosistema ancora poco affidabile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a2828"/>
          <w:u w:val="none"/>
          <w:shd w:fill="auto" w:val="clear"/>
          <w:vertAlign w:val="baseline"/>
          <w:rtl w:val="0"/>
        </w:rPr>
        <w:t xml:space="preserve">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before="265.40130615234375" w:line="364.2986583709717" w:lineRule="auto"/>
        <w:ind w:right="-5.799560546875"/>
        <w:jc w:val="both"/>
        <w:rPr>
          <w:rFonts w:ascii="Verdana" w:cs="Verdana" w:eastAsia="Verdana" w:hAnsi="Verdana"/>
          <w:color w:val="2a2828"/>
        </w:rPr>
      </w:pPr>
      <w:r w:rsidDel="00000000" w:rsidR="00000000" w:rsidRPr="00000000">
        <w:rPr>
          <w:rFonts w:ascii="Verdana" w:cs="Verdana" w:eastAsia="Verdana" w:hAnsi="Verdana"/>
          <w:color w:val="2a2828"/>
          <w:rtl w:val="0"/>
        </w:rPr>
        <w:t xml:space="preserve">In conclusione, Ametrano ha notato come il mercato cripto sia rilevantissimo anche in Italia:</w:t>
      </w:r>
      <w:r w:rsidDel="00000000" w:rsidR="00000000" w:rsidRPr="00000000">
        <w:rPr>
          <w:rFonts w:ascii="Verdana" w:cs="Verdana" w:eastAsia="Verdana" w:hAnsi="Verdana"/>
          <w:color w:val="2a2828"/>
          <w:rtl w:val="0"/>
        </w:rPr>
        <w:t xml:space="preserve"> “</w:t>
      </w:r>
      <w:r w:rsidDel="00000000" w:rsidR="00000000" w:rsidRPr="00000000">
        <w:rPr>
          <w:rFonts w:ascii="Verdana" w:cs="Verdana" w:eastAsia="Verdana" w:hAnsi="Verdana"/>
          <w:i w:val="1"/>
          <w:color w:val="2a2828"/>
          <w:rtl w:val="0"/>
        </w:rPr>
        <w:t xml:space="preserve">i dati forniti da Banca d’Italia nel suo bollettino economico di gennaio 2023 mostrano che un numero sempre maggiore di famiglie, specialmente quelle nel quartile a più alto reddito, investe in cripto. A partire da questi dati, si può stimare che il patrimonio cripto delle famiglie italiane sia oggi pari a circa 5 miliardi di euro. Un valore di per sé già significativo, ma di cui è facile prevedere una crescita: i patrimoni gestiti dal private banking italiano superano i mille miliardi e, prima o poi, fosse anche solo a scopo di diversificazione, una percentuale tra l’1% ed il 3% vorrà entrare nel mondo cripto</w:t>
      </w:r>
      <w:r w:rsidDel="00000000" w:rsidR="00000000" w:rsidRPr="00000000">
        <w:rPr>
          <w:rFonts w:ascii="Verdana" w:cs="Verdana" w:eastAsia="Verdana" w:hAnsi="Verdana"/>
          <w:color w:val="2a2828"/>
          <w:rtl w:val="0"/>
        </w:rPr>
        <w:t xml:space="preserve">”.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9159851074219" w:line="365.18726348876953" w:lineRule="auto"/>
        <w:ind w:left="0" w:right="-5.799560546875" w:firstLine="0"/>
        <w:jc w:val="both"/>
        <w:rPr>
          <w:rFonts w:ascii="Verdana" w:cs="Verdana" w:eastAsia="Verdana" w:hAnsi="Verdana"/>
          <w:color w:val="2a2828"/>
        </w:rPr>
      </w:pPr>
      <w:r w:rsidDel="00000000" w:rsidR="00000000" w:rsidRPr="00000000">
        <w:rPr>
          <w:rFonts w:ascii="Verdana" w:cs="Verdana" w:eastAsia="Verdana" w:hAnsi="Verdana"/>
          <w:color w:val="2a2828"/>
          <w:rtl w:val="0"/>
        </w:rPr>
        <w:t xml:space="preserve">È consuetudine che alla presentazione del report trimestrale </w:t>
      </w:r>
      <w:r w:rsidDel="00000000" w:rsidR="00000000" w:rsidRPr="00000000">
        <w:rPr>
          <w:rFonts w:ascii="Verdana" w:cs="Verdana" w:eastAsia="Verdana" w:hAnsi="Verdana"/>
          <w:color w:val="2a2828"/>
          <w:rtl w:val="0"/>
        </w:rPr>
        <w:t xml:space="preserve">DGI</w:t>
      </w:r>
      <w:r w:rsidDel="00000000" w:rsidR="00000000" w:rsidRPr="00000000">
        <w:rPr>
          <w:rFonts w:ascii="Verdana" w:cs="Verdana" w:eastAsia="Verdana" w:hAnsi="Verdana"/>
          <w:color w:val="2a2828"/>
          <w:rtl w:val="0"/>
        </w:rPr>
        <w:t xml:space="preserve"> intervenga un ospite qualificato. Questa è stata la volta di </w:t>
      </w:r>
      <w:r w:rsidDel="00000000" w:rsidR="00000000" w:rsidRPr="00000000">
        <w:rPr>
          <w:rFonts w:ascii="Verdana" w:cs="Verdana" w:eastAsia="Verdana" w:hAnsi="Verdana"/>
          <w:b w:val="1"/>
          <w:color w:val="2a2828"/>
          <w:u w:val="single"/>
          <w:rtl w:val="0"/>
        </w:rPr>
        <w:t xml:space="preserve">Alberto Grisoni</w:t>
      </w:r>
      <w:r w:rsidDel="00000000" w:rsidR="00000000" w:rsidRPr="00000000">
        <w:rPr>
          <w:rFonts w:ascii="Verdana" w:cs="Verdana" w:eastAsia="Verdana" w:hAnsi="Verdana"/>
          <w:color w:val="2a2828"/>
          <w:rtl w:val="0"/>
        </w:rPr>
        <w:t xml:space="preserve">, Direttore di AziendaBanca: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a2828"/>
          <w:u w:val="none"/>
          <w:vertAlign w:val="baseline"/>
          <w:rtl w:val="0"/>
        </w:rPr>
        <w:t xml:space="preserve">“</w:t>
      </w:r>
      <w:r w:rsidDel="00000000" w:rsidR="00000000" w:rsidRPr="00000000">
        <w:rPr>
          <w:rFonts w:ascii="Verdana" w:cs="Verdana" w:eastAsia="Verdana" w:hAnsi="Verdana"/>
          <w:i w:val="1"/>
          <w:color w:val="2a2828"/>
          <w:rtl w:val="0"/>
        </w:rPr>
        <w:t xml:space="preserve">il racconto del mondo cripto fatto dai media risente di visioni opposte, quasi ideologiche, tra sostenitori e detrattori, in primis di Bitcoin</w:t>
      </w:r>
      <w:r w:rsidDel="00000000" w:rsidR="00000000" w:rsidRPr="00000000">
        <w:rPr>
          <w:rFonts w:ascii="Verdana" w:cs="Verdana" w:eastAsia="Verdana" w:hAnsi="Verdana"/>
          <w:color w:val="2a2828"/>
          <w:rtl w:val="0"/>
        </w:rPr>
        <w:t xml:space="preserve">”,  ha esordito Grisoni. </w:t>
      </w:r>
      <w:r w:rsidDel="00000000" w:rsidR="00000000" w:rsidRPr="00000000">
        <w:rPr>
          <w:rFonts w:ascii="Verdana" w:cs="Verdana" w:eastAsia="Verdana" w:hAnsi="Verdana"/>
          <w:color w:val="2a2828"/>
          <w:rtl w:val="0"/>
        </w:rPr>
        <w:t xml:space="preserve">“</w:t>
      </w:r>
      <w:r w:rsidDel="00000000" w:rsidR="00000000" w:rsidRPr="00000000">
        <w:rPr>
          <w:rFonts w:ascii="Verdana" w:cs="Verdana" w:eastAsia="Verdana" w:hAnsi="Verdana"/>
          <w:i w:val="1"/>
          <w:color w:val="2a2828"/>
          <w:rtl w:val="0"/>
        </w:rPr>
        <w:t xml:space="preserve">Questo concentra l’attenzione su alcuni aspetti, soprattutto negativi, come truffe o frodi legate al mondo cripto. Mentre dei medesimi fenomeni troviamo, spesso, narrazioni totalmente opposte da parte dei due lati della barricata: pensiamo al consumo energetico delle criptovalute, oppure all’effettivo utilizzo dei cripto asset per transazioni legate al crimine. In entrambi i casi è facile trovare analisi e commenti di segno opposto, in una dialettica che rende molto difficile, per i non addetti ai lavori, farsi un’idea chiara”.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11572265625" w:line="364.29877281188965" w:lineRule="auto"/>
        <w:ind w:left="0" w:right="-4.4189453125" w:firstLine="0"/>
        <w:jc w:val="both"/>
        <w:rPr>
          <w:rFonts w:ascii="Verdana" w:cs="Verdana" w:eastAsia="Verdana" w:hAnsi="Verdana"/>
          <w:b w:val="1"/>
          <w:color w:val="2a2828"/>
        </w:rPr>
      </w:pPr>
      <w:r w:rsidDel="00000000" w:rsidR="00000000" w:rsidRPr="00000000">
        <w:rPr>
          <w:rFonts w:ascii="Verdana" w:cs="Verdana" w:eastAsia="Verdana" w:hAnsi="Verdana"/>
          <w:color w:val="2a2828"/>
          <w:rtl w:val="0"/>
        </w:rPr>
        <w:t xml:space="preserve">Il report DGI è trimestrale: il prossimo appuntamento per commentare il secondo trimestre 2023 è </w:t>
      </w:r>
      <w:r w:rsidDel="00000000" w:rsidR="00000000" w:rsidRPr="00000000">
        <w:rPr>
          <w:rFonts w:ascii="Verdana" w:cs="Verdana" w:eastAsia="Verdana" w:hAnsi="Verdana"/>
          <w:color w:val="2a2828"/>
          <w:rtl w:val="0"/>
        </w:rPr>
        <w:t xml:space="preserve">mercoledì 12 luglio. </w:t>
      </w:r>
      <w:r w:rsidDel="00000000" w:rsidR="00000000" w:rsidRPr="00000000">
        <w:rPr>
          <w:rFonts w:ascii="Verdana" w:cs="Verdana" w:eastAsia="Verdana" w:hAnsi="Verdana"/>
          <w:color w:val="2a2828"/>
          <w:rtl w:val="0"/>
        </w:rPr>
        <w:t xml:space="preserve">Nel frattempo, gli aggiornamenti settimanali su Bitcoin e dintorni sono ogni venerdì alle 18:00 nella rassegna stampa </w:t>
      </w:r>
      <w:hyperlink r:id="rId6">
        <w:r w:rsidDel="00000000" w:rsidR="00000000" w:rsidRPr="00000000">
          <w:rPr>
            <w:rFonts w:ascii="Verdana" w:cs="Verdana" w:eastAsia="Verdana" w:hAnsi="Verdana"/>
            <w:color w:val="1155cc"/>
            <w:u w:val="single"/>
            <w:rtl w:val="0"/>
          </w:rPr>
          <w:t xml:space="preserve">CryptoWeek</w:t>
        </w:r>
      </w:hyperlink>
      <w:r w:rsidDel="00000000" w:rsidR="00000000" w:rsidRPr="00000000">
        <w:rPr>
          <w:rFonts w:ascii="Verdana" w:cs="Verdana" w:eastAsia="Verdana" w:hAnsi="Verdana"/>
          <w:color w:val="2a28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11572265625" w:line="364.29877281188965" w:lineRule="auto"/>
        <w:ind w:left="0" w:right="-4.4189453125" w:firstLine="0"/>
        <w:jc w:val="both"/>
        <w:rPr>
          <w:rFonts w:ascii="Verdana" w:cs="Verdana" w:eastAsia="Verdana" w:hAnsi="Verdana"/>
          <w:b w:val="1"/>
          <w:color w:val="2a28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11572265625" w:line="364.29877281188965" w:lineRule="auto"/>
        <w:ind w:left="0" w:right="-4.4189453125" w:firstLine="0"/>
        <w:rPr>
          <w:rFonts w:ascii="Verdana" w:cs="Verdana" w:eastAsia="Verdana" w:hAnsi="Verdana"/>
          <w:b w:val="1"/>
          <w:i w:val="1"/>
          <w:smallCaps w:val="0"/>
          <w:strike w:val="0"/>
          <w:color w:val="2a2828"/>
          <w:sz w:val="18"/>
          <w:szCs w:val="18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mallCaps w:val="0"/>
          <w:strike w:val="0"/>
          <w:color w:val="2a2828"/>
          <w:sz w:val="18"/>
          <w:szCs w:val="18"/>
          <w:u w:val="none"/>
          <w:vertAlign w:val="baseline"/>
          <w:rtl w:val="0"/>
        </w:rPr>
        <w:t xml:space="preserve">Informazioni e contatti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7.540283203125" w:line="364.65399742126465" w:lineRule="auto"/>
        <w:ind w:left="0" w:right="-3.399658203125" w:firstLine="0"/>
        <w:jc w:val="both"/>
        <w:rPr>
          <w:rFonts w:ascii="Verdana" w:cs="Verdana" w:eastAsia="Verdana" w:hAnsi="Verdana"/>
          <w:i w:val="1"/>
          <w:color w:val="2a2828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i w:val="1"/>
          <w:color w:val="2a2828"/>
          <w:sz w:val="18"/>
          <w:szCs w:val="18"/>
          <w:rtl w:val="0"/>
        </w:rPr>
        <w:t xml:space="preserve">Fondato nel 2018, il Digital Gold Institute (</w:t>
      </w:r>
      <w:hyperlink r:id="rId7">
        <w:r w:rsidDel="00000000" w:rsidR="00000000" w:rsidRPr="00000000">
          <w:rPr>
            <w:rFonts w:ascii="Verdana" w:cs="Verdana" w:eastAsia="Verdana" w:hAnsi="Verdana"/>
            <w:i w:val="1"/>
            <w:color w:val="1155cc"/>
            <w:sz w:val="18"/>
            <w:szCs w:val="18"/>
            <w:u w:val="single"/>
            <w:rtl w:val="0"/>
          </w:rPr>
          <w:t xml:space="preserve">www.dgi.io</w:t>
        </w:r>
      </w:hyperlink>
      <w:r w:rsidDel="00000000" w:rsidR="00000000" w:rsidRPr="00000000">
        <w:rPr>
          <w:rFonts w:ascii="Verdana" w:cs="Verdana" w:eastAsia="Verdana" w:hAnsi="Verdana"/>
          <w:i w:val="1"/>
          <w:color w:val="2a2828"/>
          <w:sz w:val="18"/>
          <w:szCs w:val="18"/>
          <w:rtl w:val="0"/>
        </w:rPr>
        <w:t xml:space="preserve">) è il principale think tank italiano dedicato al fenomeno Bitcoin inteso come esperimento per la creazione della scarsità in ambito digitale. DGI promuove queste tematiche nel dibattito pubblico e nel mondo accademico attraverso ricerca e sviluppo, formazione, consulenza operativa e strategica. Inoltre, sostiene iniziative imprenditoriali nel campo cripto. Nel 2019, come spin-off dell’Istituto, è nata </w:t>
      </w:r>
      <w:hyperlink r:id="rId8">
        <w:r w:rsidDel="00000000" w:rsidR="00000000" w:rsidRPr="00000000">
          <w:rPr>
            <w:rFonts w:ascii="Verdana" w:cs="Verdana" w:eastAsia="Verdana" w:hAnsi="Verdana"/>
            <w:i w:val="1"/>
            <w:color w:val="1155cc"/>
            <w:sz w:val="18"/>
            <w:szCs w:val="18"/>
            <w:u w:val="single"/>
            <w:rtl w:val="0"/>
          </w:rPr>
          <w:t xml:space="preserve">CheckSig</w:t>
        </w:r>
      </w:hyperlink>
      <w:r w:rsidDel="00000000" w:rsidR="00000000" w:rsidRPr="00000000">
        <w:rPr>
          <w:rFonts w:ascii="Verdana" w:cs="Verdana" w:eastAsia="Verdana" w:hAnsi="Verdana"/>
          <w:i w:val="1"/>
          <w:color w:val="2a2828"/>
          <w:sz w:val="18"/>
          <w:szCs w:val="18"/>
          <w:rtl w:val="0"/>
        </w:rPr>
        <w:t xml:space="preserve">, che ha la missione di rendere semplice e sicuro l’accesso al mondo cripto per clientela Private e investitori istituzionali. In partnership con l’Università degli Studi di Milano-Bicocca, DGI è membro fondatore del </w:t>
      </w:r>
      <w:hyperlink r:id="rId9">
        <w:r w:rsidDel="00000000" w:rsidR="00000000" w:rsidRPr="00000000">
          <w:rPr>
            <w:rFonts w:ascii="Verdana" w:cs="Verdana" w:eastAsia="Verdana" w:hAnsi="Verdana"/>
            <w:i w:val="1"/>
            <w:color w:val="1155cc"/>
            <w:sz w:val="18"/>
            <w:szCs w:val="18"/>
            <w:u w:val="single"/>
            <w:rtl w:val="0"/>
          </w:rPr>
          <w:t xml:space="preserve">Crypto Asset Lab</w:t>
        </w:r>
      </w:hyperlink>
      <w:r w:rsidDel="00000000" w:rsidR="00000000" w:rsidRPr="00000000">
        <w:rPr>
          <w:rFonts w:ascii="Verdana" w:cs="Verdana" w:eastAsia="Verdana" w:hAnsi="Verdana"/>
          <w:i w:val="1"/>
          <w:color w:val="2a2828"/>
          <w:sz w:val="18"/>
          <w:szCs w:val="18"/>
          <w:rtl w:val="0"/>
        </w:rPr>
        <w:t xml:space="preserve">, la cui conferenza annuale è co-organizzata assieme alla direzione generale Joint Research Center della Commissione Europea.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7.540283203125" w:line="364.65399742126465" w:lineRule="auto"/>
        <w:ind w:left="0" w:right="-3.399658203125" w:firstLine="0"/>
        <w:rPr>
          <w:rFonts w:ascii="Verdana" w:cs="Verdana" w:eastAsia="Verdana" w:hAnsi="Verdana"/>
          <w:i w:val="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2a2828"/>
          <w:sz w:val="18"/>
          <w:szCs w:val="18"/>
          <w:u w:val="none"/>
          <w:vertAlign w:val="baseline"/>
          <w:rtl w:val="0"/>
        </w:rPr>
        <w:t xml:space="preserve">Per maggiori informazioni: </w:t>
      </w:r>
      <w:hyperlink r:id="rId10">
        <w:r w:rsidDel="00000000" w:rsidR="00000000" w:rsidRPr="00000000">
          <w:rPr>
            <w:rFonts w:ascii="Verdana" w:cs="Verdana" w:eastAsia="Verdana" w:hAnsi="Verdana"/>
            <w:b w:val="0"/>
            <w:i w:val="1"/>
            <w:smallCaps w:val="0"/>
            <w:strike w:val="0"/>
            <w:color w:val="1155cc"/>
            <w:sz w:val="18"/>
            <w:szCs w:val="18"/>
            <w:u w:val="single"/>
            <w:vertAlign w:val="baseline"/>
            <w:rtl w:val="0"/>
          </w:rPr>
          <w:t xml:space="preserve">info@dgi.io</w:t>
        </w:r>
      </w:hyperlink>
      <w:r w:rsidDel="00000000" w:rsidR="00000000" w:rsidRPr="00000000">
        <w:rPr>
          <w:rtl w:val="0"/>
        </w:rPr>
      </w:r>
    </w:p>
    <w:sectPr>
      <w:headerReference r:id="rId11" w:type="default"/>
      <w:pgSz w:h="16820" w:w="11900" w:orient="portrait"/>
      <w:pgMar w:bottom="504.00001525878906" w:top="391.0009765625" w:left="828.0000305175781" w:right="897.03857421875" w:header="144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-600074</wp:posOffset>
          </wp:positionV>
          <wp:extent cx="1349338" cy="623888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49338" cy="62388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mailto:info@dgi.io" TargetMode="External"/><Relationship Id="rId9" Type="http://schemas.openxmlformats.org/officeDocument/2006/relationships/hyperlink" Target="https://cryptoassetlab.org/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checksig.com/it/cryptoweek" TargetMode="External"/><Relationship Id="rId7" Type="http://schemas.openxmlformats.org/officeDocument/2006/relationships/hyperlink" Target="http://www.dgi.io" TargetMode="External"/><Relationship Id="rId8" Type="http://schemas.openxmlformats.org/officeDocument/2006/relationships/hyperlink" Target="https://checksig.com/it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