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48"/>
        </w:rPr>
        <w:t>时序数据采集与应用管理系统</w:t>
      </w:r>
    </w:p>
    <w:p>
      <w:pPr>
        <w:jc w:val="center"/>
      </w:pPr>
      <w:r>
        <w:rPr>
          <w:sz w:val="28"/>
        </w:rPr>
        <w:t>(原: 时序数据采集与应用管理系统)</w:t>
      </w:r>
    </w:p>
    <w:p>
      <w:pPr>
        <w:jc w:val="center"/>
      </w:pPr>
      <w:r>
        <w:rPr>
          <w:sz w:val="32"/>
        </w:rPr>
        <w:t>合规附件汇编 (共五件)</w:t>
      </w:r>
    </w:p>
    <w:p/>
    <w:p/>
    <w:p/>
    <w:p>
      <w:pPr>
        <w:jc w:val="center"/>
      </w:pPr>
      <w:r>
        <w:rPr>
          <w:sz w:val="26"/>
        </w:rPr>
        <w:t>委托单位: 大庆油田科技信息部</w:t>
      </w:r>
    </w:p>
    <w:p>
      <w:pPr>
        <w:jc w:val="center"/>
      </w:pPr>
      <w:r>
        <w:rPr>
          <w:sz w:val="26"/>
        </w:rPr>
        <w:t>应答单位: 迪格(杭州)物联科技有限公司</w:t>
      </w:r>
    </w:p>
    <w:p>
      <w:pPr>
        <w:jc w:val="center"/>
      </w:pPr>
      <w:r>
        <w:rPr>
          <w:sz w:val="26"/>
        </w:rPr>
        <w:t>日期: 2026-07-27</w:t>
      </w:r>
    </w:p>
    <w:p>
      <w:r>
        <w:br w:type="page"/>
      </w:r>
    </w:p>
    <w:p>
      <w:pPr>
        <w:pStyle w:val="Heading1"/>
      </w:pPr>
      <w:r>
        <w:t>附件一: 科技信息部委托函</w:t>
      </w:r>
    </w:p>
    <w:p>
      <w:r>
        <w:t>根据大庆油田科技信息部(委托方)与迪格(杭州)物联科技有限公司(受托方)协商一致, 就"时序数据采集与应用管理系统"项目达成以下委托事项:</w:t>
      </w:r>
    </w:p>
    <w:p>
      <w:r>
        <w:t>一、委托事项: (1)采用路由监听IO服务器端口技术方案,实现双路并发采集,不改造A11; (2)时序数据统一注册至数据湖主数据体系; (3)设计两层实时数据库架构(生产网边缘采集+办公网长期存储); (4)交付完整源代码(约20,000行),自主可控; (5)聚焦核心能力,剔除泛化应用。</w:t>
      </w:r>
    </w:p>
    <w:p>
      <w:r>
        <w:t>二、受托方资质: DG-IoT开源平台创始团队(300+协议,千万级承载);已完大庆131号IO服务器2047配置文件逆向分析;现有系统87项测试全通过;团队成员10年以上油田信息化经验。</w:t>
      </w:r>
    </w:p>
    <w:p>
      <w:r>
        <w:t>三、委托期限: 合同签署日至2026年11月30日(分六个里程碑交付)。</w:t>
      </w:r>
    </w:p>
    <w:p>
      <w:r>
        <w:t>四、服务费用: 725.04万元(含税),全部为技术服务费,不含硬件采购。</w:t>
      </w:r>
    </w:p>
    <w:p>
      <w:r>
        <w:br w:type="page"/>
      </w:r>
    </w:p>
    <w:p>
      <w:pPr>
        <w:pStyle w:val="Heading1"/>
      </w:pPr>
      <w:r>
        <w:t>附件二: 与A11系统的接口规范及功能边界说明</w:t>
      </w:r>
    </w:p>
    <w:p>
      <w:pPr>
        <w:pStyle w:val="Heading2"/>
      </w:pPr>
      <w:r>
        <w:t>一、功能边界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维度</w:t>
            </w:r>
          </w:p>
        </w:tc>
        <w:tc>
          <w:tcPr>
            <w:tcW w:type="dxa" w:w="2161"/>
          </w:tcPr>
          <w:p>
            <w:r>
              <w:t>A11系统范围</w:t>
            </w:r>
          </w:p>
        </w:tc>
        <w:tc>
          <w:tcPr>
            <w:tcW w:type="dxa" w:w="2161"/>
          </w:tcPr>
          <w:p>
            <w:r>
              <w:t>本项目范围</w:t>
            </w:r>
          </w:p>
        </w:tc>
        <w:tc>
          <w:tcPr>
            <w:tcW w:type="dxa" w:w="2161"/>
          </w:tcPr>
          <w:p>
            <w:r>
              <w:t>边界说明</w:t>
            </w:r>
          </w:p>
        </w:tc>
      </w:tr>
      <w:tr>
        <w:tc>
          <w:tcPr>
            <w:tcW w:type="dxa" w:w="2161"/>
          </w:tcPr>
          <w:p>
            <w:r>
              <w:t>采集链路</w:t>
            </w:r>
          </w:p>
        </w:tc>
        <w:tc>
          <w:tcPr>
            <w:tcW w:type="dxa" w:w="2161"/>
          </w:tcPr>
          <w:p>
            <w:r>
              <w:t>IO-&gt;IOMan-&gt;IoMonitor-&gt;Oracle</w:t>
            </w:r>
          </w:p>
        </w:tc>
        <w:tc>
          <w:tcPr>
            <w:tcW w:type="dxa" w:w="2161"/>
          </w:tcPr>
          <w:p>
            <w:r>
              <w:t>IO端口路由监听-&gt;旁路解析-&gt;自有TSDB</w:t>
            </w:r>
          </w:p>
        </w:tc>
        <w:tc>
          <w:tcPr>
            <w:tcW w:type="dxa" w:w="2161"/>
          </w:tcPr>
          <w:p>
            <w:r>
              <w:t>A11保持原链路;本项目并行</w:t>
            </w:r>
          </w:p>
        </w:tc>
      </w:tr>
      <w:tr>
        <w:tc>
          <w:tcPr>
            <w:tcW w:type="dxa" w:w="2161"/>
          </w:tcPr>
          <w:p>
            <w:r>
              <w:t>点位管理</w:t>
            </w:r>
          </w:p>
        </w:tc>
        <w:tc>
          <w:tcPr>
            <w:tcW w:type="dxa" w:w="2161"/>
          </w:tcPr>
          <w:p>
            <w:r>
              <w:t>A11自有配置DB(Pspace/Oracle)</w:t>
            </w:r>
          </w:p>
        </w:tc>
        <w:tc>
          <w:tcPr>
            <w:tcW w:type="dxa" w:w="2161"/>
          </w:tcPr>
          <w:p>
            <w:r>
              <w:t>主数据驱动注册+可视化配置工具</w:t>
            </w:r>
          </w:p>
        </w:tc>
        <w:tc>
          <w:tcPr>
            <w:tcW w:type="dxa" w:w="2161"/>
          </w:tcPr>
          <w:p>
            <w:r>
              <w:t>不接管A11点位;可导出兼容文件</w:t>
            </w:r>
          </w:p>
        </w:tc>
      </w:tr>
      <w:tr>
        <w:tc>
          <w:tcPr>
            <w:tcW w:type="dxa" w:w="2161"/>
          </w:tcPr>
          <w:p>
            <w:r>
              <w:t>报警规则</w:t>
            </w:r>
          </w:p>
        </w:tc>
        <w:tc>
          <w:tcPr>
            <w:tcW w:type="dxa" w:w="2161"/>
          </w:tcPr>
          <w:p>
            <w:r>
              <w:t>A11内置报警(后台批量)</w:t>
            </w:r>
          </w:p>
        </w:tc>
        <w:tc>
          <w:tcPr>
            <w:tcW w:type="dxa" w:w="2161"/>
          </w:tcPr>
          <w:p>
            <w:r>
              <w:t>流式计算引擎(滑动窗口+动态阈值)</w:t>
            </w:r>
          </w:p>
        </w:tc>
        <w:tc>
          <w:tcPr>
            <w:tcW w:type="dxa" w:w="2161"/>
          </w:tcPr>
          <w:p>
            <w:r>
              <w:t>A11报警不变;本项目补充高频报警</w:t>
            </w:r>
          </w:p>
        </w:tc>
      </w:tr>
      <w:tr>
        <w:tc>
          <w:tcPr>
            <w:tcW w:type="dxa" w:w="2161"/>
          </w:tcPr>
          <w:p>
            <w:r>
              <w:t>数据存储</w:t>
            </w:r>
          </w:p>
        </w:tc>
        <w:tc>
          <w:tcPr>
            <w:tcW w:type="dxa" w:w="2161"/>
          </w:tcPr>
          <w:p>
            <w:r>
              <w:t>Oracle(长期)+Pspace(实时)</w:t>
            </w:r>
          </w:p>
        </w:tc>
        <w:tc>
          <w:tcPr>
            <w:tcW w:type="dxa" w:w="2161"/>
          </w:tcPr>
          <w:p>
            <w:r>
              <w:t>TDengine(长期)+SQLite(降级)</w:t>
            </w:r>
          </w:p>
        </w:tc>
        <w:tc>
          <w:tcPr>
            <w:tcW w:type="dxa" w:w="2161"/>
          </w:tcPr>
          <w:p>
            <w:r>
              <w:t>物理独立;通过数据湖统一关联</w:t>
            </w:r>
          </w:p>
        </w:tc>
      </w:tr>
      <w:tr>
        <w:tc>
          <w:tcPr>
            <w:tcW w:type="dxa" w:w="2161"/>
          </w:tcPr>
          <w:p>
            <w:r>
              <w:t>管理界面</w:t>
            </w:r>
          </w:p>
        </w:tc>
        <w:tc>
          <w:tcPr>
            <w:tcW w:type="dxa" w:w="2161"/>
          </w:tcPr>
          <w:p>
            <w:r>
              <w:t>A11系统管理界面</w:t>
            </w:r>
          </w:p>
        </w:tc>
        <w:tc>
          <w:tcPr>
            <w:tcW w:type="dxa" w:w="2161"/>
          </w:tcPr>
          <w:p>
            <w:r>
              <w:t>嵌入数据湖门户</w:t>
            </w:r>
          </w:p>
        </w:tc>
        <w:tc>
          <w:tcPr>
            <w:tcW w:type="dxa" w:w="2161"/>
          </w:tcPr>
          <w:p>
            <w:r>
              <w:t>逻辑集成至数据湖;非独立系统</w:t>
            </w:r>
          </w:p>
        </w:tc>
      </w:tr>
    </w:tbl>
    <w:p>
      <w:pPr>
        <w:pStyle w:val="Heading2"/>
      </w:pPr>
      <w:r>
        <w:t>二、系统接口规范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t>接口名称</w:t>
            </w:r>
          </w:p>
        </w:tc>
        <w:tc>
          <w:tcPr>
            <w:tcW w:type="dxa" w:w="2161"/>
          </w:tcPr>
          <w:p>
            <w:r>
              <w:t>数据流向</w:t>
            </w:r>
          </w:p>
        </w:tc>
        <w:tc>
          <w:tcPr>
            <w:tcW w:type="dxa" w:w="2161"/>
          </w:tcPr>
          <w:p>
            <w:r>
              <w:t>协议</w:t>
            </w:r>
          </w:p>
        </w:tc>
        <w:tc>
          <w:tcPr>
            <w:tcW w:type="dxa" w:w="2161"/>
          </w:tcPr>
          <w:p>
            <w:r>
              <w:t>说明</w:t>
            </w:r>
          </w:p>
        </w:tc>
      </w:tr>
      <w:tr>
        <w:tc>
          <w:tcPr>
            <w:tcW w:type="dxa" w:w="2161"/>
          </w:tcPr>
          <w:p>
            <w:r>
              <w:t>点位配置导出</w:t>
            </w:r>
          </w:p>
        </w:tc>
        <w:tc>
          <w:tcPr>
            <w:tcW w:type="dxa" w:w="2161"/>
          </w:tcPr>
          <w:p>
            <w:r>
              <w:t>本项目-&gt;A11</w:t>
            </w:r>
          </w:p>
        </w:tc>
        <w:tc>
          <w:tcPr>
            <w:tcW w:type="dxa" w:w="2161"/>
          </w:tcPr>
          <w:p>
            <w:r>
              <w:t>文件传输(INI/CSV)</w:t>
            </w:r>
          </w:p>
        </w:tc>
        <w:tc>
          <w:tcPr>
            <w:tcW w:type="dxa" w:w="2161"/>
          </w:tcPr>
          <w:p>
            <w:r>
              <w:t>可视化配置-&gt;一键导出-&gt;A11管理员导入</w:t>
            </w:r>
          </w:p>
        </w:tc>
      </w:tr>
      <w:tr>
        <w:tc>
          <w:tcPr>
            <w:tcW w:type="dxa" w:w="2161"/>
          </w:tcPr>
          <w:p>
            <w:r>
              <w:t>路由监听截取</w:t>
            </w:r>
          </w:p>
        </w:tc>
        <w:tc>
          <w:tcPr>
            <w:tcW w:type="dxa" w:w="2161"/>
          </w:tcPr>
          <w:p>
            <w:r>
              <w:t>IO服务器-&gt;本项目</w:t>
            </w:r>
          </w:p>
        </w:tc>
        <w:tc>
          <w:tcPr>
            <w:tcW w:type="dxa" w:w="2161"/>
          </w:tcPr>
          <w:p>
            <w:r>
              <w:t>TCP Raw Socket</w:t>
            </w:r>
          </w:p>
        </w:tc>
        <w:tc>
          <w:tcPr>
            <w:tcW w:type="dxa" w:w="2161"/>
          </w:tcPr>
          <w:p>
            <w:r>
              <w:t>WFP端口捕获,不修改/不丢弃原始包</w:t>
            </w:r>
          </w:p>
        </w:tc>
      </w:tr>
      <w:tr>
        <w:tc>
          <w:tcPr>
            <w:tcW w:type="dxa" w:w="2161"/>
          </w:tcPr>
          <w:p>
            <w:r>
              <w:t>时序数据同步</w:t>
            </w:r>
          </w:p>
        </w:tc>
        <w:tc>
          <w:tcPr>
            <w:tcW w:type="dxa" w:w="2161"/>
          </w:tcPr>
          <w:p>
            <w:r>
              <w:t>本项目-&gt;数据湖</w:t>
            </w:r>
          </w:p>
        </w:tc>
        <w:tc>
          <w:tcPr>
            <w:tcW w:type="dxa" w:w="2161"/>
          </w:tcPr>
          <w:p>
            <w:r>
              <w:t>HTTP REST JSON</w:t>
            </w:r>
          </w:p>
        </w:tc>
        <w:tc>
          <w:tcPr>
            <w:tcW w:type="dxa" w:w="2161"/>
          </w:tcPr>
          <w:p>
            <w:r>
              <w:t>标准化格式(ts+id+value+quality)注入逻辑表</w:t>
            </w:r>
          </w:p>
        </w:tc>
      </w:tr>
      <w:tr>
        <w:tc>
          <w:tcPr>
            <w:tcW w:type="dxa" w:w="2161"/>
          </w:tcPr>
          <w:p>
            <w:r>
              <w:t>管理指令回传</w:t>
            </w:r>
          </w:p>
        </w:tc>
        <w:tc>
          <w:tcPr>
            <w:tcW w:type="dxa" w:w="2161"/>
          </w:tcPr>
          <w:p>
            <w:r>
              <w:t>办公网-&gt;生产网</w:t>
            </w:r>
          </w:p>
        </w:tc>
        <w:tc>
          <w:tcPr>
            <w:tcW w:type="dxa" w:w="2161"/>
          </w:tcPr>
          <w:p>
            <w:r>
              <w:t>反向SSH隧道</w:t>
            </w:r>
          </w:p>
        </w:tc>
        <w:tc>
          <w:tcPr>
            <w:tcW w:type="dxa" w:w="2161"/>
          </w:tcPr>
          <w:p>
            <w:r>
              <w:t>经DMZ认证网关验证后安全回传</w:t>
            </w:r>
          </w:p>
        </w:tc>
      </w:tr>
    </w:tbl>
    <w:p>
      <w:r>
        <w:br w:type="page"/>
      </w:r>
    </w:p>
    <w:p>
      <w:pPr>
        <w:pStyle w:val="Heading1"/>
      </w:pPr>
      <w:r>
        <w:t>附件三: 油田个性化需求清单</w:t>
      </w:r>
    </w:p>
    <w:p>
      <w:pPr>
        <w:pStyle w:val="Heading2"/>
      </w:pPr>
      <w:r>
        <w:t>一、动态IP设备接入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需求</w:t>
            </w:r>
          </w:p>
        </w:tc>
        <w:tc>
          <w:tcPr>
            <w:tcW w:type="dxa" w:w="1729"/>
          </w:tcPr>
          <w:p>
            <w:r>
              <w:t>设备类型</w:t>
            </w:r>
          </w:p>
        </w:tc>
        <w:tc>
          <w:tcPr>
            <w:tcW w:type="dxa" w:w="1729"/>
          </w:tcPr>
          <w:p>
            <w:r>
              <w:t>方案</w:t>
            </w:r>
          </w:p>
        </w:tc>
        <w:tc>
          <w:tcPr>
            <w:tcW w:type="dxa" w:w="1729"/>
          </w:tcPr>
          <w:p>
            <w:r>
              <w:t>优先级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4G井下终端接入</w:t>
            </w:r>
          </w:p>
        </w:tc>
        <w:tc>
          <w:tcPr>
            <w:tcW w:type="dxa" w:w="1729"/>
          </w:tcPr>
          <w:p>
            <w:r>
              <w:t>压力计/温度计</w:t>
            </w:r>
          </w:p>
        </w:tc>
        <w:tc>
          <w:tcPr>
            <w:tcW w:type="dxa" w:w="1729"/>
          </w:tcPr>
          <w:p>
            <w:r>
              <w:t>DTU网关-&gt;MQTT适配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移动修井机接入</w:t>
            </w:r>
          </w:p>
        </w:tc>
        <w:tc>
          <w:tcPr>
            <w:tcW w:type="dxa" w:w="1729"/>
          </w:tcPr>
          <w:p>
            <w:r>
              <w:t>修井机PLC</w:t>
            </w:r>
          </w:p>
        </w:tc>
        <w:tc>
          <w:tcPr>
            <w:tcW w:type="dxa" w:w="1729"/>
          </w:tcPr>
          <w:p>
            <w:r>
              <w:t>动态IP+MQTT注册+心跳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偏远井站卫星通信</w:t>
            </w:r>
          </w:p>
        </w:tc>
        <w:tc>
          <w:tcPr>
            <w:tcW w:type="dxa" w:w="1729"/>
          </w:tcPr>
          <w:p>
            <w:r>
              <w:t>卫星Modem RTU</w:t>
            </w:r>
          </w:p>
        </w:tc>
        <w:tc>
          <w:tcPr>
            <w:tcW w:type="dxa" w:w="1729"/>
          </w:tcPr>
          <w:p>
            <w:r>
              <w:t>UDP轻量+断点续传</w:t>
            </w:r>
          </w:p>
        </w:tc>
        <w:tc>
          <w:tcPr>
            <w:tcW w:type="dxa" w:w="1729"/>
          </w:tcPr>
          <w:p>
            <w:r>
              <w:t>P2</w:t>
            </w:r>
          </w:p>
        </w:tc>
      </w:tr>
    </w:tbl>
    <w:p>
      <w:pPr>
        <w:pStyle w:val="Heading2"/>
      </w:pPr>
      <w:r>
        <w:t>二、新型数据源接入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需求</w:t>
            </w:r>
          </w:p>
        </w:tc>
        <w:tc>
          <w:tcPr>
            <w:tcW w:type="dxa" w:w="1729"/>
          </w:tcPr>
          <w:p>
            <w:r>
              <w:t>格式</w:t>
            </w:r>
          </w:p>
        </w:tc>
        <w:tc>
          <w:tcPr>
            <w:tcW w:type="dxa" w:w="1729"/>
          </w:tcPr>
          <w:p>
            <w:r>
              <w:t>方案</w:t>
            </w:r>
          </w:p>
        </w:tc>
        <w:tc>
          <w:tcPr>
            <w:tcW w:type="dxa" w:w="1729"/>
          </w:tcPr>
          <w:p>
            <w:r>
              <w:t>优先级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光伏逆变器</w:t>
            </w:r>
          </w:p>
        </w:tc>
        <w:tc>
          <w:tcPr>
            <w:tcW w:type="dxa" w:w="1729"/>
          </w:tcPr>
          <w:p>
            <w:r>
              <w:t>Modbus TCP</w:t>
            </w:r>
          </w:p>
        </w:tc>
        <w:tc>
          <w:tcPr>
            <w:tcW w:type="dxa" w:w="1729"/>
          </w:tcPr>
          <w:p>
            <w:r>
              <w:t>IEC104&lt;-&gt;Modbus网关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储能PCS</w:t>
            </w:r>
          </w:p>
        </w:tc>
        <w:tc>
          <w:tcPr>
            <w:tcW w:type="dxa" w:w="1729"/>
          </w:tcPr>
          <w:p>
            <w:r>
              <w:t>Modbus TCP</w:t>
            </w:r>
          </w:p>
        </w:tc>
        <w:tc>
          <w:tcPr>
            <w:tcW w:type="dxa" w:w="1729"/>
          </w:tcPr>
          <w:p>
            <w:r>
              <w:t>CAN-&gt;Modbus TCP网关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智能仪表(HART)</w:t>
            </w:r>
          </w:p>
        </w:tc>
        <w:tc>
          <w:tcPr>
            <w:tcW w:type="dxa" w:w="1729"/>
          </w:tcPr>
          <w:p>
            <w:r>
              <w:t>HART 4-20mA+数字</w:t>
            </w:r>
          </w:p>
        </w:tc>
        <w:tc>
          <w:tcPr>
            <w:tcW w:type="dxa" w:w="1729"/>
          </w:tcPr>
          <w:p>
            <w:r>
              <w:t>HART-&gt;Modbus转换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4</w:t>
            </w:r>
          </w:p>
        </w:tc>
        <w:tc>
          <w:tcPr>
            <w:tcW w:type="dxa" w:w="1729"/>
          </w:tcPr>
          <w:p>
            <w:r>
              <w:t>视频流(RTSP)</w:t>
            </w:r>
          </w:p>
        </w:tc>
        <w:tc>
          <w:tcPr>
            <w:tcW w:type="dxa" w:w="1729"/>
          </w:tcPr>
          <w:p>
            <w:r>
              <w:t>RTSP/H.264</w:t>
            </w:r>
          </w:p>
        </w:tc>
        <w:tc>
          <w:tcPr>
            <w:tcW w:type="dxa" w:w="1729"/>
          </w:tcPr>
          <w:p>
            <w:r>
              <w:t>RTSP代理+关键帧截图</w:t>
            </w:r>
          </w:p>
        </w:tc>
        <w:tc>
          <w:tcPr>
            <w:tcW w:type="dxa" w:w="1729"/>
          </w:tcPr>
          <w:p>
            <w:r>
              <w:t>P2</w:t>
            </w:r>
          </w:p>
        </w:tc>
      </w:tr>
    </w:tbl>
    <w:p>
      <w:pPr>
        <w:pStyle w:val="Heading2"/>
      </w:pPr>
      <w:r>
        <w:t>三、自定义协议需求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t>#</w:t>
            </w:r>
          </w:p>
        </w:tc>
        <w:tc>
          <w:tcPr>
            <w:tcW w:type="dxa" w:w="1729"/>
          </w:tcPr>
          <w:p>
            <w:r>
              <w:t>需求</w:t>
            </w:r>
          </w:p>
        </w:tc>
        <w:tc>
          <w:tcPr>
            <w:tcW w:type="dxa" w:w="1729"/>
          </w:tcPr>
          <w:p>
            <w:r>
              <w:t>协议</w:t>
            </w:r>
          </w:p>
        </w:tc>
        <w:tc>
          <w:tcPr>
            <w:tcW w:type="dxa" w:w="1729"/>
          </w:tcPr>
          <w:p>
            <w:r>
              <w:t>方案</w:t>
            </w:r>
          </w:p>
        </w:tc>
        <w:tc>
          <w:tcPr>
            <w:tcW w:type="dxa" w:w="1729"/>
          </w:tcPr>
          <w:p>
            <w:r>
              <w:t>优先级</w:t>
            </w:r>
          </w:p>
        </w:tc>
      </w:tr>
      <w:tr>
        <w:tc>
          <w:tcPr>
            <w:tcW w:type="dxa" w:w="1729"/>
          </w:tcPr>
          <w:p>
            <w:r>
              <w:t>1</w:t>
            </w:r>
          </w:p>
        </w:tc>
        <w:tc>
          <w:tcPr>
            <w:tcW w:type="dxa" w:w="1729"/>
          </w:tcPr>
          <w:p>
            <w:r>
              <w:t>自定义串口协议</w:t>
            </w:r>
          </w:p>
        </w:tc>
        <w:tc>
          <w:tcPr>
            <w:tcW w:type="dxa" w:w="1729"/>
          </w:tcPr>
          <w:p>
            <w:r>
              <w:t>私有二进制帧</w:t>
            </w:r>
          </w:p>
        </w:tc>
        <w:tc>
          <w:tcPr>
            <w:tcW w:type="dxa" w:w="1729"/>
          </w:tcPr>
          <w:p>
            <w:r>
              <w:t>插件开发(模板化)</w:t>
            </w:r>
          </w:p>
        </w:tc>
        <w:tc>
          <w:tcPr>
            <w:tcW w:type="dxa" w:w="1729"/>
          </w:tcPr>
          <w:p>
            <w:r>
              <w:t>P0</w:t>
            </w:r>
          </w:p>
        </w:tc>
      </w:tr>
      <w:tr>
        <w:tc>
          <w:tcPr>
            <w:tcW w:type="dxa" w:w="1729"/>
          </w:tcPr>
          <w:p>
            <w:r>
              <w:t>2</w:t>
            </w:r>
          </w:p>
        </w:tc>
        <w:tc>
          <w:tcPr>
            <w:tcW w:type="dxa" w:w="1729"/>
          </w:tcPr>
          <w:p>
            <w:r>
              <w:t>第三方DTU私有协议</w:t>
            </w:r>
          </w:p>
        </w:tc>
        <w:tc>
          <w:tcPr>
            <w:tcW w:type="dxa" w:w="1729"/>
          </w:tcPr>
          <w:p>
            <w:r>
              <w:t>厂商定制TCP/UDP</w:t>
            </w:r>
          </w:p>
        </w:tc>
        <w:tc>
          <w:tcPr>
            <w:tcW w:type="dxa" w:w="1729"/>
          </w:tcPr>
          <w:p>
            <w:r>
              <w:t>DTU协议池扩展(16-&gt;24)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  <w:tr>
        <w:tc>
          <w:tcPr>
            <w:tcW w:type="dxa" w:w="1729"/>
          </w:tcPr>
          <w:p>
            <w:r>
              <w:t>3</w:t>
            </w:r>
          </w:p>
        </w:tc>
        <w:tc>
          <w:tcPr>
            <w:tcW w:type="dxa" w:w="1729"/>
          </w:tcPr>
          <w:p>
            <w:r>
              <w:t>OPC DA DCOM兼容</w:t>
            </w:r>
          </w:p>
        </w:tc>
        <w:tc>
          <w:tcPr>
            <w:tcW w:type="dxa" w:w="1729"/>
          </w:tcPr>
          <w:p>
            <w:r>
              <w:t>Windows DCOM:135</w:t>
            </w:r>
          </w:p>
        </w:tc>
        <w:tc>
          <w:tcPr>
            <w:tcW w:type="dxa" w:w="1729"/>
          </w:tcPr>
          <w:p>
            <w:r>
              <w:t>OPC DA Client+WinRM</w:t>
            </w:r>
          </w:p>
        </w:tc>
        <w:tc>
          <w:tcPr>
            <w:tcW w:type="dxa" w:w="1729"/>
          </w:tcPr>
          <w:p>
            <w:r>
              <w:t>P1</w:t>
            </w:r>
          </w:p>
        </w:tc>
      </w:tr>
    </w:tbl>
    <w:p>
      <w:r>
        <w:br w:type="page"/>
      </w:r>
    </w:p>
    <w:p>
      <w:pPr>
        <w:pStyle w:val="Heading1"/>
      </w:pPr>
      <w:r>
        <w:t>附件四: 技术服务工作量明细表</w:t>
      </w:r>
    </w:p>
    <w:p>
      <w:pPr>
        <w:pStyle w:val="Heading2"/>
      </w:pPr>
      <w:r>
        <w:t>一、自研模块工作量(共155人日)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模块</w:t>
            </w:r>
          </w:p>
        </w:tc>
        <w:tc>
          <w:tcPr>
            <w:tcW w:type="dxa" w:w="2882"/>
          </w:tcPr>
          <w:p>
            <w:r>
              <w:t>子任务</w:t>
            </w:r>
          </w:p>
        </w:tc>
        <w:tc>
          <w:tcPr>
            <w:tcW w:type="dxa" w:w="2882"/>
          </w:tcPr>
          <w:p>
            <w:r>
              <w:t>人日</w:t>
            </w:r>
          </w:p>
        </w:tc>
      </w:tr>
      <w:tr>
        <w:tc>
          <w:tcPr>
            <w:tcW w:type="dxa" w:w="2882"/>
          </w:tcPr>
          <w:p>
            <w:r>
              <w:t>多协议适配器(60)</w:t>
            </w:r>
          </w:p>
        </w:tc>
        <w:tc>
          <w:tcPr>
            <w:tcW w:type="dxa" w:w="2882"/>
          </w:tcPr>
          <w:p>
            <w:r>
              <w:t>Modbus(10)+A11(12)+OPC(10)+IEC104(10)+DTU(10)+HTTP/MQTT(8)</w:t>
            </w:r>
          </w:p>
        </w:tc>
        <w:tc>
          <w:tcPr>
            <w:tcW w:type="dxa" w:w="2882"/>
          </w:tcPr>
          <w:p>
            <w:r>
              <w:t>60</w:t>
            </w:r>
          </w:p>
        </w:tc>
      </w:tr>
      <w:tr>
        <w:tc>
          <w:tcPr>
            <w:tcW w:type="dxa" w:w="2882"/>
          </w:tcPr>
          <w:p>
            <w:r>
              <w:t>主数据联动(30)</w:t>
            </w:r>
          </w:p>
        </w:tc>
        <w:tc>
          <w:tcPr>
            <w:tcW w:type="dxa" w:w="2882"/>
          </w:tcPr>
          <w:p>
            <w:r>
              <w:t>OWL注册API(8)+一致性校验(6)+SPARQL(6)+变更同步(10)</w:t>
            </w:r>
          </w:p>
        </w:tc>
        <w:tc>
          <w:tcPr>
            <w:tcW w:type="dxa" w:w="2882"/>
          </w:tcPr>
          <w:p>
            <w:r>
              <w:t>30</w:t>
            </w:r>
          </w:p>
        </w:tc>
      </w:tr>
      <w:tr>
        <w:tc>
          <w:tcPr>
            <w:tcW w:type="dxa" w:w="2882"/>
          </w:tcPr>
          <w:p>
            <w:r>
              <w:t>湖仓接口(25)</w:t>
            </w:r>
          </w:p>
        </w:tc>
        <w:tc>
          <w:tcPr>
            <w:tcW w:type="dxa" w:w="2882"/>
          </w:tcPr>
          <w:p>
            <w:r>
              <w:t>格式转换(8)+逻辑表挂载(10)+API客户端(7)</w:t>
            </w:r>
          </w:p>
        </w:tc>
        <w:tc>
          <w:tcPr>
            <w:tcW w:type="dxa" w:w="2882"/>
          </w:tcPr>
          <w:p>
            <w:r>
              <w:t>25</w:t>
            </w:r>
          </w:p>
        </w:tc>
      </w:tr>
      <w:tr>
        <w:tc>
          <w:tcPr>
            <w:tcW w:type="dxa" w:w="2882"/>
          </w:tcPr>
          <w:p>
            <w:r>
              <w:t>A11点位导出(20)</w:t>
            </w:r>
          </w:p>
        </w:tc>
        <w:tc>
          <w:tcPr>
            <w:tcW w:type="dxa" w:w="2882"/>
          </w:tcPr>
          <w:p>
            <w:r>
              <w:t>格式逆向(8)+配置工具UI(7)+导出引擎(5)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  <w:tr>
        <w:tc>
          <w:tcPr>
            <w:tcW w:type="dxa" w:w="2882"/>
          </w:tcPr>
          <w:p>
            <w:r>
              <w:t>OWL本体编译(20)</w:t>
            </w:r>
          </w:p>
        </w:tc>
        <w:tc>
          <w:tcPr>
            <w:tcW w:type="dxa" w:w="2882"/>
          </w:tcPr>
          <w:p>
            <w:r>
              <w:t>物模型-&gt;OWL(8)+ISA-95映射(7)+RDF导出(5)</w:t>
            </w:r>
          </w:p>
        </w:tc>
        <w:tc>
          <w:tcPr>
            <w:tcW w:type="dxa" w:w="2882"/>
          </w:tcPr>
          <w:p>
            <w:r>
              <w:t>20</w:t>
            </w:r>
          </w:p>
        </w:tc>
      </w:tr>
    </w:tbl>
    <w:p>
      <w:pPr>
        <w:pStyle w:val="Heading2"/>
      </w:pPr>
      <w:r>
        <w:t>二、工作量汇总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类别</w:t>
            </w:r>
          </w:p>
        </w:tc>
        <w:tc>
          <w:tcPr>
            <w:tcW w:type="dxa" w:w="2882"/>
          </w:tcPr>
          <w:p>
            <w:r>
              <w:t>人日</w:t>
            </w:r>
          </w:p>
        </w:tc>
        <w:tc>
          <w:tcPr>
            <w:tcW w:type="dxa" w:w="2882"/>
          </w:tcPr>
          <w:p>
            <w:r>
              <w:t>占比</w:t>
            </w:r>
          </w:p>
        </w:tc>
      </w:tr>
      <w:tr>
        <w:tc>
          <w:tcPr>
            <w:tcW w:type="dxa" w:w="2882"/>
          </w:tcPr>
          <w:p>
            <w:r>
              <w:t>自研-协议适配器</w:t>
            </w:r>
          </w:p>
        </w:tc>
        <w:tc>
          <w:tcPr>
            <w:tcW w:type="dxa" w:w="2882"/>
          </w:tcPr>
          <w:p>
            <w:r>
              <w:t>60</w:t>
            </w:r>
          </w:p>
        </w:tc>
        <w:tc>
          <w:tcPr>
            <w:tcW w:type="dxa" w:w="2882"/>
          </w:tcPr>
          <w:p>
            <w:r>
              <w:t>31%</w:t>
            </w:r>
          </w:p>
        </w:tc>
      </w:tr>
      <w:tr>
        <w:tc>
          <w:tcPr>
            <w:tcW w:type="dxa" w:w="2882"/>
          </w:tcPr>
          <w:p>
            <w:r>
              <w:t>自研-主数据联动</w:t>
            </w:r>
          </w:p>
        </w:tc>
        <w:tc>
          <w:tcPr>
            <w:tcW w:type="dxa" w:w="2882"/>
          </w:tcPr>
          <w:p>
            <w:r>
              <w:t>30</w:t>
            </w:r>
          </w:p>
        </w:tc>
        <w:tc>
          <w:tcPr>
            <w:tcW w:type="dxa" w:w="2882"/>
          </w:tcPr>
          <w:p>
            <w:r>
              <w:t>15%</w:t>
            </w:r>
          </w:p>
        </w:tc>
      </w:tr>
      <w:tr>
        <w:tc>
          <w:tcPr>
            <w:tcW w:type="dxa" w:w="2882"/>
          </w:tcPr>
          <w:p>
            <w:r>
              <w:t>自研-湖仓接口</w:t>
            </w:r>
          </w:p>
        </w:tc>
        <w:tc>
          <w:tcPr>
            <w:tcW w:type="dxa" w:w="2882"/>
          </w:tcPr>
          <w:p>
            <w:r>
              <w:t>25</w:t>
            </w:r>
          </w:p>
        </w:tc>
        <w:tc>
          <w:tcPr>
            <w:tcW w:type="dxa" w:w="2882"/>
          </w:tcPr>
          <w:p>
            <w:r>
              <w:t>13%</w:t>
            </w:r>
          </w:p>
        </w:tc>
      </w:tr>
      <w:tr>
        <w:tc>
          <w:tcPr>
            <w:tcW w:type="dxa" w:w="2882"/>
          </w:tcPr>
          <w:p>
            <w:r>
              <w:t>自研-A11点位导出</w:t>
            </w:r>
          </w:p>
        </w:tc>
        <w:tc>
          <w:tcPr>
            <w:tcW w:type="dxa" w:w="2882"/>
          </w:tcPr>
          <w:p>
            <w:r>
              <w:t>20</w:t>
            </w:r>
          </w:p>
        </w:tc>
        <w:tc>
          <w:tcPr>
            <w:tcW w:type="dxa" w:w="2882"/>
          </w:tcPr>
          <w:p>
            <w:r>
              <w:t>10%</w:t>
            </w:r>
          </w:p>
        </w:tc>
      </w:tr>
      <w:tr>
        <w:tc>
          <w:tcPr>
            <w:tcW w:type="dxa" w:w="2882"/>
          </w:tcPr>
          <w:p>
            <w:r>
              <w:t>自研-OWL本体引擎</w:t>
            </w:r>
          </w:p>
        </w:tc>
        <w:tc>
          <w:tcPr>
            <w:tcW w:type="dxa" w:w="2882"/>
          </w:tcPr>
          <w:p>
            <w:r>
              <w:t>20</w:t>
            </w:r>
          </w:p>
        </w:tc>
        <w:tc>
          <w:tcPr>
            <w:tcW w:type="dxa" w:w="2882"/>
          </w:tcPr>
          <w:p>
            <w:r>
              <w:t>10%</w:t>
            </w:r>
          </w:p>
        </w:tc>
      </w:tr>
      <w:tr>
        <w:tc>
          <w:tcPr>
            <w:tcW w:type="dxa" w:w="2882"/>
          </w:tcPr>
          <w:p>
            <w:r>
              <w:t>外协(协议/安全/联调)</w:t>
            </w:r>
          </w:p>
        </w:tc>
        <w:tc>
          <w:tcPr>
            <w:tcW w:type="dxa" w:w="2882"/>
          </w:tcPr>
          <w:p>
            <w:r>
              <w:t>40-55</w:t>
            </w:r>
          </w:p>
        </w:tc>
        <w:tc>
          <w:tcPr>
            <w:tcW w:type="dxa" w:w="2882"/>
          </w:tcPr>
          <w:p>
            <w:r>
              <w:t>21%</w:t>
            </w:r>
          </w:p>
        </w:tc>
      </w:tr>
      <w:tr>
        <w:tc>
          <w:tcPr>
            <w:tcW w:type="dxa" w:w="2882"/>
          </w:tcPr>
          <w:p>
            <w:r>
              <w:t>合计</w:t>
            </w:r>
          </w:p>
        </w:tc>
        <w:tc>
          <w:tcPr>
            <w:tcW w:type="dxa" w:w="2882"/>
          </w:tcPr>
          <w:p>
            <w:r>
              <w:t>195-210</w:t>
            </w:r>
          </w:p>
        </w:tc>
        <w:tc>
          <w:tcPr>
            <w:tcW w:type="dxa" w:w="2882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附件五: 与数据湖的逻辑集成方案</w:t>
      </w:r>
    </w:p>
    <w:p>
      <w:pPr>
        <w:pStyle w:val="Heading2"/>
      </w:pPr>
      <w:r>
        <w:t>一、管理界面嵌入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方式</w:t>
            </w:r>
          </w:p>
        </w:tc>
        <w:tc>
          <w:tcPr>
            <w:tcW w:type="dxa" w:w="2882"/>
          </w:tcPr>
          <w:p>
            <w:r>
              <w:t>实现</w:t>
            </w:r>
          </w:p>
        </w:tc>
        <w:tc>
          <w:tcPr>
            <w:tcW w:type="dxa" w:w="2882"/>
          </w:tcPr>
          <w:p>
            <w:r>
              <w:t>用户体验</w:t>
            </w:r>
          </w:p>
        </w:tc>
      </w:tr>
      <w:tr>
        <w:tc>
          <w:tcPr>
            <w:tcW w:type="dxa" w:w="2882"/>
          </w:tcPr>
          <w:p>
            <w:r>
              <w:t>iframe嵌入</w:t>
            </w:r>
          </w:p>
        </w:tc>
        <w:tc>
          <w:tcPr>
            <w:tcW w:type="dxa" w:w="2882"/>
          </w:tcPr>
          <w:p>
            <w:r>
              <w:t>门户通过iframe加载本项目管理界面</w:t>
            </w:r>
          </w:p>
        </w:tc>
        <w:tc>
          <w:tcPr>
            <w:tcW w:type="dxa" w:w="2882"/>
          </w:tcPr>
          <w:p>
            <w:r>
              <w:t>门户内直接操作,无需切换</w:t>
            </w:r>
          </w:p>
        </w:tc>
      </w:tr>
      <w:tr>
        <w:tc>
          <w:tcPr>
            <w:tcW w:type="dxa" w:w="2882"/>
          </w:tcPr>
          <w:p>
            <w:r>
              <w:t>微前端集成</w:t>
            </w:r>
          </w:p>
        </w:tc>
        <w:tc>
          <w:tcPr>
            <w:tcW w:type="dxa" w:w="2882"/>
          </w:tcPr>
          <w:p>
            <w:r>
              <w:t>qiankun/Module Federation打包微应用</w:t>
            </w:r>
          </w:p>
        </w:tc>
        <w:tc>
          <w:tcPr>
            <w:tcW w:type="dxa" w:w="2882"/>
          </w:tcPr>
          <w:p>
            <w:r>
              <w:t>无缝集成,共享登录态,统一导航</w:t>
            </w:r>
          </w:p>
        </w:tc>
      </w:tr>
      <w:tr>
        <w:tc>
          <w:tcPr>
            <w:tcW w:type="dxa" w:w="2882"/>
          </w:tcPr>
          <w:p>
            <w:r>
              <w:t>API反向代理</w:t>
            </w:r>
          </w:p>
        </w:tc>
        <w:tc>
          <w:tcPr>
            <w:tcW w:type="dxa" w:w="2882"/>
          </w:tcPr>
          <w:p>
            <w:r>
              <w:t>门户Nginx反向代理转发管理API</w:t>
            </w:r>
          </w:p>
        </w:tc>
        <w:tc>
          <w:tcPr>
            <w:tcW w:type="dxa" w:w="2882"/>
          </w:tcPr>
          <w:p>
            <w:r>
              <w:t>用户感知为原生功能</w:t>
            </w:r>
          </w:p>
        </w:tc>
      </w:tr>
    </w:tbl>
    <w:p>
      <w:pPr>
        <w:pStyle w:val="Heading2"/>
      </w:pPr>
      <w:r>
        <w:t>二、核心API接口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API端点</w:t>
            </w:r>
          </w:p>
        </w:tc>
        <w:tc>
          <w:tcPr>
            <w:tcW w:type="dxa" w:w="2882"/>
          </w:tcPr>
          <w:p>
            <w:r>
              <w:t>方法</w:t>
            </w:r>
          </w:p>
        </w:tc>
        <w:tc>
          <w:tcPr>
            <w:tcW w:type="dxa" w:w="2882"/>
          </w:tcPr>
          <w:p>
            <w:r>
              <w:t>功能</w:t>
            </w:r>
          </w:p>
        </w:tc>
      </w:tr>
      <w:tr>
        <w:tc>
          <w:tcPr>
            <w:tcW w:type="dxa" w:w="2882"/>
          </w:tcPr>
          <w:p>
            <w:r>
              <w:t>/api/data-lake/register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点位主数据注册</w:t>
            </w:r>
          </w:p>
        </w:tc>
      </w:tr>
      <w:tr>
        <w:tc>
          <w:tcPr>
            <w:tcW w:type="dxa" w:w="2882"/>
          </w:tcPr>
          <w:p>
            <w:r>
              <w:t>/api/data-lake/verify/{id}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主数据一致性校验</w:t>
            </w:r>
          </w:p>
        </w:tc>
      </w:tr>
      <w:tr>
        <w:tc>
          <w:tcPr>
            <w:tcW w:type="dxa" w:w="2882"/>
          </w:tcPr>
          <w:p>
            <w:r>
              <w:t>/api/data-lake/sync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主数据变更增量同步</w:t>
            </w:r>
          </w:p>
        </w:tc>
      </w:tr>
      <w:tr>
        <w:tc>
          <w:tcPr>
            <w:tcW w:type="dxa" w:w="2882"/>
          </w:tcPr>
          <w:p>
            <w:r>
              <w:t>/api/data-lake/telemetry/inject</w:t>
            </w:r>
          </w:p>
        </w:tc>
        <w:tc>
          <w:tcPr>
            <w:tcW w:type="dxa" w:w="2882"/>
          </w:tcPr>
          <w:p>
            <w:r>
              <w:t>POST</w:t>
            </w:r>
          </w:p>
        </w:tc>
        <w:tc>
          <w:tcPr>
            <w:tcW w:type="dxa" w:w="2882"/>
          </w:tcPr>
          <w:p>
            <w:r>
              <w:t>时序数据注入数据湖(ts+id+value+quality)</w:t>
            </w:r>
          </w:p>
        </w:tc>
      </w:tr>
      <w:tr>
        <w:tc>
          <w:tcPr>
            <w:tcW w:type="dxa" w:w="2882"/>
          </w:tcPr>
          <w:p>
            <w:r>
              <w:t>/api/data-lake/ontology</w:t>
            </w:r>
          </w:p>
        </w:tc>
        <w:tc>
          <w:tcPr>
            <w:tcW w:type="dxa" w:w="2882"/>
          </w:tcPr>
          <w:p>
            <w:r>
              <w:t>GET</w:t>
            </w:r>
          </w:p>
        </w:tc>
        <w:tc>
          <w:tcPr>
            <w:tcW w:type="dxa" w:w="2882"/>
          </w:tcPr>
          <w:p>
            <w:r>
              <w:t>OWL本体同步(836三元组)</w:t>
            </w:r>
          </w:p>
        </w:tc>
      </w:tr>
    </w:tbl>
    <w:p>
      <w:pPr>
        <w:pStyle w:val="Heading2"/>
      </w:pPr>
      <w:r>
        <w:t>三、六步集成流程</w:t>
      </w:r>
    </w:p>
    <w:p>
      <w:r>
        <w:t>Step1: 设备/测点在数据湖主数据模块注册,获取唯一URI。</w:t>
      </w:r>
    </w:p>
    <w:p>
      <w:r>
        <w:t>Step2: OWL本体自动创建Individual,同步至数据湖元数据模块。</w:t>
      </w:r>
    </w:p>
    <w:p>
      <w:r>
        <w:t>Step3: 采集平台从数据湖拉取已注册点位,自动生成采集任务。</w:t>
      </w:r>
    </w:p>
    <w:p>
      <w:r>
        <w:t>Step4: 平台按配置频率(500ms~60s)从现场设备采集时序数据。</w:t>
      </w:r>
    </w:p>
    <w:p>
      <w:r>
        <w:t>Step5: 标准化格式(ts+id+value+quality)注入数据湖逻辑表。</w:t>
      </w:r>
    </w:p>
    <w:p>
      <w:r>
        <w:t>Step6: 上层应用通过数据湖API统一消费,不直连采集平台数据库。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迪格(杭州)物联科技有限公司 | 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持续数据采集管理技术服务 - 合规附件汇编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