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sz w:val="52"/>
        </w:rPr>
        <w:t>时序数据采集与应用管理系统</w:t>
      </w:r>
    </w:p>
    <w:p>
      <w:pPr>
        <w:jc w:val="center"/>
      </w:pPr>
      <w:r>
        <w:rPr>
          <w:rFonts w:ascii="微软雅黑" w:hAnsi="微软雅黑" w:eastAsia="微软雅黑"/>
          <w:sz w:val="44"/>
        </w:rPr>
        <w:t>技 术 方 案 应 答 书</w:t>
      </w:r>
    </w:p>
    <w:p>
      <w:pPr>
        <w:jc w:val="center"/>
      </w:pPr>
      <w:r>
        <w:rPr>
          <w:rFonts w:ascii="宋体" w:hAnsi="宋体" w:eastAsia="宋体"/>
          <w:sz w:val="28"/>
        </w:rPr>
        <w:t>（五条硬性要求逐条深度应答）</w:t>
      </w:r>
    </w:p>
    <w:p/>
    <w:p/>
    <w:p/>
    <w:p/>
    <w:p>
      <w:pPr>
        <w:jc w:val="center"/>
      </w:pPr>
      <w:r>
        <w:rPr>
          <w:rFonts w:ascii="宋体" w:hAnsi="宋体" w:eastAsia="宋体"/>
          <w:sz w:val="28"/>
        </w:rPr>
        <w:t>委托单位：大庆油田科技信息部</w:t>
      </w:r>
    </w:p>
    <w:p>
      <w:pPr>
        <w:jc w:val="center"/>
      </w:pPr>
      <w:r>
        <w:rPr>
          <w:rFonts w:ascii="宋体" w:hAnsi="宋体" w:eastAsia="宋体"/>
          <w:sz w:val="28"/>
        </w:rPr>
        <w:t>应答单位：迪格(杭州)物联科技有限公司</w:t>
      </w:r>
    </w:p>
    <w:p>
      <w:pPr>
        <w:jc w:val="center"/>
      </w:pPr>
      <w:r>
        <w:rPr>
          <w:rFonts w:ascii="宋体" w:hAnsi="宋体" w:eastAsia="宋体"/>
          <w:sz w:val="28"/>
        </w:rPr>
        <w:t>项目金额：725.04万元（含税）</w:t>
      </w:r>
    </w:p>
    <w:p>
      <w:pPr>
        <w:jc w:val="center"/>
      </w:pPr>
      <w:r>
        <w:rPr>
          <w:rFonts w:ascii="宋体" w:hAnsi="宋体" w:eastAsia="宋体"/>
          <w:sz w:val="28"/>
        </w:rPr>
        <w:t>交付日期：2026年11月30日</w:t>
      </w:r>
    </w:p>
    <w:p>
      <w:pPr>
        <w:jc w:val="center"/>
      </w:pPr>
      <w:r>
        <w:rPr>
          <w:rFonts w:ascii="宋体" w:hAnsi="宋体" w:eastAsia="宋体"/>
          <w:sz w:val="28"/>
        </w:rPr>
        <w:t>版    本：V2.0（深度应答版）</w:t>
      </w:r>
    </w:p>
    <w:p>
      <w:pPr>
        <w:jc w:val="center"/>
      </w:pPr>
      <w:r>
        <w:rPr>
          <w:rFonts w:ascii="宋体" w:hAnsi="宋体" w:eastAsia="宋体"/>
          <w:sz w:val="28"/>
        </w:rPr>
        <w:t>日    期：2026年07月27日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五条硬性要求应答总览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18"/>
              </w:rPr>
              <w:t>#</w:t>
            </w:r>
          </w:p>
        </w:tc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18"/>
              </w:rPr>
              <w:t>硬性要求</w:t>
            </w:r>
          </w:p>
        </w:tc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18"/>
              </w:rPr>
              <w:t>应答策略</w:t>
            </w:r>
          </w:p>
        </w:tc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18"/>
              </w:rPr>
              <w:t>关键技术</w:t>
            </w:r>
          </w:p>
        </w:tc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18"/>
              </w:rPr>
              <w:t>成熟度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路由监听双路采集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IO服务器端口层软件路由 + A11旁路监听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WinRM远程部署 + A11协议解析(5a5a/jjZZ) + 点位配置导出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✅ 已验证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主数据贯标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OWL 2本体语义骨架 + 主数据注册API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ISA-95对齐 + 836三元组 + W3C SPARQL + 主数据湖注册接口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✅ 已实现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两层部署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生产网(边缘) / DMZ(缓存) / 办公网(长期+管理)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TDengine双轨 + Kafka缓冲 + 双向认证 + TLS 1.3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✅ 已实现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源码交付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Apache 2.0全栈开源 + 零商业依赖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Python 3.10+ / FastAPI / SQLite / rdflib / 15,000行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✅ 已满足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聚焦核心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自研5模块 + 开源支撑4组件 + 外协3边界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协议适配/主数据联动/OWL引擎/SWRL规则/点位导出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✅ 边界清晰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第一章：路由监听IO服务器端口 — 双路并发采集方案</w:t>
      </w:r>
    </w:p>
    <w:p>
      <w:pPr>
        <w:pStyle w:val="Heading2"/>
      </w:pPr>
      <w:r>
        <w:rPr>
          <w:rFonts w:ascii="黑体" w:hAnsi="黑体" w:eastAsia="黑体"/>
        </w:rPr>
        <w:t>1.1 技术原理</w:t>
      </w:r>
    </w:p>
    <w:p>
      <w:r>
        <w:rPr>
          <w:rFonts w:ascii="宋体" w:hAnsi="宋体" w:eastAsia="宋体"/>
          <w:sz w:val="24"/>
        </w:rPr>
        <w:t>本方案的核心创新在于：不对全油田10万+口RTU设备进行任何硬件改造或固件升级，而是在现有IO服务器（11.66.12.131）的操作系统层面插入轻量级软件路由层，利用Windows平台的原生端口监听能力，在A11采集链路上游截取原始数据流，实现"一份数据、两条通路、互不干扰"的双路并发采集架构。</w:t>
      </w:r>
    </w:p>
    <w:p>
      <w:r>
        <w:rPr>
          <w:rFonts w:ascii="宋体" w:hAnsi="宋体" w:eastAsia="宋体"/>
          <w:sz w:val="24"/>
        </w:rPr>
        <w:t>技术可行性已通过大庆油田131号IO服务器的2047个配置文件逆向分析验证：该服务器的CommBridge进程（PID 19240）通过Modbus TCP端口53001接入80+ RTU设备，IOMan进程（×7 worker）通过A11 TCP端口8889连接11.66.12.130。我们的路由模块部署于同一台服务器，无需新增硬件，不修改任何A11配置文件。</w:t>
      </w:r>
    </w:p>
    <w:p>
      <w:pPr>
        <w:pStyle w:val="Heading2"/>
      </w:pPr>
      <w:r>
        <w:rPr>
          <w:rFonts w:ascii="黑体" w:hAnsi="黑体" w:eastAsia="黑体"/>
        </w:rPr>
        <w:t>1.2 实现架构</w:t>
      </w:r>
    </w:p>
    <w:p>
      <w:r>
        <w:rPr>
          <w:rFonts w:ascii="宋体" w:hAnsi="宋体" w:eastAsia="宋体"/>
          <w:sz w:val="24"/>
        </w:rPr>
        <w:t>双路采集架构分为三个层次：</w:t>
      </w:r>
    </w:p>
    <w:p>
      <w:r>
        <w:rPr>
          <w:rFonts w:ascii="宋体" w:hAnsi="宋体" w:eastAsia="宋体"/>
          <w:sz w:val="24"/>
        </w:rPr>
        <w:t>（一）数据截取层。部署于IO服务器操作系统层面，通过Windows Filtering Platform (WFP)或libpcap/WinPcap实现端口级数据包捕获。截取点位于A11协议适配器（IOMan/CommBridge）的TCP通信端口上游，对A11进程完全透明。截取模块仅做数据复制与转发，不修改、不丢弃任何原始数据包，确保A11链路零影响。</w:t>
      </w:r>
    </w:p>
    <w:p>
      <w:r>
        <w:rPr>
          <w:rFonts w:ascii="宋体" w:hAnsi="宋体" w:eastAsia="宋体"/>
          <w:sz w:val="24"/>
        </w:rPr>
        <w:t>（二）协议解析层。截取的原始TCP流送入协议解析引擎，支持A11协议（中石油油气生产物联网专用协议，帧头5a5a、魔术字jjZZ）、Modbus TCP协议、OPC DA DCOM协议等多种格式。解析引擎提取核心字段：设备地址（slaveid/Unit ID）、测点类型（A11 Type如0x0539井口压力、0x056c产油量）、测点值及时间戳。</w:t>
      </w:r>
    </w:p>
    <w:p>
      <w:r>
        <w:rPr>
          <w:rFonts w:ascii="宋体" w:hAnsi="宋体" w:eastAsia="宋体"/>
          <w:sz w:val="24"/>
        </w:rPr>
        <w:t>（三）数据分发层。解析后的结构化数据同时写入两条通路：通路A继续推送给A11原有采集链路（IoMonitor→Oracle→PSpace），通路B推送给本项目自建的时序数据库（TDengine/SQLite→数据湖）。两条通路物理独立、逻辑并行。</w:t>
      </w:r>
    </w:p>
    <w:p>
      <w:pPr>
        <w:pStyle w:val="Heading2"/>
      </w:pPr>
      <w:r>
        <w:rPr>
          <w:rFonts w:ascii="黑体" w:hAnsi="黑体" w:eastAsia="黑体"/>
        </w:rPr>
        <w:t>1.3 关键实现代码</w:t>
      </w:r>
    </w:p>
    <w:p>
      <w:r>
        <w:rPr>
          <w:rFonts w:ascii="宋体" w:hAnsi="宋体" w:eastAsia="宋体"/>
          <w:sz w:val="24"/>
        </w:rPr>
        <w:t>A11协议解析模块（src/protocols/a11.py）已实现完整的帧解析能力：</w:t>
      </w:r>
    </w:p>
    <w:p>
      <w:pPr>
        <w:ind w:left="567"/>
      </w:pPr>
      <w:r>
        <w:rPr>
          <w:rFonts w:ascii="Consolas" w:hAnsi="Consolas"/>
          <w:sz w:val="16"/>
        </w:rPr>
        <w:t># A11协议帧结构: 7B MBAP + 4B jjZZ magic + 2B Type LE + 2B Sub LE + Payload</w:t>
      </w:r>
    </w:p>
    <w:p>
      <w:pPr>
        <w:ind w:left="567"/>
      </w:pPr>
      <w:r>
        <w:rPr>
          <w:rFonts w:ascii="Consolas" w:hAnsi="Consolas"/>
          <w:sz w:val="16"/>
        </w:rPr>
        <w:t>def parse_a11_frame(raw: bytes):</w:t>
      </w:r>
    </w:p>
    <w:p>
      <w:pPr>
        <w:ind w:left="567"/>
      </w:pPr>
      <w:r>
        <w:rPr>
          <w:rFonts w:ascii="Consolas" w:hAnsi="Consolas"/>
          <w:sz w:val="16"/>
        </w:rPr>
        <w:t xml:space="preserve">    if raw[7:11] != b"jjZZ": return None  # 魔术字验证</w:t>
      </w:r>
    </w:p>
    <w:p>
      <w:pPr>
        <w:ind w:left="567"/>
      </w:pPr>
      <w:r>
        <w:rPr>
          <w:rFonts w:ascii="Consolas" w:hAnsi="Consolas"/>
          <w:sz w:val="16"/>
        </w:rPr>
        <w:t xml:space="preserve">    msg_type = int.from_bytes(raw[11:13], "little")  # 测点类型</w:t>
      </w:r>
    </w:p>
    <w:p>
      <w:pPr>
        <w:ind w:left="567"/>
      </w:pPr>
      <w:r>
        <w:rPr>
          <w:rFonts w:ascii="Consolas" w:hAnsi="Consolas"/>
          <w:sz w:val="16"/>
        </w:rPr>
        <w:t xml:space="preserve">    msg_sub  = int.from_bytes(raw[13:15], "little")  # 子类型</w:t>
      </w:r>
    </w:p>
    <w:p>
      <w:pPr>
        <w:ind w:left="567"/>
      </w:pPr>
      <w:r>
        <w:rPr>
          <w:rFonts w:ascii="Consolas" w:hAnsi="Consolas"/>
          <w:sz w:val="16"/>
        </w:rPr>
        <w:t xml:space="preserve">    # 功图数据: Type=0x0539(井口压力), 0x056c(产油量)</w:t>
      </w:r>
    </w:p>
    <w:p>
      <w:pPr>
        <w:ind w:left="567"/>
      </w:pPr>
      <w:r>
        <w:rPr>
          <w:rFonts w:ascii="Consolas" w:hAnsi="Consolas"/>
          <w:sz w:val="16"/>
        </w:rPr>
        <w:t xml:space="preserve">    if msg_type in (0x0539, 0x056c):</w:t>
      </w:r>
    </w:p>
    <w:p>
      <w:pPr>
        <w:ind w:left="567"/>
      </w:pPr>
      <w:r>
        <w:rPr>
          <w:rFonts w:ascii="Consolas" w:hAnsi="Consolas"/>
          <w:sz w:val="16"/>
        </w:rPr>
        <w:t xml:space="preserve">        value = struct.unpack("&lt;f", raw[19:23])[0]</w:t>
      </w:r>
    </w:p>
    <w:p>
      <w:pPr>
        <w:ind w:left="567"/>
      </w:pPr>
      <w:r>
        <w:rPr>
          <w:rFonts w:ascii="Consolas" w:hAnsi="Consolas"/>
          <w:sz w:val="16"/>
        </w:rPr>
        <w:t xml:space="preserve">        return {"device": f"a11_slave_{raw[6]}", "type": hex(msg_type), "value": value}</w:t>
      </w:r>
    </w:p>
    <w:p>
      <w:r>
        <w:rPr>
          <w:rFonts w:ascii="宋体" w:hAnsi="宋体" w:eastAsia="宋体"/>
          <w:sz w:val="24"/>
        </w:rPr>
        <w:t>路由监听模块（src/protocols/commbridge_server.py）实现端口级数据截取：</w:t>
      </w:r>
    </w:p>
    <w:p>
      <w:pPr>
        <w:ind w:left="567"/>
      </w:pPr>
      <w:r>
        <w:rPr>
          <w:rFonts w:ascii="Consolas" w:hAnsi="Consolas"/>
          <w:sz w:val="16"/>
        </w:rPr>
        <w:t># CommBridge TCP 53001端口监听 → 80+ Modbus RTU数据流截取</w:t>
      </w:r>
    </w:p>
    <w:p>
      <w:pPr>
        <w:ind w:left="567"/>
      </w:pPr>
      <w:r>
        <w:rPr>
          <w:rFonts w:ascii="Consolas" w:hAnsi="Consolas"/>
          <w:sz w:val="16"/>
        </w:rPr>
        <w:t>def start_route_listener(host="11.66.12.131", port=53001):</w:t>
      </w:r>
    </w:p>
    <w:p>
      <w:pPr>
        <w:ind w:left="567"/>
      </w:pPr>
      <w:r>
        <w:rPr>
          <w:rFonts w:ascii="Consolas" w:hAnsi="Consolas"/>
          <w:sz w:val="16"/>
        </w:rPr>
        <w:t xml:space="preserve">    sock = socket.socket(socket.AF_INET, socket.SOCK_STREAM)</w:t>
      </w:r>
    </w:p>
    <w:p>
      <w:pPr>
        <w:ind w:left="567"/>
      </w:pPr>
      <w:r>
        <w:rPr>
          <w:rFonts w:ascii="Consolas" w:hAnsi="Consolas"/>
          <w:sz w:val="16"/>
        </w:rPr>
        <w:t xml:space="preserve">    sock.setsockopt(socket.SOL_SOCKET, socket.SO_REUSEADDR, 1)</w:t>
      </w:r>
    </w:p>
    <w:p>
      <w:pPr>
        <w:ind w:left="567"/>
      </w:pPr>
      <w:r>
        <w:rPr>
          <w:rFonts w:ascii="Consolas" w:hAnsi="Consolas"/>
          <w:sz w:val="16"/>
        </w:rPr>
        <w:t xml:space="preserve">    sock.bind((host, port))</w:t>
      </w:r>
    </w:p>
    <w:p>
      <w:pPr>
        <w:ind w:left="567"/>
      </w:pPr>
      <w:r>
        <w:rPr>
          <w:rFonts w:ascii="Consolas" w:hAnsi="Consolas"/>
          <w:sz w:val="16"/>
        </w:rPr>
        <w:t xml:space="preserve">    sock.listen(10)</w:t>
      </w:r>
    </w:p>
    <w:p>
      <w:pPr>
        <w:ind w:left="567"/>
      </w:pPr>
      <w:r>
        <w:rPr>
          <w:rFonts w:ascii="Consolas" w:hAnsi="Consolas"/>
          <w:sz w:val="16"/>
        </w:rPr>
        <w:t xml:space="preserve">    while True:</w:t>
      </w:r>
    </w:p>
    <w:p>
      <w:pPr>
        <w:ind w:left="567"/>
      </w:pPr>
      <w:r>
        <w:rPr>
          <w:rFonts w:ascii="Consolas" w:hAnsi="Consolas"/>
          <w:sz w:val="16"/>
        </w:rPr>
        <w:t xml:space="preserve">        client, addr = sock.accept()</w:t>
      </w:r>
    </w:p>
    <w:p>
      <w:pPr>
        <w:ind w:left="567"/>
      </w:pPr>
      <w:r>
        <w:rPr>
          <w:rFonts w:ascii="Consolas" w:hAnsi="Consolas"/>
          <w:sz w:val="16"/>
        </w:rPr>
        <w:t xml:space="preserve">        data = client.recv(4096)</w:t>
      </w:r>
    </w:p>
    <w:p>
      <w:pPr>
        <w:ind w:left="567"/>
      </w:pPr>
      <w:r>
        <w:rPr>
          <w:rFonts w:ascii="Consolas" w:hAnsi="Consolas"/>
          <w:sz w:val="16"/>
        </w:rPr>
        <w:t xml:space="preserve">        # 复制一份到本项目时序库，原数据继续转发A11链路</w:t>
      </w:r>
    </w:p>
    <w:p>
      <w:pPr>
        <w:ind w:left="567"/>
      </w:pPr>
      <w:r>
        <w:rPr>
          <w:rFonts w:ascii="Consolas" w:hAnsi="Consolas"/>
          <w:sz w:val="16"/>
        </w:rPr>
        <w:t xml:space="preserve">        push_to_our_tsdb(parse_modbus_frame(data))</w:t>
      </w:r>
    </w:p>
    <w:p>
      <w:pPr>
        <w:ind w:left="567"/>
      </w:pPr>
      <w:r>
        <w:rPr>
          <w:rFonts w:ascii="Consolas" w:hAnsi="Consolas"/>
          <w:sz w:val="16"/>
        </w:rPr>
        <w:t xml:space="preserve">        forward_to_a11(data)  # A11链路保持不变</w:t>
      </w:r>
    </w:p>
    <w:p>
      <w:pPr>
        <w:pStyle w:val="Heading2"/>
      </w:pPr>
      <w:r>
        <w:rPr>
          <w:rFonts w:ascii="黑体" w:hAnsi="黑体" w:eastAsia="黑体"/>
        </w:rPr>
        <w:t>1.4 点位配置协同</w:t>
      </w:r>
    </w:p>
    <w:p>
      <w:r>
        <w:rPr>
          <w:rFonts w:ascii="宋体" w:hAnsi="宋体" w:eastAsia="宋体"/>
          <w:sz w:val="24"/>
        </w:rPr>
        <w:t>为避免基层作业区重复维护两套点位管理体系，本项目提供可视化点位配置工具（ProductsView.vue），支持：</w:t>
      </w:r>
    </w:p>
    <w:p>
      <w:r>
        <w:rPr>
          <w:rFonts w:ascii="宋体" w:hAnsi="宋体" w:eastAsia="宋体"/>
          <w:sz w:val="24"/>
        </w:rPr>
        <w:t>（1）基于主数据的点位注册：所有测点标识（devaddr/point_id）从数据湖主数据模块获取，确保与A11点位体系语义一致。</w:t>
      </w:r>
    </w:p>
    <w:p>
      <w:r>
        <w:rPr>
          <w:rFonts w:ascii="宋体" w:hAnsi="宋体" w:eastAsia="宋体"/>
          <w:sz w:val="24"/>
        </w:rPr>
        <w:t>（2）一键导出：配置完成后，通过"导出→A11兼容格式文件"功能，生成符合A11导入规范的标准文件（含设备地址表、测点映射表、寄存器地址表），供A11系统管理员批量导入。</w:t>
      </w:r>
    </w:p>
    <w:p>
      <w:r>
        <w:rPr>
          <w:rFonts w:ascii="宋体" w:hAnsi="宋体" w:eastAsia="宋体"/>
          <w:sz w:val="24"/>
        </w:rPr>
        <w:t>（3）双向同步：当主数据变更（如新增井站、设备替换）时，平台自动生成增量更新文件，A11侧按需导入，无需全量重新配置。</w:t>
      </w:r>
    </w:p>
    <w:p>
      <w:pPr>
        <w:pStyle w:val="Heading2"/>
      </w:pPr>
      <w:r>
        <w:rPr>
          <w:rFonts w:ascii="黑体" w:hAnsi="黑体" w:eastAsia="黑体"/>
        </w:rPr>
        <w:t>1.5 A11零影响证明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黑体" w:hAnsi="黑体" w:eastAsia="黑体"/>
                <w:b/>
                <w:sz w:val="18"/>
              </w:rPr>
              <w:t>维度</w:t>
            </w:r>
          </w:p>
        </w:tc>
        <w:tc>
          <w:tcPr>
            <w:tcW w:type="dxa" w:w="2882"/>
          </w:tcPr>
          <w:p>
            <w:r>
              <w:rPr>
                <w:rFonts w:ascii="黑体" w:hAnsi="黑体" w:eastAsia="黑体"/>
                <w:b/>
                <w:sz w:val="18"/>
              </w:rPr>
              <w:t>保障措施</w:t>
            </w:r>
          </w:p>
        </w:tc>
        <w:tc>
          <w:tcPr>
            <w:tcW w:type="dxa" w:w="2882"/>
          </w:tcPr>
          <w:p>
            <w:r>
              <w:rPr>
                <w:rFonts w:ascii="黑体" w:hAnsi="黑体" w:eastAsia="黑体"/>
                <w:b/>
                <w:sz w:val="18"/>
              </w:rPr>
              <w:t>验证方法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A11链路完整性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路由模块仅做数据复制，不修改、不丢弃原始数据包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对比路由启用前后A11 Oracle数据库SYS_DEVICE_RUN_DETAILS_HIST表记录数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A11报警时效性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路由模块处理延迟&lt;1ms，不增加A11链路时延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对比路由启用前后A11报警触发时间差异（95分位&lt;2ms）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A11考核合规性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平台不在A11注册采集节点，不接管点位管理体系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A11系统管理界面确认无新增注册节点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RTU设备零改造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全软件方案，不涉及任何RTU固件或参数变更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现场RTU设备巡检确认配置未变化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回滚安全性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路由模块可随时卸载，A11链路自动恢复原始状态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卸载路由模块后30分钟内A11数据采集恢复正常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1.6 部署方式</w:t>
      </w:r>
    </w:p>
    <w:p>
      <w:r>
        <w:rPr>
          <w:rFonts w:ascii="宋体" w:hAnsi="宋体" w:eastAsia="宋体"/>
          <w:sz w:val="24"/>
        </w:rPr>
        <w:t>路由模块通过WinRM远程部署至IO服务器（11.66.12.131），无需现场操作。部署流程：</w:t>
      </w:r>
    </w:p>
    <w:p>
      <w:r>
        <w:rPr>
          <w:rFonts w:ascii="宋体" w:hAnsi="宋体" w:eastAsia="宋体"/>
          <w:sz w:val="24"/>
        </w:rPr>
        <w:t>（1）WinRM连接验证：通过Windows Remote Management (端口5985) 远程连接IO服务器，使用现有管理员凭据认证。</w:t>
      </w:r>
    </w:p>
    <w:p>
      <w:r>
        <w:rPr>
          <w:rFonts w:ascii="宋体" w:hAnsi="宋体" w:eastAsia="宋体"/>
          <w:sz w:val="24"/>
        </w:rPr>
        <w:t>（2）路由配置下发：将路由监听配置（监听端口列表、目标TSDB地址、转发规则）通过配置管理API下发至IO服务器。</w:t>
      </w:r>
    </w:p>
    <w:p>
      <w:r>
        <w:rPr>
          <w:rFonts w:ascii="宋体" w:hAnsi="宋体" w:eastAsia="宋体"/>
          <w:sz w:val="24"/>
        </w:rPr>
        <w:t>（3）服务注册与监控：路由模块注册为Windows服务（类似psNTService.exe模式），支持自动重启、心跳监控、日志审计。</w:t>
      </w:r>
    </w:p>
    <w:p>
      <w:r>
        <w:rPr>
          <w:rFonts w:ascii="宋体" w:hAnsi="宋体" w:eastAsia="宋体"/>
          <w:sz w:val="24"/>
        </w:rPr>
        <w:t>（4）卸载回滚：执行"路由模块卸载"操作，系统自动移除监听端口绑定、删除临时配置、恢复原始网络栈。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第二章：主数据贯标 — OWL本体驱动的统一数据治理体系</w:t>
      </w:r>
    </w:p>
    <w:p>
      <w:pPr>
        <w:pStyle w:val="Heading2"/>
      </w:pPr>
      <w:r>
        <w:rPr>
          <w:rFonts w:ascii="黑体" w:hAnsi="黑体" w:eastAsia="黑体"/>
        </w:rPr>
        <w:t>2.1 核心思路</w:t>
      </w:r>
    </w:p>
    <w:p>
      <w:r>
        <w:rPr>
          <w:rFonts w:ascii="宋体" w:hAnsi="宋体" w:eastAsia="宋体"/>
          <w:sz w:val="24"/>
        </w:rPr>
        <w:t>项目明确要求"所有时序数据必须统一注册至数据湖主数据体系，点位管理、物模型构建须以主数据为唯一源头"。本方案通过OWL 2（Web Ontology Language）形式化本体作为物模型的语义骨架，建立从数据湖主数据到时序采集平台的"注册→发布→采集→回写"闭环治理体系。</w:t>
      </w:r>
    </w:p>
    <w:p>
      <w:r>
        <w:rPr>
          <w:rFonts w:ascii="宋体" w:hAnsi="宋体" w:eastAsia="宋体"/>
          <w:sz w:val="24"/>
        </w:rPr>
        <w:t>OWL本体在本方案中承担三个角色：</w:t>
      </w:r>
    </w:p>
    <w:p>
      <w:r>
        <w:rPr>
          <w:rFonts w:ascii="宋体" w:hAnsi="宋体" w:eastAsia="宋体"/>
          <w:sz w:val="24"/>
        </w:rPr>
        <w:t>（1）类型系统（TBox）：定义设备类型层次（如"抽油机"是"采油设备"的子类）、测点属性约束（如"井口压力"的domain是"采油井"、range是"MPa"）、关系定义（如"设备"→hasPoint→"测点"）。类型系统与ISA-95/IEC 62264工业标准对齐，确保语义一致性。</w:t>
      </w:r>
    </w:p>
    <w:p>
      <w:r>
        <w:rPr>
          <w:rFonts w:ascii="宋体" w:hAnsi="宋体" w:eastAsia="宋体"/>
          <w:sz w:val="24"/>
        </w:rPr>
        <w:t>（2）实例注册（ABox）：每个具体的设备实例、测点实例在数据湖主数据模块注册后，OWL本体自动生成对应的Individual声明，包含与资产台账、物资编码、GIS位置的关联引用。</w:t>
      </w:r>
    </w:p>
    <w:p>
      <w:r>
        <w:rPr>
          <w:rFonts w:ascii="宋体" w:hAnsi="宋体" w:eastAsia="宋体"/>
          <w:sz w:val="24"/>
        </w:rPr>
        <w:t>（3）推理验证：基于OWL DL推理规则，自动检测非法注册（如将"温度测点"注册到"非温控设备"下）、引用完整性（如Device引用的Channel ID不存在）等数据质量问题。</w:t>
      </w:r>
    </w:p>
    <w:p>
      <w:pPr>
        <w:pStyle w:val="Heading2"/>
      </w:pPr>
      <w:r>
        <w:rPr>
          <w:rFonts w:ascii="黑体" w:hAnsi="黑体" w:eastAsia="黑体"/>
        </w:rPr>
        <w:t>2.2 OWL本体模型</w:t>
      </w:r>
    </w:p>
    <w:p>
      <w:r>
        <w:rPr>
          <w:rFonts w:ascii="宋体" w:hAnsi="宋体" w:eastAsia="宋体"/>
          <w:sz w:val="24"/>
        </w:rPr>
        <w:t>本项目已构建完整的五层工业本体模型，含7个OWL Class、9个Object Property、22个Data Property、836个RDF三元组：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18"/>
              </w:rPr>
              <w:t>OWL Class</w:t>
            </w:r>
          </w:p>
        </w:tc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18"/>
              </w:rPr>
              <w:t>中文名称</w:t>
            </w:r>
          </w:p>
        </w:tc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18"/>
              </w:rPr>
              <w:t>ISA-95对齐</w:t>
            </w:r>
          </w:p>
        </w:tc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18"/>
              </w:rPr>
              <w:t>实例数</w:t>
            </w:r>
          </w:p>
        </w:tc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18"/>
              </w:rPr>
              <w:t>关键属性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dgiot:Site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站点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isa95:Enterprise, isa95:Site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name, location, type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dgiot:Gateway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IO服务器/边缘网关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isa95:WorkCenter, iof:ProcessingUnit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ip, hostname, os, status, installed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dgiot:Channel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协议通道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isa95:CommunicationChannel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protocol, endpoint, status, config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dgiot:Device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RTU/PLC/传感器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isa95:EquipmentModule, iof:Equipment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47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type, slaveid, manufacturer, model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dgiot:Point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测点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isa95:ControlModule, iof:MeasurementPoint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unit, register, alarm, category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dgiot:Constraint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约束规则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iof:Constraint, iof:Rule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rule, severity, source, action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dgiot:DataSource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数据出口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iof:DataStore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type, connection, tag_count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2.3 主数据注册API</w:t>
      </w:r>
    </w:p>
    <w:p>
      <w:r>
        <w:rPr>
          <w:rFonts w:ascii="宋体" w:hAnsi="宋体" w:eastAsia="宋体"/>
          <w:sz w:val="24"/>
        </w:rPr>
        <w:t>提供REST API实现主数据湖与采集平台的双向注册与同步：</w:t>
      </w:r>
    </w:p>
    <w:p>
      <w:r>
        <w:rPr>
          <w:rFonts w:ascii="宋体" w:hAnsi="宋体" w:eastAsia="宋体"/>
          <w:sz w:val="24"/>
        </w:rPr>
        <w:t>（1）POST /api/data-lake/register — 点位主数据注册：接收数据湖主数据模块的设备/测点注册请求，在OWL本体中创建对应Individual，并分配全局唯一标识（URI）。</w:t>
      </w:r>
    </w:p>
    <w:p>
      <w:r>
        <w:rPr>
          <w:rFonts w:ascii="宋体" w:hAnsi="宋体" w:eastAsia="宋体"/>
          <w:sz w:val="24"/>
        </w:rPr>
        <w:t>（2）GET /api/data-lake/verify/{entity_id} — 主数据一致性校验：验证采集平台中的点位是否在数据湖主数据中存在对应记录，返回未注册实体的清单。</w:t>
      </w:r>
    </w:p>
    <w:p>
      <w:r>
        <w:rPr>
          <w:rFonts w:ascii="宋体" w:hAnsi="宋体" w:eastAsia="宋体"/>
          <w:sz w:val="24"/>
        </w:rPr>
        <w:t>（3）POST /api/data-lake/sync — 主数据变更同步：当主数据的设备属性（如资产编码、负责人、安装位置）变更时，自动更新采集平台中对应OWL Individual的Data Property。</w:t>
      </w:r>
    </w:p>
    <w:p>
      <w:r>
        <w:rPr>
          <w:rFonts w:ascii="宋体" w:hAnsi="宋体" w:eastAsia="宋体"/>
          <w:sz w:val="24"/>
        </w:rPr>
        <w:t>（4）GET /sparql — W3C标准SPARQL查询端点：支持跨系统的语义查询，如"列出所有采油厂下挂载的保护继电器设备及其当前告警规则"。</w:t>
      </w:r>
    </w:p>
    <w:p>
      <w:pPr>
        <w:pStyle w:val="Heading2"/>
      </w:pPr>
      <w:r>
        <w:rPr>
          <w:rFonts w:ascii="黑体" w:hAnsi="黑体" w:eastAsia="黑体"/>
        </w:rPr>
        <w:t>2.4 本体形式化导出</w:t>
      </w:r>
    </w:p>
    <w:p>
      <w:r>
        <w:rPr>
          <w:rFonts w:ascii="宋体" w:hAnsi="宋体" w:eastAsia="宋体"/>
          <w:sz w:val="24"/>
        </w:rPr>
        <w:t>本体以W3C标准格式导出，可直接导入Protégé、TopBraid Composer等业界标准本体编辑器，也可被数据湖的元数据管理模块直接消费：</w:t>
      </w:r>
    </w:p>
    <w:p>
      <w:pPr>
        <w:ind w:left="567"/>
      </w:pPr>
      <w:r>
        <w:rPr>
          <w:rFonts w:ascii="Consolas" w:hAnsi="Consolas"/>
          <w:sz w:val="16"/>
        </w:rPr>
        <w:t># OWL RDF/XML 导出 (836个三元组)</w:t>
      </w:r>
    </w:p>
    <w:p>
      <w:pPr>
        <w:ind w:left="567"/>
      </w:pPr>
      <w:r>
        <w:rPr>
          <w:rFonts w:ascii="Consolas" w:hAnsi="Consolas"/>
          <w:sz w:val="16"/>
        </w:rPr>
        <w:t>GET /api/graphrag/ontology.owl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Turtle 格式导出 (人类可读)</w:t>
      </w:r>
    </w:p>
    <w:p>
      <w:pPr>
        <w:ind w:left="567"/>
      </w:pPr>
      <w:r>
        <w:rPr>
          <w:rFonts w:ascii="Consolas" w:hAnsi="Consolas"/>
          <w:sz w:val="16"/>
        </w:rPr>
        <w:t>GET /api/graphrag/ontology.ttl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SPARQL 查询示例：列出所有Device及其协议</w:t>
      </w:r>
    </w:p>
    <w:p>
      <w:pPr>
        <w:ind w:left="567"/>
      </w:pPr>
      <w:r>
        <w:rPr>
          <w:rFonts w:ascii="Consolas" w:hAnsi="Consolas"/>
          <w:sz w:val="16"/>
        </w:rPr>
        <w:t>SELECT ?device ?name ?protocol WHERE {</w:t>
      </w:r>
    </w:p>
    <w:p>
      <w:pPr>
        <w:ind w:left="567"/>
      </w:pPr>
      <w:r>
        <w:rPr>
          <w:rFonts w:ascii="Consolas" w:hAnsi="Consolas"/>
          <w:sz w:val="16"/>
        </w:rPr>
        <w:t xml:space="preserve">  ?device rdf:type dgiot:Device ;</w:t>
      </w:r>
    </w:p>
    <w:p>
      <w:pPr>
        <w:ind w:left="567"/>
      </w:pPr>
      <w:r>
        <w:rPr>
          <w:rFonts w:ascii="Consolas" w:hAnsi="Consolas"/>
          <w:sz w:val="16"/>
        </w:rPr>
        <w:t xml:space="preserve">          dgiot:name ?name ;</w:t>
      </w:r>
    </w:p>
    <w:p>
      <w:pPr>
        <w:ind w:left="567"/>
      </w:pPr>
      <w:r>
        <w:rPr>
          <w:rFonts w:ascii="Consolas" w:hAnsi="Consolas"/>
          <w:sz w:val="16"/>
        </w:rPr>
        <w:t xml:space="preserve">          dgiot:protocol ?protocol</w:t>
      </w:r>
    </w:p>
    <w:p>
      <w:pPr>
        <w:ind w:left="567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rPr>
          <w:rFonts w:ascii="黑体" w:hAnsi="黑体" w:eastAsia="黑体"/>
        </w:rPr>
        <w:t>2.5 禁止第二套数据管理体系</w:t>
      </w:r>
    </w:p>
    <w:p>
      <w:r>
        <w:rPr>
          <w:rFonts w:ascii="宋体" w:hAnsi="宋体" w:eastAsia="宋体"/>
          <w:sz w:val="24"/>
        </w:rPr>
        <w:t>本方案通过以下机制确保不形成独立于数据湖的数据孤岛：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黑体" w:hAnsi="黑体" w:eastAsia="黑体"/>
                <w:b/>
                <w:sz w:val="18"/>
              </w:rPr>
              <w:t>机制</w:t>
            </w:r>
          </w:p>
        </w:tc>
        <w:tc>
          <w:tcPr>
            <w:tcW w:type="dxa" w:w="2882"/>
          </w:tcPr>
          <w:p>
            <w:r>
              <w:rPr>
                <w:rFonts w:ascii="黑体" w:hAnsi="黑体" w:eastAsia="黑体"/>
                <w:b/>
                <w:sz w:val="18"/>
              </w:rPr>
              <w:t>实现方式</w:t>
            </w:r>
          </w:p>
        </w:tc>
        <w:tc>
          <w:tcPr>
            <w:tcW w:type="dxa" w:w="2882"/>
          </w:tcPr>
          <w:p>
            <w:r>
              <w:rPr>
                <w:rFonts w:ascii="黑体" w:hAnsi="黑体" w:eastAsia="黑体"/>
                <w:b/>
                <w:sz w:val="18"/>
              </w:rPr>
              <w:t>验证手段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点位注册前置依赖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所有时序测点必须先在数据湖主数据模块注册，获取唯一URI后方可在采集平台发布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API调用链追踪：注册→发布→采集→存储全程关联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物模型继承主数据属性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设备类型、资产编码、GIS位置等元数据从主数据拉取，采集平台不维护独立的设备台账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对比采集平台与主数据湖的设备属性一致性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时序数据归属数据湖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采集平台仅作为采集执行层，时序数据以标准化格式注入数据湖，不提供独立的长期数据查询界面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确认办公网管理界面中无独立的数据查询模块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管理界面逻辑集成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物模型配置、点位管理、规则编排等操作入口统一收敛至数据湖管理门户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本项目提供嵌入式UI组件，通过iframe或微前端方式集成至数据湖门户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第三章：两层部署架构 — 生产网边缘采集 + 办公网长期存储</w:t>
      </w:r>
    </w:p>
    <w:p>
      <w:pPr>
        <w:pStyle w:val="Heading2"/>
      </w:pPr>
      <w:r>
        <w:rPr>
          <w:rFonts w:ascii="黑体" w:hAnsi="黑体" w:eastAsia="黑体"/>
        </w:rPr>
        <w:t>3.1 架构总览</w:t>
      </w:r>
    </w:p>
    <w:p>
      <w:r>
        <w:rPr>
          <w:rFonts w:ascii="宋体" w:hAnsi="宋体" w:eastAsia="宋体"/>
          <w:sz w:val="24"/>
        </w:rPr>
        <w:t>实时数据库部署严格分为两层，物理隔离、逻辑贯通：</w:t>
      </w:r>
    </w:p>
    <w:p>
      <w:r>
        <w:rPr>
          <w:rFonts w:ascii="宋体" w:hAnsi="宋体" w:eastAsia="宋体"/>
          <w:sz w:val="24"/>
        </w:rPr>
        <w:t>生产网层（边缘侧）：部署在生态网/生产网环境，仅承担边缘数据采集与流式计算任务。核心组件包括协议适配引擎（10+协议插件）、流式计算引擎（滑动窗口+动态阈值）、短期数据缓冲（内存队列+Local SQLite）。该层不承担长期数据存储职责，所有采集数据经流式计算处理后以毫秒级速度推送至DMZ区。</w:t>
      </w:r>
    </w:p>
    <w:p>
      <w:r>
        <w:rPr>
          <w:rFonts w:ascii="宋体" w:hAnsi="宋体" w:eastAsia="宋体"/>
          <w:sz w:val="24"/>
        </w:rPr>
        <w:t>办公网层（管理侧）：部署在企业办公网络环境，承担数据长期存储（TDengine集群）、数据湖集成接口、管理前端。核心组件包括TDengine时序数据库（长期存储）、OWL本体引擎、GraphRAG知识图谱问答系统、AIP运维管理平台。该层不直连生产网设备，所有数据通过DMZ区安全中转。</w:t>
      </w:r>
    </w:p>
    <w:p>
      <w:pPr>
        <w:pStyle w:val="Heading2"/>
      </w:pPr>
      <w:r>
        <w:rPr>
          <w:rFonts w:ascii="黑体" w:hAnsi="黑体" w:eastAsia="黑体"/>
        </w:rPr>
        <w:t>3.2 网络拓扑与安全隔离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黑体" w:hAnsi="黑体" w:eastAsia="黑体"/>
                <w:b/>
                <w:sz w:val="18"/>
              </w:rPr>
              <w:t>网络区域</w:t>
            </w:r>
          </w:p>
        </w:tc>
        <w:tc>
          <w:tcPr>
            <w:tcW w:type="dxa" w:w="2161"/>
          </w:tcPr>
          <w:p>
            <w:r>
              <w:rPr>
                <w:rFonts w:ascii="黑体" w:hAnsi="黑体" w:eastAsia="黑体"/>
                <w:b/>
                <w:sz w:val="18"/>
              </w:rPr>
              <w:t>部署组件</w:t>
            </w:r>
          </w:p>
        </w:tc>
        <w:tc>
          <w:tcPr>
            <w:tcW w:type="dxa" w:w="2161"/>
          </w:tcPr>
          <w:p>
            <w:r>
              <w:rPr>
                <w:rFonts w:ascii="黑体" w:hAnsi="黑体" w:eastAsia="黑体"/>
                <w:b/>
                <w:sz w:val="18"/>
              </w:rPr>
              <w:t>安全策略</w:t>
            </w:r>
          </w:p>
        </w:tc>
        <w:tc>
          <w:tcPr>
            <w:tcW w:type="dxa" w:w="2161"/>
          </w:tcPr>
          <w:p>
            <w:r>
              <w:rPr>
                <w:rFonts w:ascii="黑体" w:hAnsi="黑体" w:eastAsia="黑体"/>
                <w:b/>
                <w:sz w:val="18"/>
              </w:rPr>
              <w:t>数据存储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生产网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协议适配器、流式计算引擎、路由监听模块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仅出站TCP到DMZ区指定端口，禁止入站连接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内存队列+SQLite临时缓存（1小时）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DMZ区</w:t>
            </w:r>
          </w:p>
        </w:tc>
        <w:tc>
          <w:tcPr>
            <w:tcW w:type="dxa" w:w="2161"/>
          </w:tcPr>
          <w:p>
            <w:r>
              <w:t>MQTT Broker（EMQX）、TDengine短期缓存、协议转换器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双向TLS 1.3认证、操作审计日志、白名单访问控制</w:t>
            </w:r>
          </w:p>
        </w:tc>
        <w:tc>
          <w:tcPr>
            <w:tcW w:type="dxa" w:w="2161"/>
          </w:tcPr>
          <w:p>
            <w:r>
              <w:t>TDengine缓存6个月、MQTT消息保留7天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办公网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TDengine长期存储、管理后端、Vue3前端、OWL引擎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RBAC权限控制、JWT令牌认证、API访问限流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TDengine长期存储（&gt;5年）、定时备份至数据湖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3.3 数据流转</w:t>
      </w:r>
    </w:p>
    <w:p>
      <w:r>
        <w:rPr>
          <w:rFonts w:ascii="宋体" w:hAnsi="宋体" w:eastAsia="宋体"/>
          <w:sz w:val="24"/>
        </w:rPr>
        <w:t>完整数据流路径（端到端延迟&lt;100ms）：</w:t>
      </w:r>
    </w:p>
    <w:p>
      <w:r>
        <w:rPr>
          <w:rFonts w:ascii="宋体" w:hAnsi="宋体" w:eastAsia="宋体"/>
          <w:sz w:val="24"/>
        </w:rPr>
        <w:t>Step 1. 现场RTU/PLC设备 → Modbus TCP/A11协议 → IO服务器（11.66.12.131）</w:t>
      </w:r>
    </w:p>
    <w:p>
      <w:r>
        <w:rPr>
          <w:rFonts w:ascii="宋体" w:hAnsi="宋体" w:eastAsia="宋体"/>
          <w:sz w:val="24"/>
        </w:rPr>
        <w:t>Step 2. IO服务器路由监听模块截取原始TCP流 → 协议解析引擎 → 结构化数据（JSON格式，含ts+device_id+point_id+value+quality）。</w:t>
      </w:r>
    </w:p>
    <w:p>
      <w:r>
        <w:rPr>
          <w:rFonts w:ascii="宋体" w:hAnsi="宋体" w:eastAsia="宋体"/>
          <w:sz w:val="24"/>
        </w:rPr>
        <w:t>Step 3. 流式计算引擎对连续数据点进行滑动窗口分析（窗口大小5个点，滑动步长1点），检测异常、触发告警规则。</w:t>
      </w:r>
    </w:p>
    <w:p>
      <w:r>
        <w:t>Step 4. 经DMZ区MQTT消息队列（EMQX/Mosquitto）中转（保证不丢数据、可回溯），同步推送至办公网TDengine集群。</w:t>
      </w:r>
    </w:p>
    <w:p>
      <w:r>
        <w:rPr>
          <w:rFonts w:ascii="宋体" w:hAnsi="宋体" w:eastAsia="宋体"/>
          <w:sz w:val="24"/>
        </w:rPr>
        <w:t>Step 5. TDengine写入成功后，通过数据湖集成接口（逻辑表挂载）将数据注册至湖内统一目录。</w:t>
      </w:r>
    </w:p>
    <w:p>
      <w:r>
        <w:rPr>
          <w:rFonts w:ascii="宋体" w:hAnsi="宋体" w:eastAsia="宋体"/>
          <w:sz w:val="24"/>
        </w:rPr>
        <w:t>Step 6. 上层应用（作业区管控平台、智能运维等）通过数据湖API统一查询时序数据，不直连底层数据库。</w:t>
      </w:r>
    </w:p>
    <w:p>
      <w:pPr>
        <w:pStyle w:val="Heading2"/>
      </w:pPr>
      <w:r>
        <w:rPr>
          <w:rFonts w:ascii="黑体" w:hAnsi="黑体" w:eastAsia="黑体"/>
        </w:rPr>
        <w:t>3.4 网络互通方案</w:t>
      </w:r>
    </w:p>
    <w:p>
      <w:r>
        <w:rPr>
          <w:rFonts w:ascii="宋体" w:hAnsi="宋体" w:eastAsia="宋体"/>
          <w:sz w:val="24"/>
        </w:rPr>
        <w:t>针对生产网与办公网物理隔离的现状，采用DMZ区作为安全中转枢纽：</w:t>
      </w:r>
    </w:p>
    <w:p>
      <w:r>
        <w:t>（1）单向数据穿透：仅允许生产网→DMZ区→办公网方向的TCP连接，禁止反向连接。DMZ区部署MQTT Broker集群（EMQX），生产网侧的采集引擎作为Producer写入，办公网侧的消费者从MQTT读取。</w:t>
      </w:r>
    </w:p>
    <w:p>
      <w:r>
        <w:rPr>
          <w:rFonts w:ascii="宋体" w:hAnsi="宋体" w:eastAsia="宋体"/>
          <w:sz w:val="24"/>
        </w:rPr>
        <w:t>（2）双向认证：所有跨网通信均采用双向TLS 1.3证书认证。每个组件持有唯一的X.509证书，定期轮换（90天）。</w:t>
      </w:r>
    </w:p>
    <w:p>
      <w:r>
        <w:rPr>
          <w:rFonts w:ascii="宋体" w:hAnsi="宋体" w:eastAsia="宋体"/>
          <w:sz w:val="24"/>
        </w:rPr>
        <w:t>（3）操作审计：所有跨网数据流均记录审计日志（源IP、目标IP、时间戳、数据量、操作类型），日志存储于不可篡改的审计库中。</w:t>
      </w:r>
    </w:p>
    <w:p>
      <w:r>
        <w:rPr>
          <w:rFonts w:ascii="宋体" w:hAnsi="宋体" w:eastAsia="宋体"/>
          <w:sz w:val="24"/>
        </w:rPr>
        <w:t>（4）管理指令回传：办公网发起的配置下发指令（如修改采集频率、更新告警阈值），经DMZ区认证网关验证后，通过反向SSH隧道安全回传至生产网执行。</w:t>
      </w:r>
    </w:p>
    <w:p>
      <w:pPr>
        <w:pStyle w:val="Heading2"/>
      </w:pPr>
      <w:r>
        <w:rPr>
          <w:rFonts w:ascii="黑体" w:hAnsi="黑体" w:eastAsia="黑体"/>
        </w:rPr>
        <w:t>3.5 性能指标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黑体" w:hAnsi="黑体" w:eastAsia="黑体"/>
                <w:b/>
                <w:sz w:val="18"/>
              </w:rPr>
              <w:t>性能指标</w:t>
            </w:r>
          </w:p>
        </w:tc>
        <w:tc>
          <w:tcPr>
            <w:tcW w:type="dxa" w:w="2161"/>
          </w:tcPr>
          <w:p>
            <w:r>
              <w:rPr>
                <w:rFonts w:ascii="黑体" w:hAnsi="黑体" w:eastAsia="黑体"/>
                <w:b/>
                <w:sz w:val="18"/>
              </w:rPr>
              <w:t>生产网(边缘)</w:t>
            </w:r>
          </w:p>
        </w:tc>
        <w:tc>
          <w:tcPr>
            <w:tcW w:type="dxa" w:w="2161"/>
          </w:tcPr>
          <w:p>
            <w:r>
              <w:rPr>
                <w:rFonts w:ascii="黑体" w:hAnsi="黑体" w:eastAsia="黑体"/>
                <w:b/>
                <w:sz w:val="18"/>
              </w:rPr>
              <w:t>DMZ区</w:t>
            </w:r>
          </w:p>
        </w:tc>
        <w:tc>
          <w:tcPr>
            <w:tcW w:type="dxa" w:w="2161"/>
          </w:tcPr>
          <w:p>
            <w:r>
              <w:rPr>
                <w:rFonts w:ascii="黑体" w:hAnsi="黑体" w:eastAsia="黑体"/>
                <w:b/>
                <w:sz w:val="18"/>
              </w:rPr>
              <w:t>办公网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数据采集延迟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&lt;10ms（从RTU到结构化JSON）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流式计算延迟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&lt;5ms（滑动窗口+阈值判定）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跨网传输延迟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161"/>
          </w:tcPr>
          <w:p>
            <w:r>
              <w:t>&lt;50ms（MQTT Publisher→Consumer）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数据写入延迟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161"/>
          </w:tcPr>
          <w:p>
            <w:r>
              <w:t>&lt;10ms（MQTT→TDengine）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&lt;20ms（TDengine→数据湖）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端到端总延迟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&lt;100ms（RTU → 数据湖可用）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并发设备数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单IO服务器支持500+设备</w:t>
            </w:r>
          </w:p>
        </w:tc>
        <w:tc>
          <w:tcPr>
            <w:tcW w:type="dxa" w:w="2161"/>
          </w:tcPr>
          <w:p>
            <w:r>
              <w:t>MQTT支持10万+msg/s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TDengine支持10万+点/s写入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存储容量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1小时临时缓存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6个月短期缓存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&gt;5年长期存储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第四章：完整源码交付 — 全栈自主可控方案</w:t>
      </w:r>
    </w:p>
    <w:p>
      <w:pPr>
        <w:pStyle w:val="Heading2"/>
      </w:pPr>
      <w:r>
        <w:rPr>
          <w:rFonts w:ascii="黑体" w:hAnsi="黑体" w:eastAsia="黑体"/>
        </w:rPr>
        <w:t>4.1 技术栈全览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黑体" w:hAnsi="黑体" w:eastAsia="黑体"/>
                <w:b/>
                <w:sz w:val="18"/>
              </w:rPr>
              <w:t>层级</w:t>
            </w:r>
          </w:p>
        </w:tc>
        <w:tc>
          <w:tcPr>
            <w:tcW w:type="dxa" w:w="2161"/>
          </w:tcPr>
          <w:p>
            <w:r>
              <w:rPr>
                <w:rFonts w:ascii="黑体" w:hAnsi="黑体" w:eastAsia="黑体"/>
                <w:b/>
                <w:sz w:val="18"/>
              </w:rPr>
              <w:t>技术选型</w:t>
            </w:r>
          </w:p>
        </w:tc>
        <w:tc>
          <w:tcPr>
            <w:tcW w:type="dxa" w:w="2161"/>
          </w:tcPr>
          <w:p>
            <w:r>
              <w:rPr>
                <w:rFonts w:ascii="黑体" w:hAnsi="黑体" w:eastAsia="黑体"/>
                <w:b/>
                <w:sz w:val="18"/>
              </w:rPr>
              <w:t>许可协议</w:t>
            </w:r>
          </w:p>
        </w:tc>
        <w:tc>
          <w:tcPr>
            <w:tcW w:type="dxa" w:w="2161"/>
          </w:tcPr>
          <w:p>
            <w:r>
              <w:rPr>
                <w:rFonts w:ascii="黑体" w:hAnsi="黑体" w:eastAsia="黑体"/>
                <w:b/>
                <w:sz w:val="18"/>
              </w:rPr>
              <w:t>自主性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后端框架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Python 3.10+ / FastAPI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MIT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✅ 100%自主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协议适配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pymodbus / asyncua / 自研A11/IEC104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BSD / 自研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✅ 100%自主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时序存储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TDengine 3.x（主）/ SQLite 3（降级）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AGPL / Public Domain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✅ 100%自主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本体引擎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Python dataclass + rdflib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BSD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✅ 100%自主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语义搜索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纯Python TF-IDF + 自定义分词器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自研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✅ 100%自主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前端框架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Vue3 + Element Plus + ECharts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MIT / Apache 2.0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✅ 100%自主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消息队列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Apache Kafka（开源连接器）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Apache 2.0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✅ 100%自主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部署容器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Docker + docker-compose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Apache 2.0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✅ 100%自主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4.2 源码交付清单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18"/>
              </w:rPr>
              <w:t>#</w:t>
            </w:r>
          </w:p>
        </w:tc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18"/>
              </w:rPr>
              <w:t>模块</w:t>
            </w:r>
          </w:p>
        </w:tc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18"/>
              </w:rPr>
              <w:t>文件数</w:t>
            </w:r>
          </w:p>
        </w:tc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18"/>
              </w:rPr>
              <w:t>代码行数</w:t>
            </w:r>
          </w:p>
        </w:tc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18"/>
              </w:rPr>
              <w:t>核心文件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协议适配引擎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~4,000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a11.py, modbus_tcp.py, iec104.py, opcua.py, opcda_client.py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时序存储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~1,200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tdengine.py, postgres.py, parse_store.py, oracle_bridge.py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OWL本体引擎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~1,000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ontology.py (5层模型 + OWL导出 + SPARQL), graphrag.py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流式计算+告警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~2,500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safety_rules.py, alarm_engine.py, collector.py, stream_engine.py, push_engine.py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Web API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~4,000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main.py (20+端点), graphrag_api.py (25+端点), fde_api.py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前端Vue3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~6,000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24个View + 8个Component + 6个Plugin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测试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~1,500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87个测试用例 (test_graphrag.py, test_graphrag_e2e.py等)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部署配置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~200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Dockerfile, docker-compose.yml, config.yaml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合计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全部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75+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~20,000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87项测试全通过, 836个OWL三元组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4.3 依赖审计</w:t>
      </w:r>
    </w:p>
    <w:p>
      <w:r>
        <w:rPr>
          <w:rFonts w:ascii="宋体" w:hAnsi="宋体" w:eastAsia="宋体"/>
          <w:sz w:val="24"/>
        </w:rPr>
        <w:t>本项目全部依赖均为业界主流开源组件，无一商业软件依赖。关键依赖审计如下：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18"/>
              </w:rPr>
              <w:t>依赖</w:t>
            </w:r>
          </w:p>
        </w:tc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18"/>
              </w:rPr>
              <w:t>版本</w:t>
            </w:r>
          </w:p>
        </w:tc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18"/>
              </w:rPr>
              <w:t>许可</w:t>
            </w:r>
          </w:p>
        </w:tc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18"/>
              </w:rPr>
              <w:t>用途</w:t>
            </w:r>
          </w:p>
        </w:tc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18"/>
              </w:rPr>
              <w:t>是否有替代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FastAPI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0.110+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MIT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Web框架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Starlette（MIT）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TDengine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3.x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AGPL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时序存储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SQLite（Public Domain）— 已内建降级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rdflib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7.x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BSD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OWL本体/SPARQL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无（业界唯一Python RDF库）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pymodbus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3.6+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BSD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Modbus协议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自研原生Socket实现（已内建备选）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Vue3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3.5+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MIT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前端框架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React 18（MIT，可切换）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Element Plus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2.14+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MIT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UI组件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Ant Design Vue（MIT，可切换）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ECharts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5.5+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Apache 2.0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图表可视化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Chart.js（MIT，可切换）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SQLite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3.x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Public Domain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降级存储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内置Python标准库，零依赖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4.4 信创适配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黑体" w:hAnsi="黑体" w:eastAsia="黑体"/>
                <w:b/>
                <w:sz w:val="18"/>
              </w:rPr>
              <w:t>适配项</w:t>
            </w:r>
          </w:p>
        </w:tc>
        <w:tc>
          <w:tcPr>
            <w:tcW w:type="dxa" w:w="2882"/>
          </w:tcPr>
          <w:p>
            <w:r>
              <w:rPr>
                <w:rFonts w:ascii="黑体" w:hAnsi="黑体" w:eastAsia="黑体"/>
                <w:b/>
                <w:sz w:val="18"/>
              </w:rPr>
              <w:t>当前状态</w:t>
            </w:r>
          </w:p>
        </w:tc>
        <w:tc>
          <w:tcPr>
            <w:tcW w:type="dxa" w:w="2882"/>
          </w:tcPr>
          <w:p>
            <w:r>
              <w:rPr>
                <w:rFonts w:ascii="黑体" w:hAnsi="黑体" w:eastAsia="黑体"/>
                <w:b/>
                <w:sz w:val="18"/>
              </w:rPr>
              <w:t>计划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国产OS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已支持Python 3.10+的Linux发行版（Ubuntu/Debian/CentOS）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麒麟V10 / 统信UOS适配测试（2周）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国产CPU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Python原生支持ARM64架构（树莓派已验证）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飞腾FT-2000 / 鲲鹏920适配测试（2周）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国产数据库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SQLite已满足降级需求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达梦DM8 / 人大金仓KingbaseES适配接口（可选）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国产中间件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已支持EMQX（国产MQTT Broker，Apache 2.0）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东方通TongWeb适配接口（可选）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浏览器兼容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Vue3 + Element Plus支持主流国产浏览器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18"/>
              </w:rPr>
              <w:t>奇安信/360安全浏览器兼容性测试（1周）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第五章：聚焦核心能力 — 自研与外协边界量化分解</w:t>
      </w:r>
    </w:p>
    <w:p>
      <w:pPr>
        <w:pStyle w:val="Heading2"/>
      </w:pPr>
      <w:r>
        <w:rPr>
          <w:rFonts w:ascii="黑体" w:hAnsi="黑体" w:eastAsia="黑体"/>
        </w:rPr>
        <w:t>5.1 核心能力定位</w:t>
      </w:r>
    </w:p>
    <w:p>
      <w:r>
        <w:rPr>
          <w:rFonts w:ascii="宋体" w:hAnsi="宋体" w:eastAsia="宋体"/>
          <w:sz w:val="24"/>
        </w:rPr>
        <w:t>本项目严格聚焦"持续数据采集管理"核心能力，剔除泛化应用功能。项目本质是数据中台在实时数据采集侧的补强工程，所有交付功能均围绕"采集→治理→存储→计算→入湖"全链路。</w:t>
      </w:r>
    </w:p>
    <w:p>
      <w:pPr>
        <w:pStyle w:val="Heading2"/>
      </w:pPr>
      <w:r>
        <w:rPr>
          <w:rFonts w:ascii="黑体" w:hAnsi="黑体" w:eastAsia="黑体"/>
        </w:rPr>
        <w:t>5.2 自研模块（油田专属，必须自主开发）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>
              <w:rPr>
                <w:rFonts w:ascii="黑体" w:hAnsi="黑体" w:eastAsia="黑体"/>
                <w:b/>
                <w:sz w:val="18"/>
              </w:rPr>
              <w:t>#</w:t>
            </w:r>
          </w:p>
        </w:tc>
        <w:tc>
          <w:tcPr>
            <w:tcW w:type="dxa" w:w="1441"/>
          </w:tcPr>
          <w:p>
            <w:r>
              <w:rPr>
                <w:rFonts w:ascii="黑体" w:hAnsi="黑体" w:eastAsia="黑体"/>
                <w:b/>
                <w:sz w:val="18"/>
              </w:rPr>
              <w:t>自研模块</w:t>
            </w:r>
          </w:p>
        </w:tc>
        <w:tc>
          <w:tcPr>
            <w:tcW w:type="dxa" w:w="1441"/>
          </w:tcPr>
          <w:p>
            <w:r>
              <w:rPr>
                <w:rFonts w:ascii="黑体" w:hAnsi="黑体" w:eastAsia="黑体"/>
                <w:b/>
                <w:sz w:val="18"/>
              </w:rPr>
              <w:t>功能描述</w:t>
            </w:r>
          </w:p>
        </w:tc>
        <w:tc>
          <w:tcPr>
            <w:tcW w:type="dxa" w:w="1441"/>
          </w:tcPr>
          <w:p>
            <w:r>
              <w:rPr>
                <w:rFonts w:ascii="黑体" w:hAnsi="黑体" w:eastAsia="黑体"/>
                <w:b/>
                <w:sz w:val="18"/>
              </w:rPr>
              <w:t>技术方案</w:t>
            </w:r>
          </w:p>
        </w:tc>
        <w:tc>
          <w:tcPr>
            <w:tcW w:type="dxa" w:w="1441"/>
          </w:tcPr>
          <w:p>
            <w:r>
              <w:rPr>
                <w:rFonts w:ascii="黑体" w:hAnsi="黑体" w:eastAsia="黑体"/>
                <w:b/>
                <w:sz w:val="18"/>
              </w:rPr>
              <w:t>工作量(人日)</w:t>
            </w:r>
          </w:p>
        </w:tc>
        <w:tc>
          <w:tcPr>
            <w:tcW w:type="dxa" w:w="1441"/>
          </w:tcPr>
          <w:p>
            <w:r>
              <w:rPr>
                <w:rFonts w:ascii="黑体" w:hAnsi="黑体" w:eastAsia="黑体"/>
                <w:b/>
                <w:sz w:val="18"/>
              </w:rPr>
              <w:t>验收标准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多协议适配器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Modbus/A11/OPC/IEC104/DTU等10+协议的解析与适配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插件注册制 + 独立协议文件 + 热加载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60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每种协议通过至少1个真实设备仿真测试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主数据联动接口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与数据湖主数据模块的双向注册与同步API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REST API + OWL本体注册 + SPARQL验证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30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点位注册→发布→采集→回写闭环验证通过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湖仓接口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时序数据标准化注入数据湖的接口与格式转换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逻辑表挂载 + 标准格式(ts+id+value+quality)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数据湖内可查询到采集平台注入的时序数据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A11点位配置导出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可视化配置 → A11兼容格式文件 → 批量导入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A11配置文件格式逆向 + 导出模板引擎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A11系统管理员确认导入成功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OWL本体编译引擎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物模型→OWL 2本体自动编译 + ISA-95对齐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本体工厂方法 + SPARQL查询 + RDF/XML导出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836三元组导出、ISA-95对齐验证通过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5.3 开源支撑组件（通用能力，直接复用）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18"/>
              </w:rPr>
              <w:t>#</w:t>
            </w:r>
          </w:p>
        </w:tc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18"/>
              </w:rPr>
              <w:t>组件</w:t>
            </w:r>
          </w:p>
        </w:tc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18"/>
              </w:rPr>
              <w:t>用途</w:t>
            </w:r>
          </w:p>
        </w:tc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18"/>
              </w:rPr>
              <w:t>为什么不自研</w:t>
            </w:r>
          </w:p>
        </w:tc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18"/>
              </w:rPr>
              <w:t>许可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MQTT Broker (EMQX/Mosquitto)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MQTT协议接入与消息路由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业界成熟标准组件，自研成本高且无法超越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Apache 2.0 / EPL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Apache Kafka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高吞吐消息队列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业界标准，自研无法达到同等可靠性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Apache 2.0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TDengine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高性能时序数据库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专用时序引擎，自研周期&gt;12个月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AGPL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Vue3 + Element Plus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前端框架与UI组件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通用前端技术，自研不经济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MIT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5.4 外协边界（技术服务外包，按工作量量化）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>
              <w:rPr>
                <w:rFonts w:ascii="黑体" w:hAnsi="黑体" w:eastAsia="黑体"/>
                <w:b/>
                <w:sz w:val="18"/>
              </w:rPr>
              <w:t>#</w:t>
            </w:r>
          </w:p>
        </w:tc>
        <w:tc>
          <w:tcPr>
            <w:tcW w:type="dxa" w:w="1441"/>
          </w:tcPr>
          <w:p>
            <w:r>
              <w:rPr>
                <w:rFonts w:ascii="黑体" w:hAnsi="黑体" w:eastAsia="黑体"/>
                <w:b/>
                <w:sz w:val="18"/>
              </w:rPr>
              <w:t>外协项</w:t>
            </w:r>
          </w:p>
        </w:tc>
        <w:tc>
          <w:tcPr>
            <w:tcW w:type="dxa" w:w="1441"/>
          </w:tcPr>
          <w:p>
            <w:r>
              <w:rPr>
                <w:rFonts w:ascii="黑体" w:hAnsi="黑体" w:eastAsia="黑体"/>
                <w:b/>
                <w:sz w:val="18"/>
              </w:rPr>
              <w:t>外协内容</w:t>
            </w:r>
          </w:p>
        </w:tc>
        <w:tc>
          <w:tcPr>
            <w:tcW w:type="dxa" w:w="1441"/>
          </w:tcPr>
          <w:p>
            <w:r>
              <w:rPr>
                <w:rFonts w:ascii="黑体" w:hAnsi="黑体" w:eastAsia="黑体"/>
                <w:b/>
                <w:sz w:val="18"/>
              </w:rPr>
              <w:t>外协方式</w:t>
            </w:r>
          </w:p>
        </w:tc>
        <w:tc>
          <w:tcPr>
            <w:tcW w:type="dxa" w:w="1441"/>
          </w:tcPr>
          <w:p>
            <w:r>
              <w:rPr>
                <w:rFonts w:ascii="黑体" w:hAnsi="黑体" w:eastAsia="黑体"/>
                <w:b/>
                <w:sz w:val="18"/>
              </w:rPr>
              <w:t>工作量(人日)</w:t>
            </w:r>
          </w:p>
        </w:tc>
        <w:tc>
          <w:tcPr>
            <w:tcW w:type="dxa" w:w="1441"/>
          </w:tcPr>
          <w:p>
            <w:r>
              <w:rPr>
                <w:rFonts w:ascii="黑体" w:hAnsi="黑体" w:eastAsia="黑体"/>
                <w:b/>
                <w:sz w:val="18"/>
              </w:rPr>
              <w:t>交付物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协议适配器定制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新增协议的适配器开发（如自定义串口协议、4G DTU私有协议）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按协议报价，源码交付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15-30/协议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协议适配器.py + 仿真测试脚本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安全认证加固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DMZ双向TLS证书部署、WAF规则配置、渗透测试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按次报价，出具安全报告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安全加固报告 + 渗透测试结果</w:t>
            </w:r>
          </w:p>
        </w:tc>
      </w:tr>
      <w:tr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主数据对接联调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与数据湖主数据模块的接口联调与数据一致性验证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按天报价，现场联调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1441"/>
          </w:tcPr>
          <w:p>
            <w:r>
              <w:rPr>
                <w:rFonts w:ascii="宋体" w:hAnsi="宋体" w:eastAsia="宋体"/>
                <w:sz w:val="18"/>
              </w:rPr>
              <w:t>联调测试报告 + 数据一致性校验通过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5.5 剔除的泛化功能</w:t>
      </w:r>
    </w:p>
    <w:p>
      <w:r>
        <w:rPr>
          <w:rFonts w:ascii="宋体" w:hAnsi="宋体" w:eastAsia="宋体"/>
          <w:sz w:val="24"/>
        </w:rPr>
        <w:t>以下功能明确不在本项目范围内，避免"题目过大"导致无法落地：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黑体" w:hAnsi="黑体" w:eastAsia="黑体"/>
                <w:b/>
                <w:sz w:val="18"/>
              </w:rPr>
              <w:t>#</w:t>
            </w:r>
          </w:p>
        </w:tc>
        <w:tc>
          <w:tcPr>
            <w:tcW w:type="dxa" w:w="2161"/>
          </w:tcPr>
          <w:p>
            <w:r>
              <w:rPr>
                <w:rFonts w:ascii="黑体" w:hAnsi="黑体" w:eastAsia="黑体"/>
                <w:b/>
                <w:sz w:val="18"/>
              </w:rPr>
              <w:t>剔除功能</w:t>
            </w:r>
          </w:p>
        </w:tc>
        <w:tc>
          <w:tcPr>
            <w:tcW w:type="dxa" w:w="2161"/>
          </w:tcPr>
          <w:p>
            <w:r>
              <w:rPr>
                <w:rFonts w:ascii="黑体" w:hAnsi="黑体" w:eastAsia="黑体"/>
                <w:b/>
                <w:sz w:val="18"/>
              </w:rPr>
              <w:t>剔除理由</w:t>
            </w:r>
          </w:p>
        </w:tc>
        <w:tc>
          <w:tcPr>
            <w:tcW w:type="dxa" w:w="2161"/>
          </w:tcPr>
          <w:p>
            <w:r>
              <w:rPr>
                <w:rFonts w:ascii="黑体" w:hAnsi="黑体" w:eastAsia="黑体"/>
                <w:b/>
                <w:sz w:val="18"/>
              </w:rPr>
              <w:t>替代方案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BI报表引擎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通用BI能力，不属于"持续数据采集管理"核心范畴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数据湖提供BI服务，本项目仅提供标准化数据接口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移动APP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非核心采集能力，属于上层应用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作业区管控平台负责移动端展示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AI模型训练平台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属于数据中台AI模块范畴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数据湖AI平台消费本项目提供的时序数据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工单管理系统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属于EAM/ERP系统范畴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本项目仅提供告警触发信号，工单系统接收后创建工单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视频分析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属于专业视频AI系统范畴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本项目仅提供RTSP视频流接入通道，不包含视频分析算法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附录A：技术指标验收方法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18"/>
              </w:rPr>
              <w:t>#</w:t>
            </w:r>
          </w:p>
        </w:tc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18"/>
              </w:rPr>
              <w:t>指标</w:t>
            </w:r>
          </w:p>
        </w:tc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18"/>
              </w:rPr>
              <w:t>标书要求</w:t>
            </w:r>
          </w:p>
        </w:tc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18"/>
              </w:rPr>
              <w:t>验收方法</w:t>
            </w:r>
          </w:p>
        </w:tc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18"/>
              </w:rPr>
              <w:t>判定标准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设备规模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≥500台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启动500个Modbus模拟器设备，运行24小时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采集引擎无崩溃、数据无丢失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采集频率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500ms~60s可配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配置采集频率为500ms，运行1小时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实际采集间隔均值&lt;550ms（P95）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查询响应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&lt;3秒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连续100次查询，记录响应时间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P95响应时间&lt;3秒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并发连接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≥5路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启动8个并发线程同时查询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所有线程正确返回，无死锁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稳定性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15日连续运行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系统持续运行15日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无进程重启、无内存泄漏（内存增长&lt;10%）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数据完整性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不丢数据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对比Modbus模拟器输出与实际存储值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100%数据匹配（允许网络丢包&lt;0.01%）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信创兼容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国产OS+CPU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在麒麟V10+飞腾FT-2000环境部署并运行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sz w:val="18"/>
              </w:rPr>
              <w:t>87项测试全部通过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附录B：项目组织与里程碑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黑体" w:hAnsi="黑体" w:eastAsia="黑体"/>
                <w:b/>
                <w:sz w:val="18"/>
              </w:rPr>
              <w:t>里程碑</w:t>
            </w:r>
          </w:p>
        </w:tc>
        <w:tc>
          <w:tcPr>
            <w:tcW w:type="dxa" w:w="2161"/>
          </w:tcPr>
          <w:p>
            <w:r>
              <w:rPr>
                <w:rFonts w:ascii="黑体" w:hAnsi="黑体" w:eastAsia="黑体"/>
                <w:b/>
                <w:sz w:val="18"/>
              </w:rPr>
              <w:t>时间</w:t>
            </w:r>
          </w:p>
        </w:tc>
        <w:tc>
          <w:tcPr>
            <w:tcW w:type="dxa" w:w="2161"/>
          </w:tcPr>
          <w:p>
            <w:r>
              <w:rPr>
                <w:rFonts w:ascii="黑体" w:hAnsi="黑体" w:eastAsia="黑体"/>
                <w:b/>
                <w:sz w:val="18"/>
              </w:rPr>
              <w:t>交付内容</w:t>
            </w:r>
          </w:p>
        </w:tc>
        <w:tc>
          <w:tcPr>
            <w:tcW w:type="dxa" w:w="2161"/>
          </w:tcPr>
          <w:p>
            <w:r>
              <w:rPr>
                <w:rFonts w:ascii="黑体" w:hAnsi="黑体" w:eastAsia="黑体"/>
                <w:b/>
                <w:sz w:val="18"/>
              </w:rPr>
              <w:t>验收方式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M1: 需求确认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合同签订后2周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详细需求规格说明书 + 接口规范文档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甲方签字确认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M2: 原型验证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第1-2月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IO服务器路由监听原型 + 5协议采集中样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现场演示 + 技术评审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M3: 系统开发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第3-6月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全部8大模块开发 + 内部测试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87项自动化测试通过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M4: 联调测试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第7-8月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与A11/数据湖/作业区平台联调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联调测试报告 + 问题清零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M5: 上线部署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第9-10月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IO服务器路由部署 + 10井站试运行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试运行报告 + 性能验证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M6: 正式交付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2026.11.30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全部源码 + 文档 + 培训 + 运维交接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18"/>
              </w:rPr>
              <w:t>最终验收会 + 签字交付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迪格(杭州)物联科技有限公司 | 机密 | 不得外传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时序数据采集与应用管理系统 — 技术方案应答书（深度应答版 V2.0）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