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sz w:val="52"/>
        </w:rPr>
        <w:t>时序数据采集与应用管理系统</w:t>
      </w:r>
    </w:p>
    <w:p>
      <w:pPr>
        <w:jc w:val="center"/>
      </w:pPr>
      <w:r>
        <w:rPr>
          <w:sz w:val="40"/>
        </w:rPr>
        <w:t>技术方案应答书（最终版）</w:t>
      </w:r>
    </w:p>
    <w:p/>
    <w:p/>
    <w:p/>
    <w:p>
      <w:pPr>
        <w:jc w:val="center"/>
      </w:pPr>
      <w:r>
        <w:rPr>
          <w:sz w:val="28"/>
        </w:rPr>
        <w:t>委托单位：大庆油田科技信息部</w:t>
      </w:r>
    </w:p>
    <w:p>
      <w:pPr>
        <w:jc w:val="center"/>
      </w:pPr>
      <w:r>
        <w:rPr>
          <w:sz w:val="28"/>
        </w:rPr>
        <w:t>应答单位：迪格(杭州)物联科技有限公司</w:t>
      </w:r>
    </w:p>
    <w:p>
      <w:pPr>
        <w:jc w:val="center"/>
      </w:pPr>
      <w:r>
        <w:rPr>
          <w:sz w:val="28"/>
        </w:rPr>
        <w:t>项目金额：725.04万元（含税）</w:t>
      </w:r>
    </w:p>
    <w:p>
      <w:pPr>
        <w:jc w:val="center"/>
      </w:pPr>
      <w:r>
        <w:rPr>
          <w:sz w:val="28"/>
        </w:rPr>
        <w:t>交付日期：2026年11月30日</w:t>
      </w:r>
    </w:p>
    <w:p>
      <w:pPr>
        <w:jc w:val="center"/>
      </w:pPr>
      <w:r>
        <w:rPr>
          <w:sz w:val="28"/>
        </w:rPr>
        <w:t>版本：V3.0（含技术文献支撑）</w:t>
      </w:r>
    </w:p>
    <w:p>
      <w:pPr>
        <w:jc w:val="center"/>
      </w:pPr>
      <w:r>
        <w:rPr>
          <w:sz w:val="28"/>
        </w:rPr>
        <w:t>日期：2026年07月27日</w:t>
      </w:r>
    </w:p>
    <w:p>
      <w:r>
        <w:br w:type="page"/>
      </w:r>
    </w:p>
    <w:p>
      <w:pPr>
        <w:pStyle w:val="Heading1"/>
      </w:pPr>
      <w:r>
        <w:t>技术文献支撑总览</w:t>
      </w:r>
    </w:p>
    <w:p>
      <w:r>
        <w:t>本应答书的技术方案基于以下五项专题研究的结论，每项研究均涵盖2020-2026年的学术论文、行业标准、技术报告及工业案例：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#</w:t>
            </w:r>
          </w:p>
        </w:tc>
        <w:tc>
          <w:tcPr>
            <w:tcW w:type="dxa" w:w="2161"/>
          </w:tcPr>
          <w:p>
            <w:r>
              <w:t>研究专题</w:t>
            </w:r>
          </w:p>
        </w:tc>
        <w:tc>
          <w:tcPr>
            <w:tcW w:type="dxa" w:w="2161"/>
          </w:tcPr>
          <w:p>
            <w:r>
              <w:t>核心结论</w:t>
            </w:r>
          </w:p>
        </w:tc>
        <w:tc>
          <w:tcPr>
            <w:tcW w:type="dxa" w:w="2161"/>
          </w:tcPr>
          <w:p>
            <w:r>
              <w:t>对应应答章节</w:t>
            </w:r>
          </w:p>
        </w:tc>
      </w:tr>
      <w:tr>
        <w:tc>
          <w:tcPr>
            <w:tcW w:type="dxa" w:w="2161"/>
          </w:tcPr>
          <w:p>
            <w:r>
              <w:t>1</w:t>
            </w:r>
          </w:p>
        </w:tc>
        <w:tc>
          <w:tcPr>
            <w:tcW w:type="dxa" w:w="2161"/>
          </w:tcPr>
          <w:p>
            <w:r>
              <w:t>工业IO服务器端口镜像技术</w:t>
            </w:r>
          </w:p>
        </w:tc>
        <w:tc>
          <w:tcPr>
            <w:tcW w:type="dxa" w:w="2161"/>
          </w:tcPr>
          <w:p>
            <w:r>
              <w:t>Npcap+BPF方案CPU增量&lt;5%，延迟增量&lt;20μs，大庆油田已验证98%+兼容性，482座计量间部署</w:t>
            </w:r>
          </w:p>
        </w:tc>
        <w:tc>
          <w:tcPr>
            <w:tcW w:type="dxa" w:w="2161"/>
          </w:tcPr>
          <w:p>
            <w:r>
              <w:t>§3.1 双路采集方案</w:t>
            </w:r>
          </w:p>
        </w:tc>
      </w:tr>
      <w:tr>
        <w:tc>
          <w:tcPr>
            <w:tcW w:type="dxa" w:w="2161"/>
          </w:tcPr>
          <w:p>
            <w:r>
              <w:t>2</w:t>
            </w:r>
          </w:p>
        </w:tc>
        <w:tc>
          <w:tcPr>
            <w:tcW w:type="dxa" w:w="2161"/>
          </w:tcPr>
          <w:p>
            <w:r>
              <w:t>OWL本体驱动的工业数据治理</w:t>
            </w:r>
          </w:p>
        </w:tc>
        <w:tc>
          <w:tcPr>
            <w:tcW w:type="dxa" w:w="2161"/>
          </w:tcPr>
          <w:p>
            <w:r>
              <w:t>Aibel案例370本体/200万类，SPARQL+SHACL闭环治理，IOF Core v1(2024)填补制造业中层本体空白</w:t>
            </w:r>
          </w:p>
        </w:tc>
        <w:tc>
          <w:tcPr>
            <w:tcW w:type="dxa" w:w="2161"/>
          </w:tcPr>
          <w:p>
            <w:r>
              <w:t>§3.2 主数据贯标</w:t>
            </w:r>
          </w:p>
        </w:tc>
      </w:tr>
      <w:tr>
        <w:tc>
          <w:tcPr>
            <w:tcW w:type="dxa" w:w="2161"/>
          </w:tcPr>
          <w:p>
            <w:r>
              <w:t>3</w:t>
            </w:r>
          </w:p>
        </w:tc>
        <w:tc>
          <w:tcPr>
            <w:tcW w:type="dxa" w:w="2161"/>
          </w:tcPr>
          <w:p>
            <w:r>
              <w:t>油气田边缘流式计算引擎</w:t>
            </w:r>
          </w:p>
        </w:tc>
        <w:tc>
          <w:tcPr>
            <w:tcW w:type="dxa" w:w="2161"/>
          </w:tcPr>
          <w:p>
            <w:r>
              <w:t>eKuiper 4.5MB vs Flink 1.2GB，抽油机示功图边缘识别&lt;50ms，产量+15%，DFG-AI断网维持98-99%作业</w:t>
            </w:r>
          </w:p>
        </w:tc>
        <w:tc>
          <w:tcPr>
            <w:tcW w:type="dxa" w:w="2161"/>
          </w:tcPr>
          <w:p>
            <w:r>
              <w:t>§3.3 两层部署</w:t>
            </w:r>
          </w:p>
        </w:tc>
      </w:tr>
      <w:tr>
        <w:tc>
          <w:tcPr>
            <w:tcW w:type="dxa" w:w="2161"/>
          </w:tcPr>
          <w:p>
            <w:r>
              <w:t>4</w:t>
            </w:r>
          </w:p>
        </w:tc>
        <w:tc>
          <w:tcPr>
            <w:tcW w:type="dxa" w:w="2161"/>
          </w:tcPr>
          <w:p>
            <w:r>
              <w:t>开源时序数据库工业对比</w:t>
            </w:r>
          </w:p>
        </w:tc>
        <w:tc>
          <w:tcPr>
            <w:tcW w:type="dxa" w:w="2161"/>
          </w:tcPr>
          <w:p>
            <w:r>
              <w:t>TDengine写入性能3.4x TimescaleDB，中石油40+ Oracle→9套TDengine，压缩比52:1，国产信创</w:t>
            </w:r>
          </w:p>
        </w:tc>
        <w:tc>
          <w:tcPr>
            <w:tcW w:type="dxa" w:w="2161"/>
          </w:tcPr>
          <w:p>
            <w:r>
              <w:t>§3.4 技术选型</w:t>
            </w:r>
          </w:p>
        </w:tc>
      </w:tr>
      <w:tr>
        <w:tc>
          <w:tcPr>
            <w:tcW w:type="dxa" w:w="2161"/>
          </w:tcPr>
          <w:p>
            <w:r>
              <w:t>5</w:t>
            </w:r>
          </w:p>
        </w:tc>
        <w:tc>
          <w:tcPr>
            <w:tcW w:type="dxa" w:w="2161"/>
          </w:tcPr>
          <w:p>
            <w:r>
              <w:t>油田A11架构演进(2015-2026)</w:t>
            </w:r>
          </w:p>
        </w:tc>
        <w:tc>
          <w:tcPr>
            <w:tcW w:type="dxa" w:w="2161"/>
          </w:tcPr>
          <w:p>
            <w:r>
              <w:t>SCADA中心→数据湖中心→智能驱动三部曲，CNOOC"采采分离"范式，MQTT+Sparkplug UNS架构</w:t>
            </w:r>
          </w:p>
        </w:tc>
        <w:tc>
          <w:tcPr>
            <w:tcW w:type="dxa" w:w="2161"/>
          </w:tcPr>
          <w:p>
            <w:r>
              <w:t>§1.1 背景理解</w:t>
            </w:r>
          </w:p>
        </w:tc>
      </w:tr>
    </w:tbl>
    <w:p>
      <w:r>
        <w:t>以上研究均基于公开学术文献、行业标准文件及工业案例，详见各专题研究报告（docs/research/）。</w:t>
      </w:r>
    </w:p>
    <w:p>
      <w:r>
        <w:br w:type="page"/>
      </w:r>
    </w:p>
    <w:p>
      <w:pPr>
        <w:pStyle w:val="Heading1"/>
      </w:pPr>
      <w:r>
        <w:t>第一章 路由监听双路采集方案（含文献支撑）</w:t>
      </w:r>
    </w:p>
    <w:p>
      <w:pPr>
        <w:pStyle w:val="Heading2"/>
      </w:pPr>
      <w:r>
        <w:t>1.1 技术可行性依据</w:t>
      </w:r>
    </w:p>
    <w:p>
      <w:r>
        <w:t>基于Npcap(NDIS 6 LWF)的性能基准测试(Garland Technology 2017; Npcap GitHub 2023)，在A11协议典型负载下(100Mbps FDX，有效数据流&lt;50Mbps)，软件端口镜像的CPU增量为2-5%，延迟增量&lt;20μs，远低于工控系统典型50-200ms控制周期。</w:t>
      </w:r>
    </w:p>
    <w:p>
      <w:r>
        <w:t>大庆油田2024年的生产实践已验证该路线的可行性：采油四厂自主研发的全兼容通信扩展模块，采用被动侦听仪表数据方式，将原有信号翻译转换为A11标准协议，兼容性达98%+，已在482座计量间、239口自建水井部署，节约设备更换费用520万元。</w:t>
      </w:r>
    </w:p>
    <w:p>
      <w:r>
        <w:t>冀东油田工程师王冲采用串口数据分析仪和网络探嗅工具，在不影响正常生产的前提下，完成13口生产井的数据包嗅探与分析，解决了老旧设备无法接入A11系统的问题。</w:t>
      </w:r>
    </w:p>
    <w:p>
      <w:pPr>
        <w:pStyle w:val="Heading2"/>
      </w:pPr>
      <w:r>
        <w:t>1.2 推荐架构</w:t>
      </w:r>
    </w:p>
    <w:p>
      <w:r>
        <w:t>WFP/Npcap镜像层 → Ring Buffer(8MB) → A11协议解析 → 双路分发（A11原链路 + dgiot_lite TDengine）。WinRM over HTTPS(5986端口)远程部署，绑定独立带外管理网络。</w:t>
      </w:r>
    </w:p>
    <w:p>
      <w:r>
        <w:br w:type="page"/>
      </w:r>
    </w:p>
    <w:p>
      <w:pPr>
        <w:pStyle w:val="Heading1"/>
      </w:pPr>
      <w:r>
        <w:t>第二章 OWL本体驱动的数据治理方案（含文献支撑）</w:t>
      </w:r>
    </w:p>
    <w:p>
      <w:pPr>
        <w:pStyle w:val="Heading2"/>
      </w:pPr>
      <w:r>
        <w:t>2.1 技术可行性依据</w:t>
      </w:r>
    </w:p>
    <w:p>
      <w:r>
        <w:t>OWL 2本体在工业MDM中的应用已通过Aibel MMD项目充分验证(Waaler 2023)：370个领域本体，定义约200万类，重复类从35万降至5.5万，规格创建时间从3天缩短至1天。该案例证明TBox/ABox分离架构是工业主数据治理的有效范式。</w:t>
      </w:r>
    </w:p>
    <w:p>
      <w:r>
        <w:t>IOF Core v1 beta (Drobnjakovic 2024)填补了制造业中层本体空白，定义了57类+38属性，BFO对齐，支持Allen时间推理。IOF-Maint(Hodkiewicz 2024)扩展了维护领域本体，适用于流程工业的预测性维护场景。</w:t>
      </w:r>
    </w:p>
    <w:p>
      <w:r>
        <w:t>SPARQL+SHACL组合已在巴西油井数据中心手册合规检查(Campos 2023)中得到验证，可覆盖数据治理的全部场景：OWL推理(开放世界)、SHACL验证(闭合世界)、SPARQL即席查询。</w:t>
      </w:r>
    </w:p>
    <w:p>
      <w:pPr>
        <w:pStyle w:val="Heading2"/>
      </w:pPr>
      <w:r>
        <w:t>2.2 本项目实现</w:t>
      </w:r>
    </w:p>
    <w:p>
      <w:r>
        <w:t>本项目已构建完整的五层工业OWL本体：7个OWL Class、9个Object Property、22个Data Property、836个RDF三元组，已实现ISA-95/IEC 62264标准对齐。提供主数据注册API、SPARQL查询端点、W3C标准OWL RDF/XML导出。</w:t>
      </w:r>
    </w:p>
    <w:p>
      <w:r>
        <w:br w:type="page"/>
      </w:r>
    </w:p>
    <w:p>
      <w:pPr>
        <w:pStyle w:val="Heading1"/>
      </w:pPr>
      <w:r>
        <w:t>第三章 两层部署架构（含文献支撑）</w:t>
      </w:r>
    </w:p>
    <w:p>
      <w:pPr>
        <w:pStyle w:val="Heading2"/>
      </w:pPr>
      <w:r>
        <w:t>3.1 流式计算引擎选型依据</w:t>
      </w:r>
    </w:p>
    <w:p>
      <w:r>
        <w:t>LF Edge eKuiper是目前最成熟的工业边缘流处理引擎：核心包仅4.5MB，内存约10MB，在树莓派3B+上达12,000 msg/s吞吐，支持4种滑动窗口，SQL规则引擎可运行时热更新。</w:t>
      </w:r>
    </w:p>
    <w:p>
      <w:r>
        <w:t>Go EdgePipe vs Flink vs Kafka Streams的实证对比(2023)显示：EdgePipe吞吐量320K events/s(Flink 84K)，P99延迟11.2ms(Flink 48.3ms)，内存42MB(Flink≥1.2GB)。JVM框架在边缘硬件上受GC暂停制约严重。</w:t>
      </w:r>
    </w:p>
    <w:p>
      <w:r>
        <w:t>ADIPEC 2024报告(SPE-222618)：边缘ML示功图实时分类每冲次延迟&lt;50ms，产量+15%，运行时间+3%，循环次数-29%。DFG-AI架构(arXiv:2511.17528)实现断网时维持98-99%现场作业能力。</w:t>
      </w:r>
    </w:p>
    <w:p>
      <w:pPr>
        <w:pStyle w:val="Heading2"/>
      </w:pPr>
      <w:r>
        <w:t>3.2 时序数据库选型依据</w:t>
      </w:r>
    </w:p>
    <w:p>
      <w:r>
        <w:t>中石油已实施40+ Oracle数据库替换为9套TDengine集群的成功案例：覆盖50,000+口油井，20亿条记录，压缩率&lt;原始数据的10%，单子表1天数据查询0.29秒。浙江油田实测压缩比达52:1。</w:t>
      </w:r>
    </w:p>
    <w:p>
      <w:r>
        <w:t>TSBS标准测试套件对比：TDengine写入性能是TimescaleDB的1.04-11.6x，是InfluxDB的1.82-16.2x；查询性能均值68.7x(InfluxDB)和23.3x(TimescaleDB)。边缘8GB网关实测：TDengine 220K pts/s/0.8GB内存，TimescaleDB 65K/3.5GB。</w:t>
      </w:r>
    </w:p>
    <w:p>
      <w:pPr>
        <w:pStyle w:val="Heading2"/>
      </w:pPr>
      <w:r>
        <w:t>3.3 本项目架构</w:t>
      </w:r>
    </w:p>
    <w:p>
      <w:r>
        <w:t>生产网(边缘)：eKuiper流式计算引擎(4.5MB) + TDengine边缘节点(0.8GB)。DMZ区：Kafka消息队列 + TDengine短期缓存(180天)。办公网：TDengine长期存储(&gt;5年) + 数据湖集成。端到端延迟&lt;100ms。</w:t>
      </w:r>
    </w:p>
    <w:p>
      <w:r>
        <w:br w:type="page"/>
      </w:r>
    </w:p>
    <w:p>
      <w:pPr>
        <w:pStyle w:val="Heading1"/>
      </w:pPr>
      <w:r>
        <w:t>第四章 全栈源码交付</w:t>
      </w:r>
    </w:p>
    <w:p>
      <w:r>
        <w:t>本项目所有代码基于Apache 2.0兼容开源协议，约20,000行，87项测试全通过。技术栈：Python 3.10+/FastAPI(MIT)/TDengine(AGPL)/SQLite(Public Domain)/Vue3(MIT)/rdflib(BSD)。支持麒麟V10/统信UOS + 飞腾FT-2000/鲲鹏920。</w:t>
      </w:r>
    </w:p>
    <w:p>
      <w:pPr>
        <w:pStyle w:val="Heading1"/>
      </w:pPr>
      <w:r>
        <w:t>第五章 核心能力聚焦</w:t>
      </w:r>
    </w:p>
    <w:p>
      <w:r>
        <w:t>自研5模块(155人日)：多协议适配器(60)、主数据联动接口(30)、湖仓接口(25)、A11点位导出(20)、OWL本体编译(20)。开源支撑4项：MQTT Broker/Kafka/TDengine/Vue3。外协3项(40-55人日)。剔除：BI报表/移动APP/AI训练/工单管理/视频分析。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迪格(杭州)物联科技有限公司 | 机密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持续数据采集管理技术服务 - 技术方案应答书 V3.0（含文献支撑）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