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C7973">
      <w:pPr>
        <w:ind w:left="0" w:leftChars="0" w:firstLine="0" w:firstLineChars="0"/>
        <w:jc w:val="center"/>
        <w:rPr>
          <w:rFonts w:hint="eastAsia" w:eastAsia="黑体" w:cs="黑体"/>
          <w:b/>
          <w:bCs/>
          <w:color w:val="auto"/>
          <w:sz w:val="32"/>
          <w:szCs w:val="36"/>
          <w:highlight w:val="none"/>
        </w:rPr>
      </w:pPr>
      <w:r>
        <w:rPr>
          <w:color w:val="auto"/>
          <w:highlight w:val="none"/>
        </w:rPr>
        <mc:AlternateContent>
          <mc:Choice Requires="wps">
            <w:drawing>
              <wp:anchor distT="45720" distB="45720" distL="114300" distR="114300" simplePos="0" relativeHeight="251660288" behindDoc="0" locked="0" layoutInCell="1" allowOverlap="1">
                <wp:simplePos x="0" y="0"/>
                <wp:positionH relativeFrom="column">
                  <wp:posOffset>4059555</wp:posOffset>
                </wp:positionH>
                <wp:positionV relativeFrom="paragraph">
                  <wp:posOffset>-494665</wp:posOffset>
                </wp:positionV>
                <wp:extent cx="1808480" cy="388620"/>
                <wp:effectExtent l="4445" t="4445" r="15875" b="6985"/>
                <wp:wrapSquare wrapText="bothSides"/>
                <wp:docPr id="1" name="文本框 2"/>
                <wp:cNvGraphicFramePr/>
                <a:graphic xmlns:a="http://schemas.openxmlformats.org/drawingml/2006/main">
                  <a:graphicData uri="http://schemas.microsoft.com/office/word/2010/wordprocessingShape">
                    <wps:wsp>
                      <wps:cNvSpPr txBox="1"/>
                      <wps:spPr>
                        <a:xfrm>
                          <a:off x="0" y="0"/>
                          <a:ext cx="1808480" cy="388620"/>
                        </a:xfrm>
                        <a:prstGeom prst="rect">
                          <a:avLst/>
                        </a:prstGeom>
                        <a:solidFill>
                          <a:srgbClr val="FFFFFF"/>
                        </a:solidFill>
                        <a:ln w="3175" cap="flat" cmpd="sng">
                          <a:solidFill>
                            <a:srgbClr val="E7E6E6"/>
                          </a:solidFill>
                          <a:prstDash val="solid"/>
                          <a:miter/>
                          <a:headEnd type="none" w="med" len="med"/>
                          <a:tailEnd type="none" w="med" len="med"/>
                        </a:ln>
                        <a:effectLst/>
                      </wps:spPr>
                      <wps:txbx>
                        <w:txbxContent>
                          <w:p w14:paraId="089C7FE0">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wps:txbx>
                      <wps:bodyPr vert="horz" wrap="square" anchor="t" anchorCtr="0" upright="1"/>
                    </wps:wsp>
                  </a:graphicData>
                </a:graphic>
              </wp:anchor>
            </w:drawing>
          </mc:Choice>
          <mc:Fallback>
            <w:pict>
              <v:shape id="文本框 2" o:spid="_x0000_s1026" o:spt="202" type="#_x0000_t202" style="position:absolute;left:0pt;margin-left:319.65pt;margin-top:-38.95pt;height:30.6pt;width:142.4pt;mso-wrap-distance-bottom:3.6pt;mso-wrap-distance-left:9pt;mso-wrap-distance-right:9pt;mso-wrap-distance-top:3.6pt;z-index:251660288;mso-width-relative:page;mso-height-relative:page;" fillcolor="#FFFFFF" filled="t" stroked="t" coordsize="21600,21600" o:gfxdata="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h0yZjcAAAACwEAAA8AAAAAAAAAAQAgAAAAIgAAAGRycy9kb3ducmV2&#10;LnhtbFBLAQIUABQAAAAIAIdO4kCYxfKBMQIAAHcEAAAOAAAAAAAAAAEAIAAAACsBAABkcnMvZTJv&#10;RG9jLnhtbFBLBQYAAAAABgAGAFkBAADOBQAAAAA=&#10;">
                <v:fill on="t" focussize="0,0"/>
                <v:stroke weight="0.25pt" color="#E7E6E6" joinstyle="miter"/>
                <v:imagedata o:title=""/>
                <o:lock v:ext="edit" aspectratio="f"/>
                <v:textbox>
                  <w:txbxContent>
                    <w:p w14:paraId="089C7FE0">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v:textbox>
                <w10:wrap type="square"/>
              </v:shape>
            </w:pict>
          </mc:Fallback>
        </mc:AlternateContent>
      </w:r>
      <w:r>
        <w:rPr>
          <w:rFonts w:hint="eastAsia" w:eastAsia="黑体" w:cs="黑体"/>
          <w:b/>
          <w:bCs/>
          <w:color w:val="auto"/>
          <w:sz w:val="32"/>
          <w:szCs w:val="36"/>
          <w:highlight w:val="none"/>
        </w:rPr>
        <w:t>大庆油田有限责任公司</w:t>
      </w:r>
    </w:p>
    <w:p w14:paraId="34BCF10C">
      <w:pPr>
        <w:jc w:val="center"/>
        <w:rPr>
          <w:rFonts w:eastAsia="黑体"/>
          <w:b/>
          <w:bCs/>
          <w:color w:val="auto"/>
          <w:sz w:val="44"/>
          <w:szCs w:val="44"/>
          <w:highlight w:val="none"/>
        </w:rPr>
      </w:pPr>
      <w:r>
        <w:rPr>
          <w:rFonts w:hint="eastAsia" w:eastAsia="黑体" w:cs="黑体"/>
          <w:b/>
          <w:bCs/>
          <w:color w:val="auto"/>
          <w:sz w:val="36"/>
          <w:szCs w:val="36"/>
          <w:highlight w:val="none"/>
        </w:rPr>
        <w:t>数字和信息化技术服务</w:t>
      </w:r>
      <w:r>
        <w:rPr>
          <w:rFonts w:hint="eastAsia" w:ascii="黑体" w:eastAsia="黑体" w:cs="黑体"/>
          <w:b/>
          <w:bCs/>
          <w:color w:val="auto"/>
          <w:sz w:val="36"/>
          <w:szCs w:val="36"/>
          <w:highlight w:val="none"/>
        </w:rPr>
        <w:t>项目审批表</w:t>
      </w:r>
    </w:p>
    <w:p w14:paraId="7EEBC4DD">
      <w:pPr>
        <w:keepNext w:val="0"/>
        <w:keepLines w:val="0"/>
        <w:pageBreakBefore w:val="0"/>
        <w:widowControl w:val="0"/>
        <w:kinsoku/>
        <w:wordWrap/>
        <w:overflowPunct/>
        <w:topLinePunct w:val="0"/>
        <w:autoSpaceDE/>
        <w:autoSpaceDN/>
        <w:bidi w:val="0"/>
        <w:spacing w:line="240" w:lineRule="atLeast"/>
        <w:ind w:left="0" w:leftChars="0" w:firstLine="0" w:firstLineChars="0"/>
        <w:rPr>
          <w:rFonts w:eastAsia="黑体" w:cs="黑体"/>
          <w:color w:val="auto"/>
          <w:sz w:val="28"/>
          <w:szCs w:val="28"/>
          <w:highlight w:val="none"/>
        </w:rPr>
      </w:pPr>
      <w:r>
        <w:rPr>
          <w:rFonts w:hint="eastAsia" w:eastAsia="黑体" w:cs="黑体"/>
          <w:color w:val="auto"/>
          <w:sz w:val="28"/>
          <w:szCs w:val="28"/>
          <w:highlight w:val="none"/>
        </w:rPr>
        <w:t>申请单位：</w:t>
      </w:r>
      <w:r>
        <w:rPr>
          <w:rFonts w:hint="eastAsia" w:ascii="黑体" w:hAnsi="黑体" w:eastAsia="黑体" w:cs="黑体"/>
          <w:color w:val="auto"/>
          <w:sz w:val="28"/>
          <w:szCs w:val="28"/>
          <w:highlight w:val="none"/>
        </w:rPr>
        <w:t>大庆油田数智技术公司</w:t>
      </w:r>
      <w:r>
        <w:rPr>
          <w:rFonts w:hint="eastAsia" w:ascii="黑体" w:hAnsi="黑体" w:eastAsia="黑体" w:cs="黑体"/>
          <w:color w:val="auto"/>
          <w:sz w:val="28"/>
          <w:szCs w:val="28"/>
          <w:highlight w:val="none"/>
          <w:lang w:val="en-US" w:eastAsia="zh-CN"/>
        </w:rPr>
        <w:t xml:space="preserve">         </w:t>
      </w:r>
      <w:r>
        <w:rPr>
          <w:rFonts w:hint="eastAsia" w:eastAsia="黑体" w:cs="黑体"/>
          <w:color w:val="auto"/>
          <w:sz w:val="28"/>
          <w:szCs w:val="28"/>
          <w:highlight w:val="none"/>
        </w:rPr>
        <w:t>填报时间：</w:t>
      </w:r>
      <w:r>
        <w:rPr>
          <w:rFonts w:hint="eastAsia" w:eastAsia="黑体" w:cs="黑体"/>
          <w:color w:val="auto"/>
          <w:sz w:val="28"/>
          <w:szCs w:val="28"/>
          <w:highlight w:val="none"/>
          <w:lang w:val="en-US" w:eastAsia="zh-CN"/>
        </w:rPr>
        <w:t>2026</w:t>
      </w:r>
      <w:r>
        <w:rPr>
          <w:rFonts w:hint="eastAsia" w:eastAsia="黑体" w:cs="黑体"/>
          <w:color w:val="auto"/>
          <w:sz w:val="28"/>
          <w:szCs w:val="28"/>
          <w:highlight w:val="none"/>
        </w:rPr>
        <w:t>年</w:t>
      </w:r>
      <w:r>
        <w:rPr>
          <w:rFonts w:hint="eastAsia" w:eastAsia="黑体" w:cs="黑体"/>
          <w:color w:val="auto"/>
          <w:sz w:val="28"/>
          <w:szCs w:val="28"/>
          <w:highlight w:val="none"/>
          <w:lang w:val="en-US" w:eastAsia="zh-CN"/>
        </w:rPr>
        <w:t>6</w:t>
      </w:r>
      <w:r>
        <w:rPr>
          <w:rFonts w:hint="eastAsia" w:eastAsia="黑体" w:cs="黑体"/>
          <w:color w:val="auto"/>
          <w:sz w:val="28"/>
          <w:szCs w:val="28"/>
          <w:highlight w:val="none"/>
        </w:rPr>
        <w:t>月</w:t>
      </w:r>
      <w:r>
        <w:rPr>
          <w:rFonts w:hint="eastAsia" w:eastAsia="黑体" w:cs="黑体"/>
          <w:color w:val="auto"/>
          <w:sz w:val="28"/>
          <w:szCs w:val="28"/>
          <w:highlight w:val="none"/>
          <w:lang w:val="en-US" w:eastAsia="zh-CN"/>
        </w:rPr>
        <w:t>28</w:t>
      </w:r>
      <w:r>
        <w:rPr>
          <w:rFonts w:hint="eastAsia" w:eastAsia="黑体" w:cs="黑体"/>
          <w:color w:val="auto"/>
          <w:sz w:val="28"/>
          <w:szCs w:val="28"/>
          <w:highlight w:val="none"/>
        </w:rPr>
        <w:t>日</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2974"/>
        <w:gridCol w:w="182"/>
        <w:gridCol w:w="2129"/>
        <w:gridCol w:w="2690"/>
      </w:tblGrid>
      <w:tr w14:paraId="3A36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9288" w:type="dxa"/>
            <w:gridSpan w:val="5"/>
            <w:noWrap w:val="0"/>
            <w:vAlign w:val="center"/>
          </w:tcPr>
          <w:p w14:paraId="6C5D0E76">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项目名称：</w:t>
            </w:r>
            <w:r>
              <w:rPr>
                <w:rFonts w:hint="eastAsia" w:ascii="宋体" w:hAnsi="宋体" w:eastAsia="宋体" w:cs="宋体"/>
                <w:color w:val="auto"/>
                <w:sz w:val="24"/>
                <w:szCs w:val="24"/>
                <w:highlight w:val="none"/>
                <w:lang w:eastAsia="zh-CN"/>
              </w:rPr>
              <w:t>时序数据采集管理技术服务</w:t>
            </w:r>
          </w:p>
        </w:tc>
      </w:tr>
      <w:tr w14:paraId="1699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87" w:type="dxa"/>
            <w:gridSpan w:val="2"/>
            <w:noWrap w:val="0"/>
            <w:vAlign w:val="center"/>
          </w:tcPr>
          <w:p w14:paraId="2083E234">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含税估价（万元）：</w:t>
            </w:r>
            <w:r>
              <w:rPr>
                <w:rFonts w:hint="eastAsia" w:ascii="宋体" w:hAnsi="宋体" w:eastAsia="宋体" w:cs="宋体"/>
                <w:color w:val="auto"/>
                <w:sz w:val="22"/>
                <w:szCs w:val="22"/>
                <w:highlight w:val="none"/>
                <w:lang w:val="en-US" w:eastAsia="zh-CN"/>
              </w:rPr>
              <w:t>725.04</w:t>
            </w:r>
          </w:p>
        </w:tc>
        <w:tc>
          <w:tcPr>
            <w:tcW w:w="2311" w:type="dxa"/>
            <w:gridSpan w:val="2"/>
            <w:noWrap w:val="0"/>
            <w:vAlign w:val="center"/>
          </w:tcPr>
          <w:p w14:paraId="245AF3C0">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经办人：</w:t>
            </w:r>
            <w:r>
              <w:rPr>
                <w:rFonts w:hint="eastAsia" w:ascii="宋体" w:hAnsi="宋体" w:eastAsia="宋体" w:cs="宋体"/>
                <w:color w:val="auto"/>
                <w:sz w:val="22"/>
                <w:szCs w:val="22"/>
                <w:highlight w:val="none"/>
                <w:lang w:val="en-US" w:eastAsia="zh-CN"/>
              </w:rPr>
              <w:t>姜晓琳</w:t>
            </w:r>
          </w:p>
        </w:tc>
        <w:tc>
          <w:tcPr>
            <w:tcW w:w="2690" w:type="dxa"/>
            <w:noWrap w:val="0"/>
            <w:vAlign w:val="center"/>
          </w:tcPr>
          <w:p w14:paraId="5FF2F3B9">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座机：</w:t>
            </w:r>
          </w:p>
          <w:p w14:paraId="3EA85F76">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手机：</w:t>
            </w:r>
            <w:r>
              <w:rPr>
                <w:rFonts w:hint="eastAsia" w:ascii="宋体" w:hAnsi="宋体" w:eastAsia="宋体" w:cs="宋体"/>
                <w:color w:val="auto"/>
                <w:sz w:val="22"/>
                <w:szCs w:val="22"/>
                <w:highlight w:val="none"/>
                <w:lang w:val="en-US" w:eastAsia="zh-CN"/>
              </w:rPr>
              <w:t>15045889966</w:t>
            </w:r>
          </w:p>
        </w:tc>
      </w:tr>
      <w:tr w14:paraId="6038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2" w:hRule="atLeast"/>
          <w:jc w:val="center"/>
        </w:trPr>
        <w:tc>
          <w:tcPr>
            <w:tcW w:w="9288" w:type="dxa"/>
            <w:gridSpan w:val="5"/>
            <w:noWrap w:val="0"/>
            <w:vAlign w:val="top"/>
          </w:tcPr>
          <w:p w14:paraId="249D50EF">
            <w:pPr>
              <w:keepNext w:val="0"/>
              <w:keepLines w:val="0"/>
              <w:pageBreakBefore w:val="0"/>
              <w:widowControl w:val="0"/>
              <w:kinsoku/>
              <w:wordWrap/>
              <w:overflowPunct/>
              <w:topLinePunct w:val="0"/>
              <w:autoSpaceDE/>
              <w:autoSpaceDN/>
              <w:bidi w:val="0"/>
              <w:spacing w:line="240" w:lineRule="atLeast"/>
              <w:ind w:firstLine="0" w:firstLineChars="0"/>
              <w:rPr>
                <w:rFonts w:hint="eastAsia" w:ascii="宋体" w:hAnsi="宋体" w:eastAsia="宋体" w:cs="宋体"/>
                <w:color w:val="auto"/>
                <w:sz w:val="24"/>
                <w:szCs w:val="24"/>
                <w:highlight w:val="none"/>
              </w:rPr>
            </w:pPr>
            <w:r>
              <w:rPr>
                <w:rFonts w:hint="eastAsia" w:ascii="黑体" w:hAnsi="Times New Roman" w:eastAsia="黑体" w:cs="黑体"/>
                <w:color w:val="auto"/>
                <w:sz w:val="24"/>
                <w:szCs w:val="24"/>
                <w:highlight w:val="none"/>
              </w:rPr>
              <w:t>项目主要内容：</w:t>
            </w:r>
          </w:p>
          <w:p w14:paraId="7A6D3310">
            <w:pPr>
              <w:keepNext w:val="0"/>
              <w:keepLines w:val="0"/>
              <w:pageBreakBefore w:val="0"/>
              <w:widowControl w:val="0"/>
              <w:kinsoku/>
              <w:wordWrap/>
              <w:overflowPunct/>
              <w:topLinePunct w:val="0"/>
              <w:autoSpaceDE/>
              <w:autoSpaceDN/>
              <w:bidi w:val="0"/>
              <w:spacing w:line="240" w:lineRule="atLeast"/>
              <w:ind w:firstLine="640"/>
              <w:rPr>
                <w:rFonts w:hint="default"/>
                <w:lang w:val="en-US" w:eastAsia="zh-CN"/>
              </w:rPr>
            </w:pPr>
            <w:r>
              <w:rPr>
                <w:rFonts w:hint="eastAsia" w:ascii="宋体" w:hAnsi="宋体" w:eastAsia="宋体" w:cs="宋体"/>
                <w:i w:val="0"/>
                <w:iCs w:val="0"/>
                <w:caps w:val="0"/>
                <w:color w:val="auto"/>
                <w:spacing w:val="0"/>
                <w:sz w:val="24"/>
                <w:szCs w:val="24"/>
                <w:highlight w:val="none"/>
                <w:shd w:val="clear" w:color="auto" w:fill="auto"/>
                <w:lang w:eastAsia="zh-CN"/>
              </w:rPr>
              <w:t>油田已完成10万余口油水井、6000余座站场数字化改造，但A11统建系统采集频率低、无边缘流水计算、无逐井差异化调优、</w:t>
            </w:r>
            <w:r>
              <w:rPr>
                <w:rFonts w:hint="eastAsia" w:ascii="宋体" w:hAnsi="宋体" w:eastAsia="宋体" w:cs="宋体"/>
                <w:i w:val="0"/>
                <w:iCs w:val="0"/>
                <w:caps w:val="0"/>
                <w:color w:val="auto"/>
                <w:spacing w:val="0"/>
                <w:sz w:val="24"/>
                <w:szCs w:val="24"/>
                <w:highlight w:val="none"/>
                <w:shd w:val="clear" w:color="auto" w:fill="auto"/>
                <w:lang w:val="en-US" w:eastAsia="zh-CN"/>
              </w:rPr>
              <w:t>无法支撑智能化场景</w:t>
            </w:r>
            <w:r>
              <w:rPr>
                <w:rFonts w:hint="eastAsia" w:ascii="宋体" w:hAnsi="宋体" w:eastAsia="宋体" w:cs="宋体"/>
                <w:i w:val="0"/>
                <w:iCs w:val="0"/>
                <w:caps w:val="0"/>
                <w:color w:val="auto"/>
                <w:spacing w:val="0"/>
                <w:sz w:val="24"/>
                <w:szCs w:val="24"/>
                <w:highlight w:val="none"/>
                <w:shd w:val="clear" w:color="auto" w:fill="auto"/>
                <w:lang w:eastAsia="zh-CN"/>
              </w:rPr>
              <w:t>、不兼容国产化环境，瓶颈不在算法而在采集底座。本项目</w:t>
            </w:r>
            <w:r>
              <w:rPr>
                <w:rFonts w:hint="eastAsia" w:ascii="宋体" w:hAnsi="宋体" w:eastAsia="宋体" w:cs="宋体"/>
                <w:i w:val="0"/>
                <w:iCs w:val="0"/>
                <w:caps w:val="0"/>
                <w:color w:val="auto"/>
                <w:spacing w:val="0"/>
                <w:sz w:val="24"/>
                <w:szCs w:val="24"/>
                <w:highlight w:val="none"/>
                <w:shd w:val="clear" w:color="auto" w:fill="auto"/>
                <w:lang w:val="en-US" w:eastAsia="zh-CN"/>
              </w:rPr>
              <w:t>在</w:t>
            </w:r>
            <w:r>
              <w:rPr>
                <w:rFonts w:hint="eastAsia" w:ascii="宋体" w:hAnsi="宋体" w:eastAsia="宋体" w:cs="宋体"/>
                <w:i w:val="0"/>
                <w:iCs w:val="0"/>
                <w:caps w:val="0"/>
                <w:color w:val="auto"/>
                <w:spacing w:val="0"/>
                <w:sz w:val="24"/>
                <w:szCs w:val="24"/>
                <w:highlight w:val="none"/>
                <w:shd w:val="clear" w:color="auto" w:fill="auto"/>
                <w:lang w:eastAsia="zh-CN"/>
              </w:rPr>
              <w:t>不改A11、不改DTU、不换设备、</w:t>
            </w:r>
            <w:r>
              <w:rPr>
                <w:rFonts w:hint="eastAsia" w:ascii="宋体" w:hAnsi="宋体" w:eastAsia="宋体" w:cs="宋体"/>
                <w:i w:val="0"/>
                <w:iCs w:val="0"/>
                <w:caps w:val="0"/>
                <w:color w:val="auto"/>
                <w:spacing w:val="0"/>
                <w:sz w:val="24"/>
                <w:szCs w:val="24"/>
                <w:highlight w:val="none"/>
                <w:shd w:val="clear" w:color="auto" w:fill="auto"/>
                <w:lang w:val="en-US" w:eastAsia="zh-CN"/>
              </w:rPr>
              <w:t>不影响原业务的前提下</w:t>
            </w:r>
            <w:r>
              <w:rPr>
                <w:rFonts w:hint="eastAsia" w:ascii="宋体" w:hAnsi="宋体" w:eastAsia="宋体" w:cs="宋体"/>
                <w:i w:val="0"/>
                <w:iCs w:val="0"/>
                <w:caps w:val="0"/>
                <w:color w:val="auto"/>
                <w:spacing w:val="0"/>
                <w:sz w:val="24"/>
                <w:szCs w:val="24"/>
                <w:highlight w:val="none"/>
                <w:shd w:val="clear" w:color="auto" w:fill="auto"/>
                <w:lang w:eastAsia="zh-CN"/>
              </w:rPr>
              <w:t>，以路由监听双路采集新增独立高频链路，实现"A11管存量、本系统管增量"。核心工作为两大产品化引擎："采集策略多样化"（双路采集、动态调频、10家网关适配、断网补传）解决采不快不全的问题，"定制化流水计算"（</w:t>
            </w:r>
            <w:r>
              <w:rPr>
                <w:rFonts w:hint="eastAsia" w:ascii="宋体" w:hAnsi="宋体" w:eastAsia="宋体" w:cs="宋体"/>
                <w:i w:val="0"/>
                <w:iCs w:val="0"/>
                <w:caps w:val="0"/>
                <w:color w:val="auto"/>
                <w:spacing w:val="0"/>
                <w:sz w:val="24"/>
                <w:szCs w:val="24"/>
                <w:highlight w:val="none"/>
                <w:shd w:val="clear" w:color="auto" w:fill="auto"/>
                <w:lang w:val="en-US" w:eastAsia="zh-CN"/>
              </w:rPr>
              <w:t>前置多种</w:t>
            </w:r>
            <w:r>
              <w:rPr>
                <w:rFonts w:hint="eastAsia" w:ascii="宋体" w:hAnsi="宋体" w:eastAsia="宋体" w:cs="宋体"/>
                <w:i w:val="0"/>
                <w:iCs w:val="0"/>
                <w:caps w:val="0"/>
                <w:color w:val="auto"/>
                <w:spacing w:val="0"/>
                <w:sz w:val="24"/>
                <w:szCs w:val="24"/>
                <w:highlight w:val="none"/>
                <w:shd w:val="clear" w:color="auto" w:fill="auto"/>
                <w:lang w:eastAsia="zh-CN"/>
              </w:rPr>
              <w:t>流水计算、物模型驱动配点、四级告警闭环）解决告警慢、无边缘计算的</w:t>
            </w:r>
            <w:r>
              <w:rPr>
                <w:rFonts w:hint="eastAsia" w:ascii="宋体" w:hAnsi="宋体" w:eastAsia="宋体" w:cs="宋体"/>
                <w:i w:val="0"/>
                <w:iCs w:val="0"/>
                <w:caps w:val="0"/>
                <w:color w:val="auto"/>
                <w:spacing w:val="0"/>
                <w:sz w:val="24"/>
                <w:szCs w:val="24"/>
                <w:highlight w:val="none"/>
                <w:shd w:val="clear" w:color="auto" w:fill="auto"/>
                <w:lang w:val="en-US" w:eastAsia="zh-CN"/>
              </w:rPr>
              <w:t>核心</w:t>
            </w:r>
            <w:r>
              <w:rPr>
                <w:rFonts w:hint="eastAsia" w:ascii="宋体" w:hAnsi="宋体" w:eastAsia="宋体" w:cs="宋体"/>
                <w:i w:val="0"/>
                <w:iCs w:val="0"/>
                <w:caps w:val="0"/>
                <w:color w:val="auto"/>
                <w:spacing w:val="0"/>
                <w:sz w:val="24"/>
                <w:szCs w:val="24"/>
                <w:highlight w:val="none"/>
                <w:shd w:val="clear" w:color="auto" w:fill="auto"/>
                <w:lang w:eastAsia="zh-CN"/>
              </w:rPr>
              <w:t>问题，同步完成信创</w:t>
            </w:r>
            <w:r>
              <w:rPr>
                <w:rFonts w:hint="eastAsia" w:ascii="宋体" w:hAnsi="宋体" w:eastAsia="宋体" w:cs="宋体"/>
                <w:i w:val="0"/>
                <w:iCs w:val="0"/>
                <w:caps w:val="0"/>
                <w:color w:val="auto"/>
                <w:spacing w:val="0"/>
                <w:sz w:val="24"/>
                <w:szCs w:val="24"/>
                <w:highlight w:val="none"/>
                <w:shd w:val="clear" w:color="auto" w:fill="auto"/>
                <w:lang w:val="en-US" w:eastAsia="zh-CN"/>
              </w:rPr>
              <w:t>的</w:t>
            </w:r>
            <w:r>
              <w:rPr>
                <w:rFonts w:hint="eastAsia" w:ascii="宋体" w:hAnsi="宋体" w:eastAsia="宋体" w:cs="宋体"/>
                <w:i w:val="0"/>
                <w:iCs w:val="0"/>
                <w:caps w:val="0"/>
                <w:color w:val="auto"/>
                <w:spacing w:val="0"/>
                <w:sz w:val="24"/>
                <w:szCs w:val="24"/>
                <w:highlight w:val="none"/>
                <w:shd w:val="clear" w:color="auto" w:fill="auto"/>
                <w:lang w:eastAsia="zh-CN"/>
              </w:rPr>
              <w:t>全栈适配。</w:t>
            </w:r>
            <w:r>
              <w:rPr>
                <w:rFonts w:hint="eastAsia" w:ascii="宋体" w:hAnsi="宋体" w:eastAsia="宋体" w:cs="宋体"/>
                <w:i w:val="0"/>
                <w:iCs w:val="0"/>
                <w:caps w:val="0"/>
                <w:color w:val="auto"/>
                <w:spacing w:val="0"/>
                <w:sz w:val="24"/>
                <w:szCs w:val="24"/>
                <w:highlight w:val="none"/>
                <w:shd w:val="clear" w:color="auto" w:fill="auto"/>
                <w:lang w:val="en-US" w:eastAsia="zh-CN"/>
              </w:rPr>
              <w:t>且</w:t>
            </w:r>
            <w:r>
              <w:rPr>
                <w:rFonts w:hint="eastAsia" w:ascii="宋体" w:hAnsi="宋体" w:eastAsia="宋体" w:cs="宋体"/>
                <w:i w:val="0"/>
                <w:iCs w:val="0"/>
                <w:caps w:val="0"/>
                <w:color w:val="auto"/>
                <w:spacing w:val="0"/>
                <w:sz w:val="24"/>
                <w:szCs w:val="24"/>
                <w:highlight w:val="none"/>
                <w:shd w:val="clear" w:color="auto" w:fill="auto"/>
                <w:lang w:eastAsia="zh-CN"/>
              </w:rPr>
              <w:t>两大引擎</w:t>
            </w:r>
            <w:r>
              <w:rPr>
                <w:rFonts w:hint="eastAsia" w:ascii="宋体" w:hAnsi="宋体" w:eastAsia="宋体" w:cs="宋体"/>
                <w:i w:val="0"/>
                <w:iCs w:val="0"/>
                <w:caps w:val="0"/>
                <w:color w:val="auto"/>
                <w:spacing w:val="0"/>
                <w:sz w:val="24"/>
                <w:szCs w:val="24"/>
                <w:highlight w:val="none"/>
                <w:shd w:val="clear" w:color="auto" w:fill="auto"/>
                <w:lang w:val="en-US" w:eastAsia="zh-CN"/>
              </w:rPr>
              <w:t>可实现</w:t>
            </w:r>
            <w:r>
              <w:rPr>
                <w:rFonts w:hint="eastAsia" w:ascii="宋体" w:hAnsi="宋体" w:eastAsia="宋体" w:cs="宋体"/>
                <w:i w:val="0"/>
                <w:iCs w:val="0"/>
                <w:caps w:val="0"/>
                <w:color w:val="auto"/>
                <w:spacing w:val="0"/>
                <w:sz w:val="24"/>
                <w:szCs w:val="24"/>
                <w:highlight w:val="none"/>
                <w:shd w:val="clear" w:color="auto" w:fill="auto"/>
                <w:lang w:eastAsia="zh-CN"/>
              </w:rPr>
              <w:t>一次开发多项目复用，</w:t>
            </w:r>
            <w:r>
              <w:rPr>
                <w:rFonts w:hint="eastAsia" w:ascii="宋体" w:hAnsi="宋体" w:eastAsia="宋体" w:cs="宋体"/>
                <w:i w:val="0"/>
                <w:iCs w:val="0"/>
                <w:caps w:val="0"/>
                <w:color w:val="auto"/>
                <w:spacing w:val="0"/>
                <w:sz w:val="24"/>
                <w:szCs w:val="24"/>
                <w:highlight w:val="none"/>
                <w:shd w:val="clear" w:color="auto" w:fill="auto"/>
                <w:lang w:val="en-US" w:eastAsia="zh-CN"/>
              </w:rPr>
              <w:t>逐步</w:t>
            </w:r>
            <w:r>
              <w:rPr>
                <w:rFonts w:hint="eastAsia" w:ascii="宋体" w:hAnsi="宋体" w:eastAsia="宋体" w:cs="宋体"/>
                <w:i w:val="0"/>
                <w:iCs w:val="0"/>
                <w:caps w:val="0"/>
                <w:color w:val="auto"/>
                <w:spacing w:val="0"/>
                <w:sz w:val="24"/>
                <w:szCs w:val="24"/>
                <w:highlight w:val="none"/>
                <w:shd w:val="clear" w:color="auto" w:fill="auto"/>
                <w:lang w:eastAsia="zh-CN"/>
              </w:rPr>
              <w:t>形成</w:t>
            </w:r>
            <w:r>
              <w:rPr>
                <w:rFonts w:hint="eastAsia" w:ascii="宋体" w:hAnsi="宋体" w:eastAsia="宋体" w:cs="宋体"/>
                <w:i w:val="0"/>
                <w:iCs w:val="0"/>
                <w:caps w:val="0"/>
                <w:color w:val="auto"/>
                <w:spacing w:val="0"/>
                <w:sz w:val="24"/>
                <w:szCs w:val="24"/>
                <w:highlight w:val="none"/>
                <w:shd w:val="clear" w:color="auto" w:fill="auto"/>
                <w:lang w:val="en-US" w:eastAsia="zh-CN"/>
              </w:rPr>
              <w:t>油田级的</w:t>
            </w:r>
            <w:r>
              <w:rPr>
                <w:rFonts w:hint="eastAsia" w:ascii="宋体" w:hAnsi="宋体" w:eastAsia="宋体" w:cs="宋体"/>
                <w:i w:val="0"/>
                <w:iCs w:val="0"/>
                <w:caps w:val="0"/>
                <w:color w:val="auto"/>
                <w:spacing w:val="0"/>
                <w:sz w:val="24"/>
                <w:szCs w:val="24"/>
                <w:highlight w:val="none"/>
                <w:shd w:val="clear" w:color="auto" w:fill="auto"/>
                <w:lang w:eastAsia="zh-CN"/>
              </w:rPr>
              <w:t>标准化时序采集</w:t>
            </w:r>
            <w:r>
              <w:rPr>
                <w:rFonts w:hint="eastAsia" w:ascii="宋体" w:hAnsi="宋体" w:eastAsia="宋体" w:cs="宋体"/>
                <w:i w:val="0"/>
                <w:iCs w:val="0"/>
                <w:caps w:val="0"/>
                <w:color w:val="auto"/>
                <w:spacing w:val="0"/>
                <w:sz w:val="24"/>
                <w:szCs w:val="24"/>
                <w:highlight w:val="none"/>
                <w:shd w:val="clear" w:color="auto" w:fill="auto"/>
                <w:lang w:val="en-US" w:eastAsia="zh-CN"/>
              </w:rPr>
              <w:t>级管理</w:t>
            </w:r>
            <w:r>
              <w:rPr>
                <w:rFonts w:hint="eastAsia" w:ascii="宋体" w:hAnsi="宋体" w:eastAsia="宋体" w:cs="宋体"/>
                <w:i w:val="0"/>
                <w:iCs w:val="0"/>
                <w:caps w:val="0"/>
                <w:color w:val="auto"/>
                <w:spacing w:val="0"/>
                <w:sz w:val="24"/>
                <w:szCs w:val="24"/>
                <w:highlight w:val="none"/>
                <w:shd w:val="clear" w:color="auto" w:fill="auto"/>
                <w:lang w:eastAsia="zh-CN"/>
              </w:rPr>
              <w:t>体系，</w:t>
            </w:r>
            <w:r>
              <w:rPr>
                <w:rFonts w:hint="eastAsia" w:ascii="宋体" w:hAnsi="宋体" w:eastAsia="宋体" w:cs="宋体"/>
                <w:i w:val="0"/>
                <w:iCs w:val="0"/>
                <w:caps w:val="0"/>
                <w:color w:val="auto"/>
                <w:spacing w:val="0"/>
                <w:sz w:val="24"/>
                <w:szCs w:val="24"/>
                <w:highlight w:val="none"/>
                <w:shd w:val="clear" w:color="auto" w:fill="auto"/>
                <w:lang w:val="en-US" w:eastAsia="zh-CN"/>
              </w:rPr>
              <w:t>未来</w:t>
            </w:r>
            <w:r>
              <w:rPr>
                <w:rFonts w:hint="eastAsia" w:ascii="宋体" w:hAnsi="宋体" w:eastAsia="宋体" w:cs="宋体"/>
                <w:i w:val="0"/>
                <w:iCs w:val="0"/>
                <w:caps w:val="0"/>
                <w:color w:val="auto"/>
                <w:spacing w:val="0"/>
                <w:sz w:val="24"/>
                <w:szCs w:val="24"/>
                <w:highlight w:val="none"/>
                <w:shd w:val="clear" w:color="auto" w:fill="auto"/>
                <w:lang w:eastAsia="zh-CN"/>
              </w:rPr>
              <w:t>可</w:t>
            </w:r>
            <w:r>
              <w:rPr>
                <w:rFonts w:hint="eastAsia" w:ascii="宋体" w:hAnsi="宋体" w:eastAsia="宋体" w:cs="宋体"/>
                <w:i w:val="0"/>
                <w:iCs w:val="0"/>
                <w:caps w:val="0"/>
                <w:color w:val="auto"/>
                <w:spacing w:val="0"/>
                <w:sz w:val="24"/>
                <w:szCs w:val="24"/>
                <w:highlight w:val="none"/>
                <w:shd w:val="clear" w:color="auto" w:fill="auto"/>
                <w:lang w:val="en-US" w:eastAsia="zh-CN"/>
              </w:rPr>
              <w:t>无缝</w:t>
            </w:r>
            <w:r>
              <w:rPr>
                <w:rFonts w:hint="eastAsia" w:ascii="宋体" w:hAnsi="宋体" w:eastAsia="宋体" w:cs="宋体"/>
                <w:i w:val="0"/>
                <w:iCs w:val="0"/>
                <w:caps w:val="0"/>
                <w:color w:val="auto"/>
                <w:spacing w:val="0"/>
                <w:sz w:val="24"/>
                <w:szCs w:val="24"/>
                <w:highlight w:val="none"/>
                <w:shd w:val="clear" w:color="auto" w:fill="auto"/>
                <w:lang w:eastAsia="zh-CN"/>
              </w:rPr>
              <w:t>延伸至工程技术、新能源、安全环保等领域。</w:t>
            </w:r>
          </w:p>
        </w:tc>
      </w:tr>
      <w:tr w14:paraId="5F93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9288" w:type="dxa"/>
            <w:gridSpan w:val="5"/>
            <w:noWrap w:val="0"/>
            <w:vAlign w:val="center"/>
          </w:tcPr>
          <w:p w14:paraId="37FBD8B1">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是否对外委托：</w:t>
            </w:r>
            <w:r>
              <w:rPr>
                <w:rFonts w:hint="eastAsia" w:ascii="宋体" w:hAnsi="宋体" w:eastAsia="宋体" w:cs="宋体"/>
                <w:color w:val="auto"/>
                <w:sz w:val="24"/>
                <w:szCs w:val="24"/>
                <w:highlight w:val="none"/>
                <w:lang w:val="en-US" w:eastAsia="zh-CN"/>
              </w:rPr>
              <w:t>是</w:t>
            </w:r>
          </w:p>
        </w:tc>
      </w:tr>
      <w:tr w14:paraId="30C0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atLeast"/>
          <w:jc w:val="center"/>
        </w:trPr>
        <w:tc>
          <w:tcPr>
            <w:tcW w:w="1313" w:type="dxa"/>
            <w:noWrap w:val="0"/>
            <w:vAlign w:val="center"/>
          </w:tcPr>
          <w:p w14:paraId="37DDE6A9">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资金来源：</w:t>
            </w:r>
          </w:p>
        </w:tc>
        <w:tc>
          <w:tcPr>
            <w:tcW w:w="7975" w:type="dxa"/>
            <w:gridSpan w:val="4"/>
            <w:noWrap w:val="0"/>
            <w:vAlign w:val="center"/>
          </w:tcPr>
          <w:p w14:paraId="37840C0F">
            <w:pPr>
              <w:keepNext w:val="0"/>
              <w:keepLines w:val="0"/>
              <w:pageBreakBefore w:val="0"/>
              <w:widowControl w:val="0"/>
              <w:kinsoku/>
              <w:wordWrap/>
              <w:overflowPunct/>
              <w:topLinePunct w:val="0"/>
              <w:autoSpaceDE/>
              <w:autoSpaceDN/>
              <w:bidi w:val="0"/>
              <w:spacing w:line="240" w:lineRule="atLeas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自筹</w:t>
            </w:r>
          </w:p>
        </w:tc>
      </w:tr>
      <w:tr w14:paraId="2C67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39" w:hRule="atLeast"/>
          <w:jc w:val="center"/>
        </w:trPr>
        <w:tc>
          <w:tcPr>
            <w:tcW w:w="4469" w:type="dxa"/>
            <w:gridSpan w:val="3"/>
            <w:noWrap w:val="0"/>
            <w:vAlign w:val="top"/>
          </w:tcPr>
          <w:p w14:paraId="65EAFED7">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申请单位信息业务管理部门意见：</w:t>
            </w:r>
          </w:p>
          <w:p w14:paraId="76133FBD">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5AF98D61">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08B0AA54">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41AEBED1">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c>
          <w:tcPr>
            <w:tcW w:w="4819" w:type="dxa"/>
            <w:gridSpan w:val="2"/>
            <w:noWrap w:val="0"/>
            <w:vAlign w:val="top"/>
          </w:tcPr>
          <w:p w14:paraId="2B1EC70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申请单位财务资产部意见：</w:t>
            </w:r>
          </w:p>
          <w:p w14:paraId="00FC3FE2">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1B65973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348F2E28">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7CC5236F">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r>
      <w:tr w14:paraId="2550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1" w:hRule="atLeast"/>
          <w:jc w:val="center"/>
        </w:trPr>
        <w:tc>
          <w:tcPr>
            <w:tcW w:w="9288" w:type="dxa"/>
            <w:gridSpan w:val="5"/>
            <w:noWrap w:val="0"/>
            <w:vAlign w:val="top"/>
          </w:tcPr>
          <w:p w14:paraId="2EC10972">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申请单位意见：</w:t>
            </w:r>
          </w:p>
          <w:p w14:paraId="2D81146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p>
          <w:p w14:paraId="213E453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[此处留白无需签字盖章]</w:t>
            </w:r>
          </w:p>
          <w:p w14:paraId="4B8CFD2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0CD2A98C">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r>
      <w:tr w14:paraId="1A1C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5" w:hRule="atLeast"/>
          <w:jc w:val="center"/>
        </w:trPr>
        <w:tc>
          <w:tcPr>
            <w:tcW w:w="9288" w:type="dxa"/>
            <w:gridSpan w:val="5"/>
            <w:noWrap w:val="0"/>
            <w:vAlign w:val="center"/>
          </w:tcPr>
          <w:p w14:paraId="6F975D3B">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油田公司科技信息部审批意见：</w:t>
            </w:r>
          </w:p>
          <w:p w14:paraId="5D90DDEF">
            <w:pPr>
              <w:keepNext w:val="0"/>
              <w:keepLines w:val="0"/>
              <w:pageBreakBefore w:val="0"/>
              <w:widowControl w:val="0"/>
              <w:kinsoku/>
              <w:wordWrap w:val="0"/>
              <w:overflowPunct/>
              <w:topLinePunct w:val="0"/>
              <w:autoSpaceDE/>
              <w:autoSpaceDN/>
              <w:bidi w:val="0"/>
              <w:spacing w:line="240" w:lineRule="atLeast"/>
              <w:ind w:left="0" w:leftChars="0" w:firstLine="0" w:firstLineChars="0"/>
              <w:jc w:val="right"/>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审批人:</w:t>
            </w:r>
          </w:p>
          <w:p w14:paraId="64C9C9F0">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4E398BE8">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(盖章)</w:t>
            </w:r>
          </w:p>
          <w:p w14:paraId="613F235D">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年　月　日</w:t>
            </w:r>
          </w:p>
        </w:tc>
      </w:tr>
    </w:tbl>
    <w:p w14:paraId="131FD414">
      <w:pPr>
        <w:keepNext w:val="0"/>
        <w:keepLines w:val="0"/>
        <w:pageBreakBefore w:val="0"/>
        <w:widowControl/>
        <w:kinsoku/>
        <w:wordWrap/>
        <w:overflowPunct/>
        <w:topLinePunct w:val="0"/>
        <w:autoSpaceDE/>
        <w:autoSpaceDN/>
        <w:bidi w:val="0"/>
        <w:adjustRightInd w:val="0"/>
        <w:snapToGrid w:val="0"/>
        <w:spacing w:line="240" w:lineRule="auto"/>
        <w:ind w:right="46" w:firstLine="0" w:firstLineChars="0"/>
        <w:jc w:val="left"/>
        <w:textAlignment w:val="bottom"/>
        <w:rPr>
          <w:rFonts w:hint="eastAsia" w:ascii="宋体" w:eastAsia="宋体" w:cs="宋体"/>
          <w:color w:val="auto"/>
          <w:sz w:val="21"/>
          <w:highlight w:val="none"/>
        </w:rPr>
      </w:pPr>
      <w:r>
        <w:rPr>
          <w:rFonts w:hint="eastAsia" w:ascii="宋体" w:eastAsia="宋体" w:cs="宋体"/>
          <w:color w:val="auto"/>
          <w:sz w:val="21"/>
          <w:highlight w:val="none"/>
        </w:rPr>
        <w:t>附：项目明细表、论证报告</w:t>
      </w:r>
    </w:p>
    <w:p w14:paraId="7EEAFFD1">
      <w:pPr>
        <w:adjustRightInd w:val="0"/>
        <w:snapToGrid w:val="0"/>
        <w:ind w:right="46"/>
        <w:jc w:val="left"/>
        <w:textAlignment w:val="bottom"/>
        <w:rPr>
          <w:rFonts w:ascii="宋体" w:cs="宋体"/>
          <w:color w:val="auto"/>
          <w:sz w:val="24"/>
          <w:szCs w:val="24"/>
          <w:highlight w:val="none"/>
        </w:rPr>
      </w:pPr>
      <w:r>
        <w:rPr>
          <w:rFonts w:hint="eastAsia" w:ascii="宋体" w:cs="宋体"/>
          <w:color w:val="auto"/>
          <w:sz w:val="22"/>
          <w:szCs w:val="24"/>
          <w:highlight w:val="none"/>
        </w:rPr>
        <w:br w:type="page"/>
      </w:r>
      <w:r>
        <w:rPr>
          <w:rFonts w:hint="eastAsia" w:ascii="宋体" w:cs="宋体"/>
          <w:color w:val="auto"/>
          <w:sz w:val="24"/>
          <w:szCs w:val="28"/>
          <w:highlight w:val="none"/>
        </w:rPr>
        <w:t>附</w:t>
      </w:r>
      <w:r>
        <w:rPr>
          <w:rFonts w:ascii="宋体" w:cs="宋体"/>
          <w:color w:val="auto"/>
          <w:sz w:val="24"/>
          <w:szCs w:val="28"/>
          <w:highlight w:val="none"/>
        </w:rPr>
        <w:t>1</w:t>
      </w:r>
      <w:r>
        <w:rPr>
          <w:rFonts w:hint="eastAsia" w:ascii="宋体" w:cs="宋体"/>
          <w:color w:val="auto"/>
          <w:sz w:val="28"/>
          <w:szCs w:val="28"/>
          <w:highlight w:val="none"/>
        </w:rPr>
        <w:t>：</w:t>
      </w:r>
    </w:p>
    <w:p w14:paraId="2894E1FA">
      <w:pPr>
        <w:jc w:val="center"/>
        <w:rPr>
          <w:rFonts w:hint="eastAsia" w:ascii="黑体" w:eastAsia="黑体" w:cs="黑体"/>
          <w:color w:val="auto"/>
          <w:sz w:val="36"/>
          <w:szCs w:val="36"/>
          <w:highlight w:val="none"/>
        </w:rPr>
      </w:pPr>
      <w:r>
        <w:rPr>
          <w:rFonts w:hint="eastAsia" w:ascii="黑体" w:eastAsia="黑体" w:cs="黑体"/>
          <w:color w:val="auto"/>
          <w:sz w:val="36"/>
          <w:szCs w:val="36"/>
          <w:highlight w:val="none"/>
        </w:rPr>
        <w:t>信息</w:t>
      </w:r>
      <w:r>
        <w:rPr>
          <w:rFonts w:hint="eastAsia" w:ascii="黑体" w:eastAsia="黑体" w:cs="黑体"/>
          <w:color w:val="000000" w:themeColor="text1"/>
          <w:sz w:val="36"/>
          <w:szCs w:val="36"/>
          <w:highlight w:val="none"/>
          <w14:textFill>
            <w14:solidFill>
              <w14:schemeClr w14:val="tx1"/>
            </w14:solidFill>
          </w14:textFill>
        </w:rPr>
        <w:t>技术服务项</w:t>
      </w:r>
      <w:r>
        <w:rPr>
          <w:rFonts w:hint="eastAsia" w:ascii="黑体" w:eastAsia="黑体" w:cs="黑体"/>
          <w:color w:val="auto"/>
          <w:sz w:val="36"/>
          <w:szCs w:val="36"/>
          <w:highlight w:val="none"/>
        </w:rPr>
        <w:t>目明细表</w:t>
      </w:r>
    </w:p>
    <w:tbl>
      <w:tblPr>
        <w:tblStyle w:val="23"/>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8"/>
        <w:gridCol w:w="1406"/>
        <w:gridCol w:w="746"/>
        <w:gridCol w:w="4828"/>
        <w:gridCol w:w="1532"/>
      </w:tblGrid>
      <w:tr w14:paraId="47A67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9" w:hRule="atLeast"/>
        </w:trPr>
        <w:tc>
          <w:tcPr>
            <w:tcW w:w="458" w:type="dxa"/>
            <w:vMerge w:val="restart"/>
            <w:tcBorders>
              <w:top w:val="single" w:color="000000" w:sz="8" w:space="0"/>
              <w:left w:val="single" w:color="000000" w:sz="8" w:space="0"/>
              <w:bottom w:val="single" w:color="000000" w:sz="8" w:space="0"/>
              <w:right w:val="single" w:color="000000" w:sz="8" w:space="0"/>
            </w:tcBorders>
            <w:noWrap w:val="0"/>
            <w:vAlign w:val="center"/>
          </w:tcPr>
          <w:p w14:paraId="63A14963">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序号</w:t>
            </w:r>
          </w:p>
        </w:tc>
        <w:tc>
          <w:tcPr>
            <w:tcW w:w="1406" w:type="dxa"/>
            <w:vMerge w:val="restart"/>
            <w:tcBorders>
              <w:top w:val="single" w:color="000000" w:sz="8" w:space="0"/>
              <w:left w:val="single" w:color="000000" w:sz="8" w:space="0"/>
              <w:bottom w:val="single" w:color="000000" w:sz="8" w:space="0"/>
              <w:right w:val="single" w:color="000000" w:sz="8" w:space="0"/>
            </w:tcBorders>
            <w:noWrap w:val="0"/>
            <w:vAlign w:val="center"/>
          </w:tcPr>
          <w:p w14:paraId="3F31644E">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服务名称</w:t>
            </w:r>
          </w:p>
        </w:tc>
        <w:tc>
          <w:tcPr>
            <w:tcW w:w="746" w:type="dxa"/>
            <w:vMerge w:val="restart"/>
            <w:tcBorders>
              <w:top w:val="single" w:color="000000" w:sz="8" w:space="0"/>
              <w:left w:val="single" w:color="000000" w:sz="8" w:space="0"/>
              <w:bottom w:val="single" w:color="000000" w:sz="8" w:space="0"/>
              <w:right w:val="single" w:color="000000" w:sz="8" w:space="0"/>
            </w:tcBorders>
            <w:noWrap w:val="0"/>
            <w:vAlign w:val="center"/>
          </w:tcPr>
          <w:p w14:paraId="4DFE3439">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服务类别</w:t>
            </w:r>
          </w:p>
        </w:tc>
        <w:tc>
          <w:tcPr>
            <w:tcW w:w="4828" w:type="dxa"/>
            <w:vMerge w:val="restart"/>
            <w:tcBorders>
              <w:top w:val="single" w:color="000000" w:sz="8" w:space="0"/>
              <w:left w:val="single" w:color="000000" w:sz="8" w:space="0"/>
              <w:bottom w:val="single" w:color="000000" w:sz="8" w:space="0"/>
              <w:right w:val="single" w:color="000000" w:sz="8" w:space="0"/>
            </w:tcBorders>
            <w:noWrap w:val="0"/>
            <w:vAlign w:val="center"/>
          </w:tcPr>
          <w:p w14:paraId="59C3F552">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服务内容简介</w:t>
            </w:r>
          </w:p>
        </w:tc>
        <w:tc>
          <w:tcPr>
            <w:tcW w:w="1532" w:type="dxa"/>
            <w:tcBorders>
              <w:top w:val="single" w:color="000000" w:sz="8" w:space="0"/>
              <w:left w:val="single" w:color="000000" w:sz="8" w:space="0"/>
              <w:bottom w:val="nil"/>
              <w:right w:val="single" w:color="000000" w:sz="8" w:space="0"/>
            </w:tcBorders>
            <w:noWrap w:val="0"/>
            <w:vAlign w:val="center"/>
          </w:tcPr>
          <w:p w14:paraId="6376F544">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含税估价</w:t>
            </w:r>
          </w:p>
        </w:tc>
      </w:tr>
      <w:tr w14:paraId="1CC56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458" w:type="dxa"/>
            <w:vMerge w:val="continue"/>
            <w:tcBorders>
              <w:top w:val="single" w:color="000000" w:sz="8" w:space="0"/>
              <w:left w:val="single" w:color="000000" w:sz="8" w:space="0"/>
              <w:bottom w:val="single" w:color="000000" w:sz="8" w:space="0"/>
              <w:right w:val="single" w:color="000000" w:sz="8" w:space="0"/>
            </w:tcBorders>
            <w:noWrap w:val="0"/>
            <w:vAlign w:val="center"/>
          </w:tcPr>
          <w:p w14:paraId="443951E0">
            <w:pPr>
              <w:spacing w:before="120" w:after="120" w:line="240" w:lineRule="auto"/>
              <w:ind w:firstLine="0" w:firstLineChars="0"/>
              <w:jc w:val="center"/>
              <w:rPr>
                <w:rFonts w:hint="eastAsia" w:ascii="宋体" w:eastAsia="宋体" w:cs="宋体"/>
                <w:color w:val="auto"/>
                <w:sz w:val="24"/>
                <w:szCs w:val="24"/>
                <w:highlight w:val="none"/>
                <w:lang w:val="en-US" w:eastAsia="zh-CN"/>
              </w:rPr>
            </w:pPr>
          </w:p>
        </w:tc>
        <w:tc>
          <w:tcPr>
            <w:tcW w:w="1406" w:type="dxa"/>
            <w:vMerge w:val="continue"/>
            <w:tcBorders>
              <w:top w:val="single" w:color="000000" w:sz="8" w:space="0"/>
              <w:left w:val="single" w:color="000000" w:sz="8" w:space="0"/>
              <w:bottom w:val="single" w:color="000000" w:sz="8" w:space="0"/>
              <w:right w:val="single" w:color="000000" w:sz="8" w:space="0"/>
            </w:tcBorders>
            <w:noWrap w:val="0"/>
            <w:vAlign w:val="center"/>
          </w:tcPr>
          <w:p w14:paraId="35483AA3">
            <w:pPr>
              <w:spacing w:before="120" w:after="120" w:line="240" w:lineRule="auto"/>
              <w:ind w:firstLine="0" w:firstLineChars="0"/>
              <w:jc w:val="center"/>
              <w:rPr>
                <w:rFonts w:hint="eastAsia" w:ascii="宋体" w:eastAsia="宋体" w:cs="宋体"/>
                <w:color w:val="auto"/>
                <w:sz w:val="24"/>
                <w:szCs w:val="24"/>
                <w:highlight w:val="none"/>
                <w:lang w:val="en-US" w:eastAsia="zh-CN"/>
              </w:rPr>
            </w:pPr>
          </w:p>
        </w:tc>
        <w:tc>
          <w:tcPr>
            <w:tcW w:w="746" w:type="dxa"/>
            <w:vMerge w:val="continue"/>
            <w:tcBorders>
              <w:top w:val="single" w:color="000000" w:sz="8" w:space="0"/>
              <w:left w:val="single" w:color="000000" w:sz="8" w:space="0"/>
              <w:bottom w:val="single" w:color="000000" w:sz="8" w:space="0"/>
              <w:right w:val="single" w:color="000000" w:sz="8" w:space="0"/>
            </w:tcBorders>
            <w:noWrap w:val="0"/>
            <w:vAlign w:val="center"/>
          </w:tcPr>
          <w:p w14:paraId="0F6A7F06">
            <w:pPr>
              <w:spacing w:before="120" w:after="120" w:line="240" w:lineRule="auto"/>
              <w:ind w:firstLine="0" w:firstLineChars="0"/>
              <w:jc w:val="center"/>
              <w:rPr>
                <w:rFonts w:hint="eastAsia" w:ascii="宋体" w:eastAsia="宋体" w:cs="宋体"/>
                <w:color w:val="auto"/>
                <w:sz w:val="24"/>
                <w:szCs w:val="24"/>
                <w:highlight w:val="none"/>
                <w:lang w:val="en-US" w:eastAsia="zh-CN"/>
              </w:rPr>
            </w:pPr>
          </w:p>
        </w:tc>
        <w:tc>
          <w:tcPr>
            <w:tcW w:w="4828" w:type="dxa"/>
            <w:vMerge w:val="continue"/>
            <w:tcBorders>
              <w:top w:val="single" w:color="000000" w:sz="8" w:space="0"/>
              <w:left w:val="single" w:color="000000" w:sz="8" w:space="0"/>
              <w:bottom w:val="single" w:color="000000" w:sz="8" w:space="0"/>
              <w:right w:val="single" w:color="000000" w:sz="8" w:space="0"/>
            </w:tcBorders>
            <w:noWrap w:val="0"/>
            <w:vAlign w:val="center"/>
          </w:tcPr>
          <w:p w14:paraId="287E2C36">
            <w:pPr>
              <w:spacing w:before="120" w:after="120" w:line="240" w:lineRule="auto"/>
              <w:ind w:firstLine="0" w:firstLineChars="0"/>
              <w:jc w:val="center"/>
              <w:rPr>
                <w:rFonts w:hint="eastAsia" w:ascii="宋体" w:eastAsia="宋体" w:cs="宋体"/>
                <w:color w:val="auto"/>
                <w:sz w:val="24"/>
                <w:szCs w:val="24"/>
                <w:highlight w:val="none"/>
                <w:lang w:val="en-US" w:eastAsia="zh-CN"/>
              </w:rPr>
            </w:pPr>
          </w:p>
        </w:tc>
        <w:tc>
          <w:tcPr>
            <w:tcW w:w="1532" w:type="dxa"/>
            <w:tcBorders>
              <w:top w:val="nil"/>
              <w:left w:val="single" w:color="000000" w:sz="8" w:space="0"/>
              <w:bottom w:val="single" w:color="000000" w:sz="8" w:space="0"/>
              <w:right w:val="single" w:color="000000" w:sz="8" w:space="0"/>
            </w:tcBorders>
            <w:noWrap w:val="0"/>
            <w:vAlign w:val="center"/>
          </w:tcPr>
          <w:p w14:paraId="33108DE7">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（万元）</w:t>
            </w:r>
          </w:p>
        </w:tc>
      </w:tr>
      <w:tr w14:paraId="21F9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458" w:type="dxa"/>
            <w:tcBorders>
              <w:top w:val="nil"/>
              <w:left w:val="single" w:color="000000" w:sz="8" w:space="0"/>
              <w:bottom w:val="single" w:color="000000" w:sz="8" w:space="0"/>
              <w:right w:val="single" w:color="000000" w:sz="8" w:space="0"/>
            </w:tcBorders>
            <w:noWrap w:val="0"/>
            <w:vAlign w:val="center"/>
          </w:tcPr>
          <w:p w14:paraId="2F805592">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1</w:t>
            </w:r>
          </w:p>
        </w:tc>
        <w:tc>
          <w:tcPr>
            <w:tcW w:w="1406" w:type="dxa"/>
            <w:tcBorders>
              <w:top w:val="nil"/>
              <w:left w:val="single" w:color="000000" w:sz="8" w:space="0"/>
              <w:bottom w:val="single" w:color="000000" w:sz="8" w:space="0"/>
              <w:right w:val="single" w:color="000000" w:sz="8" w:space="0"/>
            </w:tcBorders>
            <w:noWrap w:val="0"/>
            <w:vAlign w:val="center"/>
          </w:tcPr>
          <w:p w14:paraId="45C4D91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核心层时序应用管理系统平台开发</w:t>
            </w:r>
          </w:p>
        </w:tc>
        <w:tc>
          <w:tcPr>
            <w:tcW w:w="746" w:type="dxa"/>
            <w:tcBorders>
              <w:top w:val="nil"/>
              <w:left w:val="single" w:color="000000" w:sz="8" w:space="0"/>
              <w:bottom w:val="single" w:color="000000" w:sz="8" w:space="0"/>
              <w:right w:val="single" w:color="000000" w:sz="8" w:space="0"/>
            </w:tcBorders>
            <w:noWrap w:val="0"/>
            <w:vAlign w:val="center"/>
          </w:tcPr>
          <w:p w14:paraId="1A570781">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0C375419">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承载500万数据节点的并发处理能力，多作业区时序数据核心管理平台。含服务治理与配置中心、多协议解析引擎含A11专有协议与10+工业协议、混合存储引擎与数据生命周期管理、消息中间件与边云同步通道含百万级测点高并发中枢、定制化流水计算引擎含15种内置算法与定制注册、流式告警规则引擎与通知管理、可视化规则编排、一体化运维管控与可视化控制台、全链路安全与审计追溯平台。</w:t>
            </w:r>
          </w:p>
        </w:tc>
        <w:tc>
          <w:tcPr>
            <w:tcW w:w="1532" w:type="dxa"/>
            <w:tcBorders>
              <w:top w:val="nil"/>
              <w:left w:val="single" w:color="000000" w:sz="8" w:space="0"/>
              <w:bottom w:val="single" w:color="000000" w:sz="8" w:space="0"/>
              <w:right w:val="single" w:color="000000" w:sz="8" w:space="0"/>
            </w:tcBorders>
            <w:noWrap w:val="0"/>
            <w:vAlign w:val="center"/>
          </w:tcPr>
          <w:p w14:paraId="36C7E8B2">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285.00</w:t>
            </w:r>
          </w:p>
        </w:tc>
      </w:tr>
      <w:tr w14:paraId="4FA02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226C111A">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2</w:t>
            </w:r>
          </w:p>
        </w:tc>
        <w:tc>
          <w:tcPr>
            <w:tcW w:w="1406" w:type="dxa"/>
            <w:tcBorders>
              <w:top w:val="nil"/>
              <w:left w:val="single" w:color="000000" w:sz="8" w:space="0"/>
              <w:bottom w:val="single" w:color="000000" w:sz="8" w:space="0"/>
              <w:right w:val="single" w:color="000000" w:sz="8" w:space="0"/>
            </w:tcBorders>
            <w:noWrap w:val="0"/>
            <w:vAlign w:val="center"/>
          </w:tcPr>
          <w:p w14:paraId="761C4D9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边缘智能体系统平台开发</w:t>
            </w:r>
          </w:p>
        </w:tc>
        <w:tc>
          <w:tcPr>
            <w:tcW w:w="746" w:type="dxa"/>
            <w:tcBorders>
              <w:top w:val="nil"/>
              <w:left w:val="single" w:color="000000" w:sz="8" w:space="0"/>
              <w:bottom w:val="single" w:color="000000" w:sz="8" w:space="0"/>
              <w:right w:val="single" w:color="000000" w:sz="8" w:space="0"/>
            </w:tcBorders>
            <w:noWrap w:val="0"/>
            <w:vAlign w:val="center"/>
          </w:tcPr>
          <w:p w14:paraId="55AAD9CF">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2C682A13">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边缘侧系统开发，配合边缘中枢在作业区现场环境的边缘承载，采集策略多样化引擎的边缘汇聚层。含边缘-中心消息通道与边云同步、边缘分级存储部署与策略实施、边缘运维监控面板部署、设备统一动态感知含静态IP与移动网关、边缘安全合规配置与加密部署、边缘流水计算节点部署含入库前流水计算架构、历史回放与规则动态优化、告警分级与闭环管理。</w:t>
            </w:r>
          </w:p>
        </w:tc>
        <w:tc>
          <w:tcPr>
            <w:tcW w:w="1532" w:type="dxa"/>
            <w:tcBorders>
              <w:top w:val="nil"/>
              <w:left w:val="single" w:color="000000" w:sz="8" w:space="0"/>
              <w:bottom w:val="single" w:color="000000" w:sz="8" w:space="0"/>
              <w:right w:val="single" w:color="000000" w:sz="8" w:space="0"/>
            </w:tcBorders>
            <w:noWrap w:val="0"/>
            <w:vAlign w:val="center"/>
          </w:tcPr>
          <w:p w14:paraId="55A78045">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102.00</w:t>
            </w:r>
          </w:p>
        </w:tc>
      </w:tr>
      <w:tr w14:paraId="1737D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72FB780A">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3</w:t>
            </w:r>
          </w:p>
        </w:tc>
        <w:tc>
          <w:tcPr>
            <w:tcW w:w="1406" w:type="dxa"/>
            <w:tcBorders>
              <w:top w:val="nil"/>
              <w:left w:val="single" w:color="000000" w:sz="8" w:space="0"/>
              <w:bottom w:val="single" w:color="000000" w:sz="8" w:space="0"/>
              <w:right w:val="single" w:color="000000" w:sz="8" w:space="0"/>
            </w:tcBorders>
            <w:noWrap w:val="0"/>
            <w:vAlign w:val="center"/>
          </w:tcPr>
          <w:p w14:paraId="50DF347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边缘层数据采集及历史数据模块开发</w:t>
            </w:r>
          </w:p>
        </w:tc>
        <w:tc>
          <w:tcPr>
            <w:tcW w:w="746" w:type="dxa"/>
            <w:tcBorders>
              <w:top w:val="nil"/>
              <w:left w:val="single" w:color="000000" w:sz="8" w:space="0"/>
              <w:bottom w:val="single" w:color="000000" w:sz="8" w:space="0"/>
              <w:right w:val="single" w:color="000000" w:sz="8" w:space="0"/>
            </w:tcBorders>
            <w:noWrap w:val="0"/>
            <w:vAlign w:val="center"/>
          </w:tcPr>
          <w:p w14:paraId="50CF892B">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6C430FB1">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边缘端数据采集与计算的标准化功能组件采集执行层引擎。含边缘采集模块含多协议统一采集管道与三阶段渐进接入、作业区适配层含配置驱动、设备动态感知含Modbus TCP/RTU统一感知与流量学习、路由监听分析模块含静态客户端采集与动态桥接转发、历史计算模块含多粒度聚合与回放报告、稳定性保障与容错验证。</w:t>
            </w:r>
          </w:p>
        </w:tc>
        <w:tc>
          <w:tcPr>
            <w:tcW w:w="1532" w:type="dxa"/>
            <w:tcBorders>
              <w:top w:val="nil"/>
              <w:left w:val="single" w:color="000000" w:sz="8" w:space="0"/>
              <w:bottom w:val="single" w:color="000000" w:sz="8" w:space="0"/>
              <w:right w:val="single" w:color="000000" w:sz="8" w:space="0"/>
            </w:tcBorders>
            <w:noWrap w:val="0"/>
            <w:vAlign w:val="center"/>
          </w:tcPr>
          <w:p w14:paraId="236F9475">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60.00</w:t>
            </w:r>
          </w:p>
        </w:tc>
      </w:tr>
      <w:tr w14:paraId="49ACE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1E6588A1">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4</w:t>
            </w:r>
          </w:p>
        </w:tc>
        <w:tc>
          <w:tcPr>
            <w:tcW w:w="1406" w:type="dxa"/>
            <w:tcBorders>
              <w:top w:val="nil"/>
              <w:left w:val="single" w:color="000000" w:sz="8" w:space="0"/>
              <w:bottom w:val="single" w:color="000000" w:sz="8" w:space="0"/>
              <w:right w:val="single" w:color="000000" w:sz="8" w:space="0"/>
            </w:tcBorders>
            <w:noWrap w:val="0"/>
            <w:vAlign w:val="center"/>
          </w:tcPr>
          <w:p w14:paraId="7736823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采集策略多样化定制</w:t>
            </w:r>
          </w:p>
        </w:tc>
        <w:tc>
          <w:tcPr>
            <w:tcW w:w="746" w:type="dxa"/>
            <w:tcBorders>
              <w:top w:val="nil"/>
              <w:left w:val="single" w:color="000000" w:sz="8" w:space="0"/>
              <w:bottom w:val="single" w:color="000000" w:sz="8" w:space="0"/>
              <w:right w:val="single" w:color="000000" w:sz="8" w:space="0"/>
            </w:tcBorders>
            <w:noWrap w:val="0"/>
            <w:vAlign w:val="center"/>
          </w:tcPr>
          <w:p w14:paraId="321B6762">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75F2C8BE">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双路采集分流+三阶段渐进+动态调频+网关适配+断网补传。含网关厂家适配10家、现场多协议接入汇聚配置、设备动态感知与识别、智能动态调频含异常加密秒级与低峰降频弱网退避、断网缓存与补传、RTU状态感知与健康日报、非标协议接入含A11未覆盖设备源统一适配。</w:t>
            </w:r>
          </w:p>
        </w:tc>
        <w:tc>
          <w:tcPr>
            <w:tcW w:w="1532" w:type="dxa"/>
            <w:tcBorders>
              <w:top w:val="nil"/>
              <w:left w:val="single" w:color="000000" w:sz="8" w:space="0"/>
              <w:bottom w:val="single" w:color="000000" w:sz="8" w:space="0"/>
              <w:right w:val="single" w:color="000000" w:sz="8" w:space="0"/>
            </w:tcBorders>
            <w:noWrap w:val="0"/>
            <w:vAlign w:val="center"/>
          </w:tcPr>
          <w:p w14:paraId="2C96BFB2">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78.00</w:t>
            </w:r>
          </w:p>
        </w:tc>
      </w:tr>
      <w:tr w14:paraId="013AE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8" w:type="dxa"/>
            <w:tcBorders>
              <w:top w:val="nil"/>
              <w:left w:val="single" w:color="000000" w:sz="8" w:space="0"/>
              <w:bottom w:val="single" w:color="000000" w:sz="8" w:space="0"/>
              <w:right w:val="single" w:color="000000" w:sz="8" w:space="0"/>
            </w:tcBorders>
            <w:noWrap w:val="0"/>
            <w:vAlign w:val="center"/>
          </w:tcPr>
          <w:p w14:paraId="7A04A273">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5</w:t>
            </w:r>
          </w:p>
        </w:tc>
        <w:tc>
          <w:tcPr>
            <w:tcW w:w="1406" w:type="dxa"/>
            <w:tcBorders>
              <w:top w:val="nil"/>
              <w:left w:val="single" w:color="000000" w:sz="8" w:space="0"/>
              <w:bottom w:val="single" w:color="000000" w:sz="8" w:space="0"/>
              <w:right w:val="single" w:color="000000" w:sz="8" w:space="0"/>
            </w:tcBorders>
            <w:noWrap w:val="0"/>
            <w:vAlign w:val="center"/>
          </w:tcPr>
          <w:p w14:paraId="5F3C84C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定制化流水计算及IO计算及物模型配置</w:t>
            </w:r>
          </w:p>
        </w:tc>
        <w:tc>
          <w:tcPr>
            <w:tcW w:w="746" w:type="dxa"/>
            <w:tcBorders>
              <w:top w:val="nil"/>
              <w:left w:val="single" w:color="000000" w:sz="8" w:space="0"/>
              <w:bottom w:val="single" w:color="000000" w:sz="8" w:space="0"/>
              <w:right w:val="single" w:color="000000" w:sz="8" w:space="0"/>
            </w:tcBorders>
            <w:noWrap w:val="0"/>
            <w:vAlign w:val="center"/>
          </w:tcPr>
          <w:p w14:paraId="518556D0">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42B0811D">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定制化流水计算引擎：15种内置算法+作业区定制算法+入库前流水计算+物模型驱动+逐井差异化调优。含作业区适配层配置驱动、A11桥接与IO业务系统适配含路由监听分析与协议解析、OPC DA直采三级回退、路由监听含静态客户端采集与动态桥接转发、物模型匹配与自动配点含G1-G8油水井物模型64点地址对齐、协议开发对接工程、多作业区体检台账含批量巡检与横向对比。</w:t>
            </w:r>
          </w:p>
        </w:tc>
        <w:tc>
          <w:tcPr>
            <w:tcW w:w="1532" w:type="dxa"/>
            <w:tcBorders>
              <w:top w:val="nil"/>
              <w:left w:val="single" w:color="000000" w:sz="8" w:space="0"/>
              <w:bottom w:val="single" w:color="000000" w:sz="8" w:space="0"/>
              <w:right w:val="single" w:color="000000" w:sz="8" w:space="0"/>
            </w:tcBorders>
            <w:noWrap w:val="0"/>
            <w:vAlign w:val="center"/>
          </w:tcPr>
          <w:p w14:paraId="77930766">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95.00</w:t>
            </w:r>
          </w:p>
        </w:tc>
      </w:tr>
      <w:tr w14:paraId="5415A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14FA7076">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6</w:t>
            </w:r>
          </w:p>
        </w:tc>
        <w:tc>
          <w:tcPr>
            <w:tcW w:w="1406" w:type="dxa"/>
            <w:tcBorders>
              <w:top w:val="nil"/>
              <w:left w:val="single" w:color="000000" w:sz="8" w:space="0"/>
              <w:bottom w:val="single" w:color="000000" w:sz="8" w:space="0"/>
              <w:right w:val="single" w:color="000000" w:sz="8" w:space="0"/>
            </w:tcBorders>
            <w:noWrap w:val="0"/>
            <w:vAlign w:val="center"/>
          </w:tcPr>
          <w:p w14:paraId="63B23C8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分布式计算规则及现场验证</w:t>
            </w:r>
          </w:p>
        </w:tc>
        <w:tc>
          <w:tcPr>
            <w:tcW w:w="746" w:type="dxa"/>
            <w:tcBorders>
              <w:top w:val="nil"/>
              <w:left w:val="single" w:color="000000" w:sz="8" w:space="0"/>
              <w:bottom w:val="single" w:color="000000" w:sz="8" w:space="0"/>
              <w:right w:val="single" w:color="000000" w:sz="8" w:space="0"/>
            </w:tcBorders>
            <w:noWrap w:val="0"/>
            <w:vAlign w:val="center"/>
          </w:tcPr>
          <w:p w14:paraId="2C8ED41D">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35C26CDB">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流水计算引擎的作业区级部署、配置与验证，定制化流水计算的现场落地。含作业区定制流水计算按场景定制开发每作业区≥1种定制算法、边缘节点运行时环境部署、现场告警判定与通知策略配置、边缘现场集成测试与文档交付。</w:t>
            </w:r>
          </w:p>
        </w:tc>
        <w:tc>
          <w:tcPr>
            <w:tcW w:w="1532" w:type="dxa"/>
            <w:tcBorders>
              <w:top w:val="nil"/>
              <w:left w:val="single" w:color="000000" w:sz="8" w:space="0"/>
              <w:bottom w:val="single" w:color="000000" w:sz="8" w:space="0"/>
              <w:right w:val="single" w:color="000000" w:sz="8" w:space="0"/>
            </w:tcBorders>
            <w:noWrap w:val="0"/>
            <w:vAlign w:val="center"/>
          </w:tcPr>
          <w:p w14:paraId="44E39CCA">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27.00</w:t>
            </w:r>
          </w:p>
        </w:tc>
      </w:tr>
      <w:tr w14:paraId="20C56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458" w:type="dxa"/>
            <w:tcBorders>
              <w:top w:val="nil"/>
              <w:left w:val="single" w:color="000000" w:sz="8" w:space="0"/>
              <w:bottom w:val="single" w:color="000000" w:sz="8" w:space="0"/>
              <w:right w:val="single" w:color="000000" w:sz="8" w:space="0"/>
            </w:tcBorders>
            <w:noWrap w:val="0"/>
            <w:vAlign w:val="center"/>
          </w:tcPr>
          <w:p w14:paraId="5C46CCCE">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7</w:t>
            </w:r>
          </w:p>
        </w:tc>
        <w:tc>
          <w:tcPr>
            <w:tcW w:w="1406" w:type="dxa"/>
            <w:tcBorders>
              <w:top w:val="nil"/>
              <w:left w:val="single" w:color="000000" w:sz="8" w:space="0"/>
              <w:bottom w:val="single" w:color="000000" w:sz="8" w:space="0"/>
              <w:right w:val="single" w:color="000000" w:sz="8" w:space="0"/>
            </w:tcBorders>
            <w:noWrap w:val="0"/>
            <w:vAlign w:val="center"/>
          </w:tcPr>
          <w:p w14:paraId="56DB7DA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项目集成验证及信创全栈适配</w:t>
            </w:r>
          </w:p>
        </w:tc>
        <w:tc>
          <w:tcPr>
            <w:tcW w:w="746" w:type="dxa"/>
            <w:tcBorders>
              <w:top w:val="nil"/>
              <w:left w:val="single" w:color="000000" w:sz="8" w:space="0"/>
              <w:bottom w:val="single" w:color="000000" w:sz="8" w:space="0"/>
              <w:right w:val="single" w:color="000000" w:sz="8" w:space="0"/>
            </w:tcBorders>
            <w:noWrap w:val="0"/>
            <w:vAlign w:val="center"/>
          </w:tcPr>
          <w:p w14:paraId="362E4371">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4781B45F">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跨板块的项目级质量保证。含单元/集成/系统测试、全链路压测验证含全油田16厂·100+作业区全部接入与260万+点位持续推送与15天长稳、规模化灌数验证含百万级测点MQTT聚合、信创全栈适配含麒麟/UOS+飞腾/鲲鹏+达梦/金仓。</w:t>
            </w:r>
          </w:p>
        </w:tc>
        <w:tc>
          <w:tcPr>
            <w:tcW w:w="1532" w:type="dxa"/>
            <w:tcBorders>
              <w:top w:val="nil"/>
              <w:left w:val="single" w:color="000000" w:sz="8" w:space="0"/>
              <w:bottom w:val="single" w:color="000000" w:sz="8" w:space="0"/>
              <w:right w:val="single" w:color="000000" w:sz="8" w:space="0"/>
            </w:tcBorders>
            <w:noWrap w:val="0"/>
            <w:vAlign w:val="center"/>
          </w:tcPr>
          <w:p w14:paraId="7F7CCF15">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48.00</w:t>
            </w:r>
          </w:p>
        </w:tc>
      </w:tr>
      <w:tr w14:paraId="2C096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2157308E">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8</w:t>
            </w:r>
          </w:p>
        </w:tc>
        <w:tc>
          <w:tcPr>
            <w:tcW w:w="1406" w:type="dxa"/>
            <w:tcBorders>
              <w:top w:val="nil"/>
              <w:left w:val="single" w:color="000000" w:sz="8" w:space="0"/>
              <w:bottom w:val="single" w:color="000000" w:sz="8" w:space="0"/>
              <w:right w:val="single" w:color="000000" w:sz="8" w:space="0"/>
            </w:tcBorders>
            <w:noWrap w:val="0"/>
            <w:vAlign w:val="center"/>
          </w:tcPr>
          <w:p w14:paraId="183BBB3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eastAsia="宋体" w:cs="宋体"/>
                <w:color w:val="auto"/>
                <w:sz w:val="24"/>
                <w:szCs w:val="24"/>
                <w:highlight w:val="none"/>
                <w:lang w:val="en-US" w:eastAsia="zh-CN"/>
              </w:rPr>
            </w:pPr>
            <w:r>
              <w:rPr>
                <w:rFonts w:hint="eastAsia" w:ascii="宋体" w:hAnsi="宋体" w:eastAsia="宋体" w:cs="宋体"/>
                <w:i w:val="0"/>
                <w:iCs w:val="0"/>
                <w:color w:val="000000"/>
                <w:kern w:val="0"/>
                <w:sz w:val="24"/>
                <w:szCs w:val="24"/>
                <w:u w:val="none"/>
                <w:lang w:val="en-US" w:eastAsia="zh-CN" w:bidi="ar"/>
              </w:rPr>
              <w:t>现场实施、文档及培训</w:t>
            </w:r>
          </w:p>
        </w:tc>
        <w:tc>
          <w:tcPr>
            <w:tcW w:w="746" w:type="dxa"/>
            <w:tcBorders>
              <w:top w:val="nil"/>
              <w:left w:val="single" w:color="000000" w:sz="8" w:space="0"/>
              <w:bottom w:val="single" w:color="000000" w:sz="8" w:space="0"/>
              <w:right w:val="single" w:color="000000" w:sz="8" w:space="0"/>
            </w:tcBorders>
            <w:noWrap w:val="0"/>
            <w:vAlign w:val="center"/>
          </w:tcPr>
          <w:p w14:paraId="6EA2155A">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技术服务</w:t>
            </w:r>
          </w:p>
        </w:tc>
        <w:tc>
          <w:tcPr>
            <w:tcW w:w="4828" w:type="dxa"/>
            <w:tcBorders>
              <w:top w:val="nil"/>
              <w:left w:val="single" w:color="000000" w:sz="8" w:space="0"/>
              <w:bottom w:val="single" w:color="000000" w:sz="8" w:space="0"/>
              <w:right w:val="single" w:color="000000" w:sz="8" w:space="0"/>
            </w:tcBorders>
            <w:noWrap w:val="0"/>
            <w:vAlign w:val="top"/>
          </w:tcPr>
          <w:p w14:paraId="7E6CD60B">
            <w:pPr>
              <w:spacing w:before="120" w:after="120" w:line="240" w:lineRule="auto"/>
              <w:ind w:firstLine="0" w:firstLineChars="0"/>
              <w:jc w:val="left"/>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项目整体交付。含整体部署实施与A11桥接验证及OPC联调验收、文档交付含需求规格/概要设计/详细设计/测试报告/用户手册/运维手册、培训含跟学共建与源码讲解及独立运维考核。</w:t>
            </w:r>
          </w:p>
        </w:tc>
        <w:tc>
          <w:tcPr>
            <w:tcW w:w="1532" w:type="dxa"/>
            <w:tcBorders>
              <w:top w:val="nil"/>
              <w:left w:val="single" w:color="000000" w:sz="8" w:space="0"/>
              <w:bottom w:val="single" w:color="000000" w:sz="8" w:space="0"/>
              <w:right w:val="single" w:color="000000" w:sz="8" w:space="0"/>
            </w:tcBorders>
            <w:noWrap w:val="0"/>
            <w:vAlign w:val="center"/>
          </w:tcPr>
          <w:p w14:paraId="588ADC3C">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30.04</w:t>
            </w:r>
          </w:p>
        </w:tc>
      </w:tr>
      <w:tr w14:paraId="75838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7438" w:type="dxa"/>
            <w:gridSpan w:val="4"/>
            <w:tcBorders>
              <w:top w:val="nil"/>
              <w:left w:val="single" w:color="000000" w:sz="8" w:space="0"/>
              <w:bottom w:val="single" w:color="000000" w:sz="8" w:space="0"/>
              <w:right w:val="single" w:color="000000" w:sz="8" w:space="0"/>
            </w:tcBorders>
            <w:noWrap w:val="0"/>
            <w:vAlign w:val="center"/>
          </w:tcPr>
          <w:p w14:paraId="360AACC6">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不含税合计（万元）</w:t>
            </w:r>
          </w:p>
        </w:tc>
        <w:tc>
          <w:tcPr>
            <w:tcW w:w="1532" w:type="dxa"/>
            <w:tcBorders>
              <w:top w:val="nil"/>
              <w:left w:val="single" w:color="000000" w:sz="8" w:space="0"/>
              <w:bottom w:val="single" w:color="000000" w:sz="8" w:space="0"/>
              <w:right w:val="single" w:color="000000" w:sz="8" w:space="0"/>
            </w:tcBorders>
            <w:noWrap w:val="0"/>
            <w:vAlign w:val="center"/>
          </w:tcPr>
          <w:p w14:paraId="1EF3D7AF">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684.00</w:t>
            </w:r>
          </w:p>
        </w:tc>
      </w:tr>
      <w:tr w14:paraId="7FCDB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7438" w:type="dxa"/>
            <w:gridSpan w:val="4"/>
            <w:tcBorders>
              <w:top w:val="nil"/>
              <w:left w:val="single" w:color="000000" w:sz="8" w:space="0"/>
              <w:bottom w:val="single" w:color="000000" w:sz="8" w:space="0"/>
              <w:right w:val="single" w:color="000000" w:sz="8" w:space="0"/>
            </w:tcBorders>
            <w:noWrap w:val="0"/>
            <w:vAlign w:val="center"/>
          </w:tcPr>
          <w:p w14:paraId="1CE5868B">
            <w:pPr>
              <w:spacing w:before="120" w:after="120" w:line="240" w:lineRule="auto"/>
              <w:ind w:firstLine="0" w:firstLineChars="0"/>
              <w:jc w:val="center"/>
              <w:rPr>
                <w:rFonts w:hint="eastAsia"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含税合计（万元）</w:t>
            </w:r>
          </w:p>
        </w:tc>
        <w:tc>
          <w:tcPr>
            <w:tcW w:w="1532" w:type="dxa"/>
            <w:tcBorders>
              <w:top w:val="nil"/>
              <w:left w:val="single" w:color="000000" w:sz="8" w:space="0"/>
              <w:bottom w:val="single" w:color="000000" w:sz="8" w:space="0"/>
              <w:right w:val="single" w:color="000000" w:sz="8" w:space="0"/>
            </w:tcBorders>
            <w:noWrap w:val="0"/>
            <w:vAlign w:val="center"/>
          </w:tcPr>
          <w:p w14:paraId="7D501BF7">
            <w:pPr>
              <w:spacing w:before="120" w:after="120" w:line="240" w:lineRule="auto"/>
              <w:ind w:firstLine="0" w:firstLineChars="0"/>
              <w:jc w:val="center"/>
              <w:rPr>
                <w:rFonts w:hint="default" w:ascii="宋体" w:eastAsia="宋体" w:cs="宋体"/>
                <w:color w:val="auto"/>
                <w:sz w:val="24"/>
                <w:szCs w:val="24"/>
                <w:highlight w:val="none"/>
                <w:lang w:val="en-US" w:eastAsia="zh-CN"/>
              </w:rPr>
            </w:pPr>
            <w:r>
              <w:rPr>
                <w:rFonts w:hint="eastAsia" w:ascii="宋体" w:eastAsia="宋体" w:cs="宋体"/>
                <w:color w:val="auto"/>
                <w:sz w:val="24"/>
                <w:szCs w:val="24"/>
                <w:highlight w:val="none"/>
                <w:lang w:val="en-US" w:eastAsia="zh-CN"/>
              </w:rPr>
              <w:t>725.04</w:t>
            </w:r>
          </w:p>
        </w:tc>
      </w:tr>
    </w:tbl>
    <w:p w14:paraId="0110DCBD">
      <w:pPr>
        <w:pStyle w:val="22"/>
        <w:rPr>
          <w:color w:val="auto"/>
          <w:highlight w:val="none"/>
        </w:rPr>
      </w:pPr>
    </w:p>
    <w:p w14:paraId="10CA5E62">
      <w:pPr>
        <w:spacing w:line="360" w:lineRule="auto"/>
        <w:jc w:val="center"/>
        <w:rPr>
          <w:rFonts w:hint="eastAsia" w:ascii="黑体" w:eastAsia="黑体"/>
          <w:b w:val="0"/>
          <w:bCs w:val="0"/>
          <w:color w:val="auto"/>
          <w:sz w:val="36"/>
          <w:szCs w:val="36"/>
          <w:highlight w:val="none"/>
        </w:rPr>
      </w:pPr>
    </w:p>
    <w:p w14:paraId="053FE020">
      <w:pPr>
        <w:spacing w:line="360" w:lineRule="auto"/>
        <w:rPr>
          <w:rFonts w:hint="eastAsia" w:ascii="宋体" w:cs="宋体"/>
          <w:color w:val="auto"/>
          <w:sz w:val="24"/>
          <w:szCs w:val="28"/>
          <w:highlight w:val="none"/>
        </w:rPr>
      </w:pPr>
    </w:p>
    <w:p w14:paraId="3799358C">
      <w:pPr>
        <w:pStyle w:val="7"/>
        <w:rPr>
          <w:color w:val="auto"/>
          <w:highlight w:val="none"/>
        </w:rPr>
      </w:pPr>
      <w:r>
        <w:rPr>
          <w:color w:val="auto"/>
          <w:highlight w:val="none"/>
        </w:rPr>
        <w:br w:type="page"/>
      </w:r>
      <w:r>
        <w:rPr>
          <w:color w:val="auto"/>
          <w:highlight w:val="none"/>
        </w:rPr>
        <w:t>附2：</w:t>
      </w:r>
    </w:p>
    <w:p w14:paraId="476901EB">
      <w:pPr>
        <w:spacing w:before="156" w:beforeLines="50" w:after="156" w:afterLines="50" w:line="560" w:lineRule="exact"/>
        <w:jc w:val="center"/>
        <w:outlineLvl w:val="0"/>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rPr>
        <w:t>信息技术服务项目论证报告</w:t>
      </w:r>
    </w:p>
    <w:p w14:paraId="3C7C0112">
      <w:pPr>
        <w:pStyle w:val="4"/>
        <w:numPr>
          <w:ilvl w:val="0"/>
          <w:numId w:val="1"/>
        </w:numPr>
        <w:ind w:firstLine="0"/>
        <w:rPr>
          <w:rFonts w:hint="eastAsia" w:ascii="方正黑体简体" w:hAnsi="方正黑体简体" w:eastAsia="方正黑体简体" w:cs="方正黑体简体"/>
          <w:b w:val="0"/>
          <w:bCs w:val="0"/>
          <w:color w:val="auto"/>
          <w:szCs w:val="21"/>
          <w:highlight w:val="none"/>
          <w:lang w:val="en-US" w:eastAsia="zh-CN"/>
        </w:rPr>
      </w:pPr>
      <w:r>
        <w:rPr>
          <w:rFonts w:hint="eastAsia" w:ascii="方正黑体简体" w:hAnsi="方正黑体简体" w:eastAsia="方正黑体简体" w:cs="方正黑体简体"/>
          <w:b w:val="0"/>
          <w:bCs w:val="0"/>
          <w:color w:val="auto"/>
          <w:szCs w:val="21"/>
          <w:highlight w:val="none"/>
          <w:lang w:val="en-US" w:eastAsia="zh-CN"/>
        </w:rPr>
        <w:t>现状及需求分析</w:t>
      </w:r>
    </w:p>
    <w:p w14:paraId="46FFF7CC">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textAlignment w:val="auto"/>
        <w:rPr>
          <w:rFonts w:hint="eastAsia" w:ascii="Times New Roman" w:hAnsi="Times New Roman" w:eastAsia="方正仿宋简体" w:cs="Times New Roman"/>
          <w:i w:val="0"/>
          <w:iCs w:val="0"/>
          <w:caps w:val="0"/>
          <w:color w:val="auto"/>
          <w:spacing w:val="0"/>
          <w:sz w:val="32"/>
          <w:szCs w:val="21"/>
          <w:highlight w:val="none"/>
          <w:u w:val="none"/>
          <w:shd w:val="clear" w:color="auto" w:fill="FFFFFF"/>
        </w:rPr>
      </w:pPr>
      <w:r>
        <w:rPr>
          <w:rFonts w:hint="eastAsia" w:ascii="Times New Roman" w:hAnsi="Times New Roman" w:eastAsia="方正仿宋简体" w:cs="Times New Roman"/>
          <w:i w:val="0"/>
          <w:iCs w:val="0"/>
          <w:caps w:val="0"/>
          <w:color w:val="auto"/>
          <w:spacing w:val="0"/>
          <w:sz w:val="32"/>
          <w:szCs w:val="21"/>
          <w:highlight w:val="none"/>
          <w:shd w:val="clear" w:color="auto" w:fill="FFFFFF"/>
        </w:rPr>
        <w:t>大庆油田物联网建设已接近尾声。截至目前，已累计完成10万余口油水井、6000余座站场的数字化改造。然而，当前基于A11构建的数据采集体系主要覆盖油气生产领域，未涉及新能源、工程技术等板块的实时数据采集，对新型智能传感器的接入及信创适配能力亦显不足。核心矛盾在于：油田近年来全面推进电参数数字化、工况智能诊断、设备健康预警等应用，运行管理日益精细化、定制化；而A11是集团统建系统，体系标准固化——统一点位、统一频率、统一配置，全系统一种节奏。数据分钟级定时抽吸（约10-30分钟一档），功图类曲线约30分钟/副，高频异常（皮带断裂、电潜泵参数突变、频率跃升冲击）在数据刷新间隙内无法被捕获；报警依赖后台批量处理，无本地流水计算，无法做到秒级/亚秒级异常响应；差异化报警（逐井、逐工况）无逐井调优通道；动态接入（移动网关、设备增减）无统一感知机制；协议支撑有限，视频流、智能仪表、新能源等新兴设备源无法接入；依赖老旧Windows环境，无国产CPU/OS适配能力。瓶颈不在算法，而在数据密度与采集灵活性——算法能力在局地试点已获验证，受限于分钟级采集底座无法落地。已难以满足油田数智化应用的实际需求，并对报警预警、生产优化等核心业务的落地形成明显制约。</w:t>
      </w:r>
    </w:p>
    <w:p w14:paraId="2802D633">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textAlignment w:val="auto"/>
        <w:rPr>
          <w:rFonts w:hint="eastAsia" w:eastAsia="方正仿宋简体" w:cs="Times New Roman"/>
          <w:color w:val="auto"/>
          <w:highlight w:val="none"/>
          <w:lang w:eastAsia="zh-CN"/>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为此，科技信息部委托数智技术公司，基于当前工业互联网标准框架，开展新一代时序数据采集与应用技术路线的研究与探索。本项目是既有A11油气生产物联网系统的能力增强与扩展——不改A11、不替代A11，以路由监听双路采集方式，在保留A11原有业务完全不变的前提下，为油田提供高频、动态、差异化、信创化的时序数据采集与应用能力。项目以两大核心引擎——"采集策略多样化"（怎么采）与"定制化</w:t>
      </w:r>
      <w:r>
        <w:rPr>
          <w:rFonts w:hint="eastAsia" w:ascii="方正仿宋简体" w:hAnsi="方正仿宋简体" w:cs="方正仿宋简体"/>
          <w:i w:val="0"/>
          <w:iCs w:val="0"/>
          <w:caps w:val="0"/>
          <w:color w:val="auto"/>
          <w:spacing w:val="0"/>
          <w:sz w:val="32"/>
          <w:szCs w:val="21"/>
          <w:highlight w:val="none"/>
          <w:shd w:val="clear" w:color="auto" w:fill="auto"/>
          <w:lang w:eastAsia="zh-CN"/>
        </w:rPr>
        <w:t>流水计算</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"（怎么算）——为产品主线，共涵盖八大技术服务项，含税总金额725.04万元。在"不改A11、不改DTU、不换设备"的15条硬约束下，唯一可行路径是旁路复制（桥接/镜像）——这是约束的必然结果，而非技术偏好。</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同时既保证与主数据的有效隔离，又对主数据提供了丰富的边缘计算、数据治理等目前智能化需求维度的有效增强。</w:t>
      </w:r>
    </w:p>
    <w:p w14:paraId="7DBC03DF">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ascii="方正仿宋简体" w:hAnsi="方正仿宋简体" w:cs="方正仿宋简体"/>
          <w:color w:val="auto"/>
          <w:highlight w:val="none"/>
          <w:lang w:val="en-US" w:eastAsia="zh-CN"/>
        </w:rPr>
        <w:t>基于项目实际需求，软件分公司特申请《时序数据采集管理技术服务》进行外委技术服务，资金估算为725.04万元（含税）。主要原因在于，本项目涉及A11专有协议解析、路由监听双路采集、动态IP桥接抢占、入库前流水计算、百万级测点高并发中枢等核心技术难点，对采集吞吐量、低延迟处理能力、数据一致性及稳定性均提出了极高要求，而目前软件分公司在时序数据规模化采集与处理方向尚处于能力建设初期，若完全依靠内部自主研发，存在较大的技术风险与进度风险。为确保项目整体进度与交付质量，依托外部专业团队的技术积累与行业经验，采用"跟学共建"模式，甲方团队全程参与开发过程，实现技术能力转移与自主运维能力建设，是当前最优路径。</w:t>
      </w:r>
    </w:p>
    <w:p w14:paraId="58FC4318">
      <w:pPr>
        <w:pStyle w:val="4"/>
        <w:pageBreakBefore w:val="0"/>
        <w:numPr>
          <w:ilvl w:val="0"/>
          <w:numId w:val="0"/>
        </w:numPr>
        <w:shd w:val="clear" w:color="auto" w:fill="auto"/>
        <w:kinsoku/>
        <w:wordWrap/>
        <w:overflowPunct/>
        <w:topLinePunct w:val="0"/>
        <w:autoSpaceDE/>
        <w:autoSpaceDN/>
        <w:bidi w:val="0"/>
        <w:adjustRightInd/>
        <w:snapToGrid/>
        <w:spacing w:line="560" w:lineRule="exact"/>
        <w:ind w:firstLine="320" w:firstLineChars="100"/>
        <w:textAlignment w:val="auto"/>
        <w:rPr>
          <w:rFonts w:hint="eastAsia" w:ascii="方正黑体简体" w:hAnsi="方正黑体简体" w:eastAsia="方正黑体简体" w:cs="方正黑体简体"/>
          <w:b w:val="0"/>
          <w:color w:val="auto"/>
          <w:szCs w:val="21"/>
          <w:highlight w:val="none"/>
          <w:lang w:val="en-US" w:eastAsia="zh-CN"/>
        </w:rPr>
      </w:pPr>
      <w:r>
        <w:rPr>
          <w:rFonts w:hint="eastAsia" w:ascii="方正黑体简体" w:hAnsi="方正黑体简体" w:cs="方正黑体简体"/>
          <w:b w:val="0"/>
          <w:color w:val="auto"/>
          <w:szCs w:val="21"/>
          <w:highlight w:val="none"/>
          <w:lang w:val="en-US" w:eastAsia="zh-CN"/>
        </w:rPr>
        <w:t>二、</w:t>
      </w:r>
      <w:r>
        <w:rPr>
          <w:rFonts w:hint="eastAsia" w:ascii="方正黑体简体" w:hAnsi="方正黑体简体" w:eastAsia="方正黑体简体" w:cs="方正黑体简体"/>
          <w:b w:val="0"/>
          <w:color w:val="auto"/>
          <w:szCs w:val="21"/>
          <w:highlight w:val="none"/>
          <w:lang w:val="en-US" w:eastAsia="zh-CN"/>
        </w:rPr>
        <w:t>潜在服务商介绍</w:t>
      </w:r>
    </w:p>
    <w:p w14:paraId="4F3BBD08">
      <w:pPr>
        <w:pStyle w:val="5"/>
        <w:keepNext/>
        <w:keepLines/>
        <w:pageBreakBefore w:val="0"/>
        <w:widowControl w:val="0"/>
        <w:numPr>
          <w:ilvl w:val="0"/>
          <w:numId w:val="2"/>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eastAsia="方正楷体简体" w:cs="方正楷体简体"/>
          <w:b w:val="0"/>
          <w:color w:val="auto"/>
          <w:highlight w:val="none"/>
          <w:lang w:val="en-US" w:eastAsia="zh-CN"/>
        </w:rPr>
      </w:pPr>
      <w:r>
        <w:rPr>
          <w:rFonts w:hint="eastAsia" w:ascii="方正楷体简体" w:hAnsi="方正楷体简体" w:eastAsia="方正楷体简体" w:cs="方正楷体简体"/>
          <w:b w:val="0"/>
          <w:color w:val="auto"/>
          <w:highlight w:val="none"/>
          <w:lang w:val="en-US" w:eastAsia="zh-CN"/>
        </w:rPr>
        <w:t>浙江宏极科技有限公司</w:t>
      </w:r>
    </w:p>
    <w:p w14:paraId="24A2685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2"/>
          <w:sz w:val="32"/>
          <w:szCs w:val="32"/>
          <w:highlight w:val="none"/>
          <w:lang w:val="en-US" w:eastAsia="zh-CN" w:bidi="ar-SA"/>
        </w:rPr>
      </w:pPr>
      <w:r>
        <w:rPr>
          <w:rFonts w:hint="eastAsia" w:ascii="方正仿宋简体" w:hAnsi="方正仿宋简体" w:eastAsia="方正仿宋简体" w:cs="方正仿宋简体"/>
          <w:color w:val="auto"/>
          <w:kern w:val="2"/>
          <w:sz w:val="32"/>
          <w:szCs w:val="32"/>
          <w:highlight w:val="none"/>
          <w:lang w:val="en-US" w:eastAsia="zh-CN" w:bidi="ar-SA"/>
        </w:rPr>
        <w:t>宏极科技专注大数据处理、人工智能及机器学习研发，拥有数十项软件著作权及专利，自主研发数据平台支持日均TB级处理与实时分析。团队</w:t>
      </w:r>
      <w:r>
        <w:rPr>
          <w:rFonts w:hint="eastAsia" w:ascii="方正仿宋简体" w:hAnsi="方正仿宋简体" w:cs="方正仿宋简体"/>
          <w:color w:val="auto"/>
          <w:szCs w:val="32"/>
          <w:highlight w:val="none"/>
        </w:rPr>
        <w:t>具备数据科学、算法工程、云计算等领域的丰富经验与技术积累。</w:t>
      </w:r>
      <w:r>
        <w:rPr>
          <w:rFonts w:hint="eastAsia" w:ascii="方正仿宋简体" w:hAnsi="方正仿宋简体" w:eastAsia="方正仿宋简体" w:cs="方正仿宋简体"/>
          <w:color w:val="auto"/>
          <w:kern w:val="2"/>
          <w:sz w:val="32"/>
          <w:szCs w:val="32"/>
          <w:highlight w:val="none"/>
          <w:lang w:val="en-US" w:eastAsia="zh-CN" w:bidi="ar-SA"/>
        </w:rPr>
        <w:t>石油石化领域深耕油田与炼化板块，承接大庆油田工会APP、生产作业指挥平台及炼化一体化进度跟踪系统等项目，具备全生命周期服务能力，提供从需求分析到实施交付全流程服务。</w:t>
      </w:r>
    </w:p>
    <w:p w14:paraId="0BF34ED0">
      <w:pPr>
        <w:pStyle w:val="5"/>
        <w:keepNext/>
        <w:keepLines/>
        <w:pageBreakBefore w:val="0"/>
        <w:widowControl w:val="0"/>
        <w:numPr>
          <w:ilvl w:val="0"/>
          <w:numId w:val="2"/>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b w:val="0"/>
          <w:color w:val="auto"/>
          <w:highlight w:val="none"/>
          <w:lang w:val="en-US" w:eastAsia="zh-CN"/>
        </w:rPr>
      </w:pPr>
      <w:r>
        <w:rPr>
          <w:rFonts w:hint="eastAsia" w:ascii="方正楷体简体" w:hAnsi="方正楷体简体" w:cs="方正楷体简体"/>
          <w:b w:val="0"/>
          <w:color w:val="auto"/>
          <w:highlight w:val="none"/>
          <w:lang w:val="en-US" w:eastAsia="zh-CN"/>
        </w:rPr>
        <w:t>中冶武勘智诚（武汉）工程技术有限公司</w:t>
      </w:r>
    </w:p>
    <w:p w14:paraId="35B059F3">
      <w:pPr>
        <w:pageBreakBefore w:val="0"/>
        <w:kinsoku/>
        <w:wordWrap/>
        <w:overflowPunct/>
        <w:topLinePunct w:val="0"/>
        <w:autoSpaceDE/>
        <w:autoSpaceDN/>
        <w:bidi w:val="0"/>
        <w:adjustRightInd/>
        <w:snapToGrid/>
        <w:spacing w:line="560" w:lineRule="exact"/>
        <w:textAlignment w:val="auto"/>
        <w:rPr>
          <w:rFonts w:hint="eastAsia"/>
          <w:color w:val="auto"/>
          <w:highlight w:val="none"/>
          <w:lang w:val="en-US" w:eastAsia="zh-CN"/>
        </w:rPr>
      </w:pPr>
      <w:r>
        <w:rPr>
          <w:rFonts w:hint="eastAsia"/>
          <w:color w:val="auto"/>
          <w:highlight w:val="none"/>
          <w:lang w:val="en-US" w:eastAsia="zh-CN"/>
        </w:rPr>
        <w:t>中冶武勘旗下公司，拥有院士工作站及多个省部级研发平台，具备</w:t>
      </w:r>
      <w:r>
        <w:rPr>
          <w:rFonts w:hint="eastAsia" w:ascii="方正仿宋简体" w:hAnsi="方正仿宋简体" w:cs="方正仿宋简体"/>
          <w:color w:val="auto"/>
          <w:highlight w:val="none"/>
          <w:lang w:val="en-US" w:eastAsia="zh-CN"/>
        </w:rPr>
        <w:t>DCMM三级、CMMI五</w:t>
      </w:r>
      <w:r>
        <w:rPr>
          <w:rFonts w:hint="eastAsia"/>
          <w:color w:val="auto"/>
          <w:highlight w:val="none"/>
          <w:lang w:val="en-US" w:eastAsia="zh-CN"/>
        </w:rPr>
        <w:t>级和甲级测绘资质。专注于工业大数据、物联网和数字孪生平台建设，具备多源异构数据融合治理和系统集成能力。在数字孪生、物联网等领域经验丰富，承建的清远抽水蓄能电站、南方电网工程及鄂钢可视化平台等项目，体现了其在复杂工业环境下的多源数据融合治理体系与智能化系统实施经验。</w:t>
      </w:r>
    </w:p>
    <w:p w14:paraId="794BEBB9">
      <w:pPr>
        <w:pStyle w:val="5"/>
        <w:keepNext/>
        <w:keepLines/>
        <w:pageBreakBefore w:val="0"/>
        <w:widowControl w:val="0"/>
        <w:numPr>
          <w:ilvl w:val="0"/>
          <w:numId w:val="2"/>
        </w:numPr>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迪格（杭州）物联科技有限公司</w:t>
      </w:r>
    </w:p>
    <w:p w14:paraId="3A5957EE">
      <w:pPr>
        <w:pageBreakBefore w:val="0"/>
        <w:kinsoku/>
        <w:wordWrap/>
        <w:overflowPunct/>
        <w:topLinePunct w:val="0"/>
        <w:autoSpaceDE/>
        <w:autoSpaceDN/>
        <w:bidi w:val="0"/>
        <w:adjustRightInd/>
        <w:snapToGrid/>
        <w:spacing w:line="560" w:lineRule="exact"/>
        <w:textAlignment w:val="auto"/>
        <w:rPr>
          <w:rFonts w:hint="eastAsia"/>
          <w:color w:val="auto"/>
          <w:highlight w:val="none"/>
          <w:lang w:val="en-US" w:eastAsia="zh-CN"/>
        </w:rPr>
      </w:pPr>
      <w:r>
        <w:rPr>
          <w:rFonts w:hint="eastAsia"/>
          <w:color w:val="auto"/>
          <w:highlight w:val="none"/>
          <w:lang w:val="en-US" w:eastAsia="zh-CN"/>
        </w:rPr>
        <w:t>迪格（杭州）物联科技有限公司是国内领先的轻量级工业物联网开源平台与数据服务商，可提供毫秒级数据采集、百亿级时序数据存储及实时边缘计算服务，平台支持千万级设备接入，兼容多类工业协议。在石油石化领域，</w:t>
      </w:r>
      <w:r>
        <w:rPr>
          <w:rFonts w:hint="eastAsia" w:ascii="方正仿宋简体" w:hAnsi="方正仿宋简体" w:cs="方正仿宋简体"/>
          <w:color w:val="auto"/>
          <w:highlight w:val="none"/>
          <w:lang w:val="en-US" w:eastAsia="zh-CN"/>
        </w:rPr>
        <w:t>公司2025年</w:t>
      </w:r>
      <w:r>
        <w:rPr>
          <w:rFonts w:hint="eastAsia"/>
          <w:color w:val="auto"/>
          <w:highlight w:val="none"/>
          <w:lang w:val="en-US" w:eastAsia="zh-CN"/>
        </w:rPr>
        <w:t>承接中海油集团“海上作业智能场景安全管控与数据治理服务平台”，具备该行业智能管控与数据治理的服务经验。</w:t>
      </w:r>
    </w:p>
    <w:p w14:paraId="32D3F186">
      <w:pPr>
        <w:pStyle w:val="4"/>
        <w:pageBreakBefore w:val="0"/>
        <w:widowControl/>
        <w:numPr>
          <w:ilvl w:val="0"/>
          <w:numId w:val="3"/>
        </w:numPr>
        <w:shd w:val="clear" w:color="auto" w:fill="auto"/>
        <w:kinsoku/>
        <w:wordWrap/>
        <w:overflowPunct/>
        <w:topLinePunct w:val="0"/>
        <w:autoSpaceDE/>
        <w:autoSpaceDN/>
        <w:bidi w:val="0"/>
        <w:adjustRightInd/>
        <w:snapToGrid/>
        <w:spacing w:before="0" w:after="0" w:line="560" w:lineRule="exact"/>
        <w:ind w:left="0" w:right="0" w:firstLine="0"/>
        <w:jc w:val="left"/>
        <w:textAlignment w:val="auto"/>
        <w:rPr>
          <w:rFonts w:hint="eastAsia" w:ascii="方正黑体简体" w:hAnsi="方正黑体简体" w:eastAsia="方正黑体简体" w:cs="方正黑体简体"/>
          <w:b w:val="0"/>
          <w:bCs w:val="0"/>
          <w:color w:val="auto"/>
          <w:kern w:val="0"/>
          <w:sz w:val="32"/>
          <w:szCs w:val="21"/>
          <w:highlight w:val="none"/>
          <w:u w:val="none"/>
          <w:shd w:val="clear" w:color="auto" w:fill="auto"/>
          <w:lang w:val="en-US" w:eastAsia="zh-CN" w:bidi="ar-SA"/>
        </w:rPr>
      </w:pPr>
      <w:r>
        <w:rPr>
          <w:rFonts w:hint="eastAsia" w:ascii="方正黑体简体" w:hAnsi="方正黑体简体" w:eastAsia="方正黑体简体" w:cs="方正黑体简体"/>
          <w:b w:val="0"/>
          <w:bCs w:val="0"/>
          <w:color w:val="auto"/>
          <w:kern w:val="0"/>
          <w:sz w:val="32"/>
          <w:szCs w:val="21"/>
          <w:highlight w:val="none"/>
          <w:u w:val="none"/>
          <w:shd w:val="clear" w:color="auto" w:fill="auto"/>
          <w:lang w:val="en-US" w:eastAsia="zh-CN" w:bidi="ar-SA"/>
        </w:rPr>
        <w:t>技术服务内容</w:t>
      </w:r>
    </w:p>
    <w:p w14:paraId="1CEFB7D6">
      <w:pPr>
        <w:rPr>
          <w:rFonts w:hint="default"/>
          <w:lang w:val="en-US" w:eastAsia="zh-CN"/>
        </w:rPr>
      </w:pPr>
      <w:r>
        <w:rPr>
          <w:rFonts w:hint="eastAsia"/>
        </w:rPr>
        <w:t>在明确时序数据采集管理技术研究的总体目标与建设方向之后，本章将围绕八大服务模块的具体构成与技术实现展开详细论述。需要特别指出的是，本项目并非对A11系统的替代或重构，而是基于A11现有采集架构进行的针对性能力增强——在保留原有业务逻辑与数据通道的前提下，通过引入独立的边缘计算层、标准化物模型体系及高性能时序存储引擎，系统性地解决A11在实时性、扩展性与数据治理层面的结构性短板。这种“增量叠加、协同共生”的改造策略，既确保了油田现有生产业务的平稳延续，又为高频时序数据的实时处理与智能应用开辟了独立、高效的技术路径。以下首先从整体数据流向的改造前后对比入手，阐明本项目技术服务框架的总体设计思路。</w:t>
      </w:r>
    </w:p>
    <w:p w14:paraId="3548E32C">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技术服务框架说明</w:t>
      </w:r>
    </w:p>
    <w:p w14:paraId="2CEF3082">
      <w:pPr>
        <w:pageBreakBefore w:val="0"/>
        <w:kinsoku/>
        <w:wordWrap/>
        <w:overflowPunct/>
        <w:topLinePunct w:val="0"/>
        <w:autoSpaceDE/>
        <w:autoSpaceDN/>
        <w:bidi w:val="0"/>
        <w:adjustRightInd/>
        <w:snapToGrid/>
        <w:spacing w:line="560" w:lineRule="exact"/>
        <w:textAlignment w:val="auto"/>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1.1技术服务框架</w:t>
      </w:r>
    </w:p>
    <w:p w14:paraId="1E9D1CAE">
      <w:pPr>
        <w:rPr>
          <w:rFonts w:hint="eastAsia"/>
        </w:rPr>
      </w:pPr>
      <w:r>
        <w:rPr>
          <w:rFonts w:hint="eastAsia"/>
        </w:rPr>
        <w:t>当前数据采集流向：油田现场的仪表、RTU、PLC、DCS等设备数据，通过A11系统的力控I/O服务定时轮巡采集，存入Pspace数据库，功图存入Oracle数据库，再经生产网DMZ汇聚后转储至办公网，用于作业区生产管控平台监控与报警。该架构采集频率低（分钟级定时抽吸约10-30分钟/档）、数据时延大（延时约10-20分钟），报警依赖后台批量处理无本地流水计算，无法做到秒级/亚秒级异常响应，难以支持高频时序数据的实时处理。同时协议支撑有限，视频流、智能仪表、新能源等新兴设备源无法接入，依赖老旧Windows环境无国产CPU/OS适配能力。</w:t>
      </w:r>
    </w:p>
    <w:p w14:paraId="20E40C98">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firstLine="0"/>
        <w:textAlignment w:val="auto"/>
        <w:rPr>
          <w:rFonts w:hint="default" w:ascii="方正仿宋简体" w:hAnsi="方正仿宋简体" w:eastAsia="方正仿宋简体" w:cs="方正仿宋简体"/>
          <w:i w:val="0"/>
          <w:iCs w:val="0"/>
          <w:caps w:val="0"/>
          <w:color w:val="auto"/>
          <w:spacing w:val="0"/>
          <w:kern w:val="2"/>
          <w:sz w:val="32"/>
          <w:szCs w:val="21"/>
          <w:highlight w:val="none"/>
          <w:lang w:val="en-US" w:eastAsia="zh-CN"/>
        </w:rPr>
      </w:pPr>
      <w:r>
        <w:rPr>
          <w:rFonts w:hint="eastAsia"/>
        </w:rPr>
        <w:t>本项目改造后的数据流向：采用"一条原链路+一条旁路"的并联架构——原A11采集链路原样运行，设备数据全量流向A11，</w:t>
      </w:r>
      <w:r>
        <w:rPr>
          <w:rFonts w:hint="eastAsia"/>
          <w:lang w:val="en-US" w:eastAsia="zh-CN"/>
        </w:rPr>
        <w:t>不影响原有业务流程</w:t>
      </w:r>
      <w:r>
        <w:rPr>
          <w:rFonts w:hint="eastAsia"/>
        </w:rPr>
        <w:t>；在同一数据流上并行复制一份镜像副本，经路由监听→边缘流水计算→DMZ短期缓存→数据湖统一长期存储。监听数据统一注册至数据湖主数据体系，不形成第二套数据体系；跨网安全方面，生产网只出不进，双向认证通道，控制指令穿透有独立审批。</w:t>
      </w:r>
      <w:r>
        <w:rPr>
          <w:rFonts w:hint="eastAsia"/>
        </w:rPr>
        <w:br w:type="textWrapping"/>
      </w:r>
      <w:r>
        <w:rPr>
          <w:rFonts w:hint="eastAsia"/>
          <w:lang w:val="en-US" w:eastAsia="zh-CN"/>
        </w:rPr>
        <w:tab/>
      </w:r>
      <w:r>
        <w:rPr>
          <w:rFonts w:hint="eastAsia"/>
        </w:rPr>
        <w:t>采集方式按终端接入类型分流：静态IP终端（有线/固定链路，设备侧为服务端）采用旁路方案——以客户端身份主动连接采集，设备侧无感知，原A11链路原样不动；动态IP终端（4G/移动网关，设备侧为客户端）采用桥接方案——抢占原服务器IP与端口，复制一份+透明转发原A11服务，这是不改DTU配置的唯一路径。</w:t>
      </w:r>
      <w:r>
        <w:rPr>
          <w:rFonts w:hint="eastAsia"/>
        </w:rPr>
        <w:br w:type="textWrapping"/>
      </w:r>
      <w:r>
        <w:rPr>
          <w:rFonts w:hint="eastAsia"/>
        </w:rPr>
        <w:t>接入节奏采用三阶段渐进、全程可回退：第一阶段观察，仅只读观察不介入，零风险；第二阶段桥接复制，桥接层绑定原地址端口，复制并原样转发，原链路业务不断，任一异常即时回退；第三阶段稳定并行，双路稳定运行，实施前后A11运行对比记录作为验收）。</w:t>
      </w:r>
      <w:r>
        <w:rPr>
          <w:rFonts w:hint="eastAsia"/>
          <w:lang w:val="en-US" w:eastAsia="zh-CN"/>
        </w:rPr>
        <w:t>同时通过边缘代理/边缘中枢的智能采集服务，实现变频采集，按需设置采集频率，将大幅缩短原10分钟的固定采集时延，可实现秒级的高频采集，满足</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针对设备多模态分析、智能运维等高实时场景的要求。</w:t>
      </w:r>
    </w:p>
    <w:p w14:paraId="2E4B1C94">
      <w:pPr>
        <w:pageBreakBefore w:val="0"/>
        <w:kinsoku/>
        <w:wordWrap/>
        <w:overflowPunct/>
        <w:topLinePunct w:val="0"/>
        <w:autoSpaceDE/>
        <w:autoSpaceDN/>
        <w:bidi w:val="0"/>
        <w:adjustRightInd/>
        <w:snapToGrid/>
        <w:spacing w:line="560" w:lineRule="exact"/>
        <w:ind w:firstLine="0" w:firstLineChars="0"/>
        <w:textAlignment w:val="auto"/>
        <w:rPr>
          <w:rFonts w:hint="eastAsia"/>
          <w:b/>
          <w:bCs/>
          <w:color w:val="auto"/>
          <w:sz w:val="22"/>
          <w:szCs w:val="16"/>
          <w:highlight w:val="none"/>
          <w:lang w:val="en-US" w:eastAsia="zh-CN"/>
        </w:rPr>
      </w:pPr>
      <w:r>
        <w:rPr>
          <w:rFonts w:hint="eastAsia"/>
          <w:b/>
          <w:bCs/>
          <w:color w:val="auto"/>
          <w:sz w:val="22"/>
          <w:szCs w:val="16"/>
          <w:highlight w:val="none"/>
          <w:lang w:val="en-US" w:eastAsia="zh-CN"/>
        </w:rPr>
        <w:drawing>
          <wp:anchor distT="0" distB="0" distL="114300" distR="114300" simplePos="0" relativeHeight="251661312" behindDoc="0" locked="0" layoutInCell="1" allowOverlap="1">
            <wp:simplePos x="0" y="0"/>
            <wp:positionH relativeFrom="column">
              <wp:posOffset>111125</wp:posOffset>
            </wp:positionH>
            <wp:positionV relativeFrom="paragraph">
              <wp:posOffset>187325</wp:posOffset>
            </wp:positionV>
            <wp:extent cx="5505450" cy="2545080"/>
            <wp:effectExtent l="0" t="0" r="6350" b="7620"/>
            <wp:wrapTopAndBottom/>
            <wp:docPr id="5" name="图片 8" descr="时序数据方案架构图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时序数据方案架构图_01(1)"/>
                    <pic:cNvPicPr>
                      <a:picLocks noChangeAspect="1"/>
                    </pic:cNvPicPr>
                  </pic:nvPicPr>
                  <pic:blipFill>
                    <a:blip r:embed="rId9"/>
                    <a:stretch>
                      <a:fillRect/>
                    </a:stretch>
                  </pic:blipFill>
                  <pic:spPr>
                    <a:xfrm>
                      <a:off x="0" y="0"/>
                      <a:ext cx="5505450" cy="2545080"/>
                    </a:xfrm>
                    <a:prstGeom prst="rect">
                      <a:avLst/>
                    </a:prstGeom>
                    <a:noFill/>
                    <a:ln>
                      <a:noFill/>
                    </a:ln>
                  </pic:spPr>
                </pic:pic>
              </a:graphicData>
            </a:graphic>
          </wp:anchor>
        </w:drawing>
      </w:r>
      <w:r>
        <w:rPr>
          <w:rFonts w:hint="eastAsia"/>
          <w:b/>
          <w:bCs/>
          <w:color w:val="auto"/>
          <w:sz w:val="22"/>
          <w:szCs w:val="16"/>
          <w:highlight w:val="none"/>
          <w:lang w:val="en-US" w:eastAsia="zh-CN"/>
        </w:rPr>
        <w:tab/>
      </w:r>
      <w:r>
        <w:rPr>
          <w:rFonts w:hint="eastAsia"/>
          <w:b/>
          <w:bCs/>
          <w:color w:val="auto"/>
          <w:sz w:val="22"/>
          <w:szCs w:val="16"/>
          <w:highlight w:val="none"/>
          <w:lang w:val="en-US" w:eastAsia="zh-CN"/>
        </w:rPr>
        <w:tab/>
      </w:r>
      <w:r>
        <w:rPr>
          <w:rFonts w:hint="eastAsia"/>
          <w:b/>
          <w:bCs/>
          <w:color w:val="auto"/>
          <w:sz w:val="22"/>
          <w:szCs w:val="16"/>
          <w:highlight w:val="none"/>
          <w:lang w:val="en-US" w:eastAsia="zh-CN"/>
        </w:rPr>
        <w:t>蓝（黄）色：本项目提供服务             绿色：原系统技术服务架构</w:t>
      </w:r>
    </w:p>
    <w:p w14:paraId="7198A135">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r>
        <w:rPr>
          <w:rFonts w:hint="eastAsia"/>
          <w:color w:val="auto"/>
          <w:highlight w:val="none"/>
          <w:lang w:val="en-US" w:eastAsia="zh-CN"/>
        </w:rPr>
        <w:t>图1技术服务框架</w:t>
      </w:r>
    </w:p>
    <w:p w14:paraId="4C614999">
      <w:pPr>
        <w:pStyle w:val="2"/>
        <w:rPr>
          <w:rFonts w:hint="default"/>
          <w:color w:val="auto"/>
          <w:highlight w:val="none"/>
          <w:lang w:val="en-US" w:eastAsia="zh-CN"/>
        </w:rPr>
      </w:pPr>
    </w:p>
    <w:p w14:paraId="73F41E76">
      <w:pPr>
        <w:pStyle w:val="2"/>
        <w:rPr>
          <w:rFonts w:hint="default"/>
          <w:color w:val="auto"/>
          <w:highlight w:val="none"/>
          <w:lang w:val="en-US" w:eastAsia="zh-CN"/>
        </w:rPr>
      </w:pPr>
      <w:r>
        <w:rPr>
          <w:rFonts w:hint="default"/>
          <w:color w:val="auto"/>
          <w:highlight w:val="none"/>
          <w:lang w:val="en-US" w:eastAsia="zh-CN"/>
        </w:rPr>
        <w:drawing>
          <wp:anchor distT="0" distB="0" distL="114300" distR="114300" simplePos="0" relativeHeight="251662336" behindDoc="0" locked="0" layoutInCell="1" allowOverlap="1">
            <wp:simplePos x="0" y="0"/>
            <wp:positionH relativeFrom="column">
              <wp:posOffset>716280</wp:posOffset>
            </wp:positionH>
            <wp:positionV relativeFrom="paragraph">
              <wp:posOffset>715645</wp:posOffset>
            </wp:positionV>
            <wp:extent cx="4055110" cy="4515485"/>
            <wp:effectExtent l="0" t="0" r="0" b="0"/>
            <wp:wrapSquare wrapText="bothSides"/>
            <wp:docPr id="3" name="图片 3" descr="时序项目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序项目数据流图"/>
                    <pic:cNvPicPr>
                      <a:picLocks noChangeAspect="1"/>
                    </pic:cNvPicPr>
                  </pic:nvPicPr>
                  <pic:blipFill>
                    <a:blip r:embed="rId10"/>
                    <a:stretch>
                      <a:fillRect/>
                    </a:stretch>
                  </pic:blipFill>
                  <pic:spPr>
                    <a:xfrm>
                      <a:off x="0" y="0"/>
                      <a:ext cx="4055110" cy="4515485"/>
                    </a:xfrm>
                    <a:prstGeom prst="rect">
                      <a:avLst/>
                    </a:prstGeom>
                  </pic:spPr>
                </pic:pic>
              </a:graphicData>
            </a:graphic>
          </wp:anchor>
        </w:drawing>
      </w:r>
    </w:p>
    <w:p w14:paraId="72C86D5D">
      <w:pPr>
        <w:pStyle w:val="2"/>
        <w:rPr>
          <w:rFonts w:hint="default"/>
          <w:color w:val="auto"/>
          <w:highlight w:val="none"/>
          <w:lang w:val="en-US" w:eastAsia="zh-CN"/>
        </w:rPr>
      </w:pPr>
    </w:p>
    <w:p w14:paraId="19A44483">
      <w:pPr>
        <w:pStyle w:val="2"/>
        <w:rPr>
          <w:rFonts w:hint="default"/>
          <w:color w:val="auto"/>
          <w:highlight w:val="none"/>
          <w:lang w:val="en-US" w:eastAsia="zh-CN"/>
        </w:rPr>
      </w:pPr>
    </w:p>
    <w:p w14:paraId="7113EA0A">
      <w:pPr>
        <w:pStyle w:val="2"/>
        <w:rPr>
          <w:rFonts w:hint="default"/>
          <w:color w:val="auto"/>
          <w:highlight w:val="none"/>
          <w:lang w:val="en-US" w:eastAsia="zh-CN"/>
        </w:rPr>
      </w:pPr>
    </w:p>
    <w:p w14:paraId="5D1E59F8">
      <w:pPr>
        <w:pStyle w:val="2"/>
        <w:rPr>
          <w:rFonts w:hint="default"/>
          <w:color w:val="auto"/>
          <w:highlight w:val="none"/>
          <w:lang w:val="en-US" w:eastAsia="zh-CN"/>
        </w:rPr>
      </w:pPr>
    </w:p>
    <w:p w14:paraId="24C8918C">
      <w:pPr>
        <w:pStyle w:val="2"/>
        <w:rPr>
          <w:rFonts w:hint="default"/>
          <w:color w:val="auto"/>
          <w:highlight w:val="none"/>
          <w:lang w:val="en-US" w:eastAsia="zh-CN"/>
        </w:rPr>
      </w:pPr>
    </w:p>
    <w:p w14:paraId="0FC26DDB">
      <w:pPr>
        <w:pStyle w:val="2"/>
        <w:rPr>
          <w:rFonts w:hint="default"/>
          <w:color w:val="auto"/>
          <w:highlight w:val="none"/>
          <w:lang w:val="en-US" w:eastAsia="zh-CN"/>
        </w:rPr>
      </w:pPr>
    </w:p>
    <w:p w14:paraId="47A77708">
      <w:pPr>
        <w:pStyle w:val="2"/>
        <w:rPr>
          <w:rFonts w:hint="default"/>
          <w:color w:val="auto"/>
          <w:highlight w:val="none"/>
          <w:lang w:val="en-US" w:eastAsia="zh-CN"/>
        </w:rPr>
      </w:pPr>
    </w:p>
    <w:p w14:paraId="7D9DB93A">
      <w:pPr>
        <w:pStyle w:val="2"/>
        <w:rPr>
          <w:rFonts w:hint="default"/>
          <w:color w:val="auto"/>
          <w:highlight w:val="none"/>
          <w:lang w:val="en-US" w:eastAsia="zh-CN"/>
        </w:rPr>
      </w:pPr>
    </w:p>
    <w:p w14:paraId="719E499A">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p>
    <w:p w14:paraId="1633C172">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p>
    <w:p w14:paraId="1E328500">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p>
    <w:p w14:paraId="410378A4">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p>
    <w:p w14:paraId="0CECA18F">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p>
    <w:p w14:paraId="4328063C">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p>
    <w:p w14:paraId="44CFA987">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rFonts w:hint="eastAsia"/>
          <w:color w:val="auto"/>
          <w:highlight w:val="none"/>
          <w:lang w:val="en-US" w:eastAsia="zh-CN"/>
        </w:rPr>
      </w:pPr>
      <w:r>
        <w:rPr>
          <w:rFonts w:hint="eastAsia"/>
          <w:color w:val="auto"/>
          <w:highlight w:val="none"/>
          <w:lang w:val="en-US" w:eastAsia="zh-CN"/>
        </w:rPr>
        <w:t>图2时序数据流图</w:t>
      </w:r>
    </w:p>
    <w:p w14:paraId="554DE59C">
      <w:pPr>
        <w:pStyle w:val="2"/>
        <w:rPr>
          <w:rFonts w:hint="default" w:ascii="方正仿宋简体" w:hAnsi="方正仿宋简体" w:cs="方正仿宋简体"/>
          <w:color w:val="auto"/>
          <w:szCs w:val="21"/>
          <w:highlight w:val="none"/>
          <w:shd w:val="clear" w:color="auto" w:fill="auto"/>
        </w:rPr>
      </w:pPr>
      <w:r>
        <w:rPr>
          <w:rFonts w:hint="default" w:ascii="方正仿宋简体" w:hAnsi="方正仿宋简体" w:cs="方正仿宋简体"/>
          <w:color w:val="auto"/>
          <w:szCs w:val="21"/>
          <w:highlight w:val="none"/>
          <w:shd w:val="clear" w:color="auto" w:fill="auto"/>
        </w:rPr>
        <w:t>第一层（</w:t>
      </w:r>
      <w:r>
        <w:rPr>
          <w:rFonts w:hint="eastAsia" w:ascii="方正仿宋简体" w:hAnsi="方正仿宋简体" w:cs="方正仿宋简体"/>
          <w:color w:val="auto"/>
          <w:szCs w:val="21"/>
          <w:highlight w:val="none"/>
          <w:shd w:val="clear" w:color="auto" w:fill="auto"/>
          <w:lang w:val="en-US" w:eastAsia="zh-CN"/>
        </w:rPr>
        <w:t>生产网</w:t>
      </w:r>
      <w:r>
        <w:rPr>
          <w:rFonts w:hint="default" w:ascii="方正仿宋简体" w:hAnsi="方正仿宋简体" w:cs="方正仿宋简体"/>
          <w:color w:val="auto"/>
          <w:szCs w:val="21"/>
          <w:highlight w:val="none"/>
          <w:shd w:val="clear" w:color="auto" w:fill="auto"/>
        </w:rPr>
        <w:t>）：位于生产网的各类现场设备（仪表、RTU、PLC、DCS、智能传感器、新能源设备等），通过边缘代理与边缘中枢集群完成多协议高频数据采集、物模型映射、流水计算及实时告警判定。</w:t>
      </w:r>
    </w:p>
    <w:p w14:paraId="437B51B9">
      <w:pPr>
        <w:pStyle w:val="2"/>
        <w:rPr>
          <w:rFonts w:hint="default" w:ascii="方正仿宋简体" w:hAnsi="方正仿宋简体" w:cs="方正仿宋简体"/>
          <w:color w:val="auto"/>
          <w:szCs w:val="21"/>
          <w:highlight w:val="none"/>
          <w:shd w:val="clear" w:color="auto" w:fill="auto"/>
        </w:rPr>
      </w:pPr>
      <w:r>
        <w:rPr>
          <w:rFonts w:hint="default" w:ascii="方正仿宋简体" w:hAnsi="方正仿宋简体" w:cs="方正仿宋简体"/>
          <w:color w:val="auto"/>
          <w:szCs w:val="21"/>
          <w:highlight w:val="none"/>
          <w:shd w:val="clear" w:color="auto" w:fill="auto"/>
        </w:rPr>
        <w:t>第二层（安全隔离）：经边缘处理后的标准化时序数据，通过跨区安全通道传输至DMZ区的只写时序数据库，实现生产网与办公网的安全隔离与数据缓冲。</w:t>
      </w:r>
    </w:p>
    <w:p w14:paraId="7216A99D">
      <w:pPr>
        <w:pStyle w:val="2"/>
        <w:rPr>
          <w:rFonts w:hint="default" w:ascii="方正仿宋简体" w:hAnsi="方正仿宋简体" w:cs="方正仿宋简体"/>
          <w:color w:val="auto"/>
          <w:szCs w:val="21"/>
          <w:highlight w:val="none"/>
          <w:shd w:val="clear" w:color="auto" w:fill="auto"/>
        </w:rPr>
      </w:pPr>
      <w:r>
        <w:rPr>
          <w:rFonts w:hint="default" w:ascii="方正仿宋简体" w:hAnsi="方正仿宋简体" w:cs="方正仿宋简体"/>
          <w:color w:val="auto"/>
          <w:szCs w:val="21"/>
          <w:highlight w:val="none"/>
          <w:shd w:val="clear" w:color="auto" w:fill="auto"/>
        </w:rPr>
        <w:t>第三层（</w:t>
      </w:r>
      <w:r>
        <w:rPr>
          <w:rFonts w:hint="eastAsia" w:ascii="方正仿宋简体" w:hAnsi="方正仿宋简体" w:cs="方正仿宋简体"/>
          <w:color w:val="auto"/>
          <w:szCs w:val="21"/>
          <w:highlight w:val="none"/>
          <w:shd w:val="clear" w:color="auto" w:fill="auto"/>
          <w:lang w:val="en-US" w:eastAsia="zh-CN"/>
        </w:rPr>
        <w:t>办公网</w:t>
      </w:r>
      <w:r>
        <w:rPr>
          <w:rFonts w:hint="default" w:ascii="方正仿宋简体" w:hAnsi="方正仿宋简体" w:cs="方正仿宋简体"/>
          <w:color w:val="auto"/>
          <w:szCs w:val="21"/>
          <w:highlight w:val="none"/>
          <w:shd w:val="clear" w:color="auto" w:fill="auto"/>
        </w:rPr>
        <w:t>）：DMZ数据同步至办公网只读时序数据库，采用三级存储策略（SSD热数据/HDD温数据/归档冷数据），最终为综合监控大屏、数据分析看板、告警管理平台等六大业务应用提供统一数据服务。</w:t>
      </w:r>
    </w:p>
    <w:p w14:paraId="2FFB2A1F">
      <w:pPr>
        <w:pStyle w:val="2"/>
        <w:rPr>
          <w:rFonts w:hint="default"/>
          <w:color w:val="auto"/>
          <w:highlight w:val="none"/>
          <w:lang w:val="en-US" w:eastAsia="zh-CN"/>
        </w:rPr>
      </w:pPr>
      <w:r>
        <w:rPr>
          <w:rFonts w:hint="default" w:ascii="方正仿宋简体" w:hAnsi="方正仿宋简体" w:cs="方正仿宋简体"/>
          <w:color w:val="auto"/>
          <w:szCs w:val="21"/>
          <w:highlight w:val="none"/>
          <w:shd w:val="clear" w:color="auto" w:fill="auto"/>
        </w:rPr>
        <w:t>整体数据流向为：生产网采集 → DMZ汇聚 → 办公网应用，两次跨区传输均通过安全隔离机制保障数据完整性与合规性，有效解决了原A11架构采集频率低、实时性不足的结构性短板。</w:t>
      </w:r>
    </w:p>
    <w:p w14:paraId="7AA871C7">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技术服务工作内容说明</w:t>
      </w:r>
    </w:p>
    <w:p w14:paraId="03EE6B7E">
      <w:pPr>
        <w:pStyle w:val="2"/>
        <w:pageBreakBefore w:val="0"/>
        <w:kinsoku/>
        <w:wordWrap/>
        <w:overflowPunct/>
        <w:topLinePunct w:val="0"/>
        <w:autoSpaceDE/>
        <w:autoSpaceDN/>
        <w:bidi w:val="0"/>
        <w:adjustRightInd/>
        <w:snapToGrid/>
        <w:spacing w:line="560" w:lineRule="exact"/>
        <w:ind w:left="0" w:leftChars="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b/>
          <w:bCs/>
          <w:color w:val="auto"/>
          <w:kern w:val="2"/>
          <w:sz w:val="32"/>
          <w:szCs w:val="21"/>
          <w:highlight w:val="none"/>
          <w:lang w:val="en-US" w:eastAsia="zh-CN" w:bidi="ar-SA"/>
        </w:rPr>
        <w:t>2.1. 边缘中枢时序数据应用管理系统软件开发</w:t>
      </w:r>
      <w:r>
        <w:rPr>
          <w:rFonts w:hint="eastAsia" w:ascii="方正仿宋简体" w:hAnsi="方正仿宋简体" w:eastAsia="方正仿宋简体" w:cs="方正仿宋简体"/>
          <w:b/>
          <w:bCs/>
          <w:color w:val="auto"/>
          <w:kern w:val="2"/>
          <w:sz w:val="32"/>
          <w:szCs w:val="21"/>
          <w:highlight w:val="none"/>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b/>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承载500万数据节点的并发处理能力，是面向多作业区的时序数据核心管理平台，实现两大核心引擎之"定制化</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流水计算</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"的平台侧能力。包含9个子模块：①服务治理与配置中心——异步框架+插件注册制内核+配置中心（热加载/回滚/审计），200+ REST API统一服务网关，分布式节点统一管理；②多协议解析引擎</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A11专有协议、Modbus RTU/TCP、OPC UA/DA、IEC104、MQTT、HTTP等协议统一解析引擎，协议插件注册制，非标协议按需接入；③混合存储引擎与数据生命周期管理</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TDengine时序引擎（高频流式写入/毫秒级多维查询）+PostgreSQL关系引擎+SQLite边缘降级存储，冷热温数据自动分层与自动分区保留策略；④消息中间件与边云同步通道</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MQTT/HTTP双协议消息中间件，QoS 0/1/2分级+Topic ACL权限控制，边缘节点-边缘中枢双向消息同步引擎，事件驱动架构，百万级测点高并发中枢（全油田16厂·100+作业区全部接入 · 260万+点位持续推送）；⑤定制化</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流水计算</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引擎</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算法内置（6种滑窗特征+9种判断规则），单条&lt;1ms内存判定，支持120+作业区各配置≥1种定制算法注册，事件驱动替代数据库轮询；⑥流式告警规则引擎与通知管理——入库前流水线判定架构，告警全生命周期管理（去重/合并/抑制/分级通知四级），逐井差异化调优，告警升级闭环；⑦可视化规则编排——规则配置、预制模板、规则组合编排、版本管理，拖拽式规则设计器；⑧一体化运维管控与可视化控制台——设备管理/告警管理/资产管理/报表中心/GIS地图，拖拽式仪表盘定制引擎，组织树（厂-矿-作业区-井）数据初始化；⑨全链路安全与审计追溯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加密算法</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+信创基础）</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，加密</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算法套件，三重安全体系（设备身份认证+用户RBAC授权（角色/岗位/数据三级粒度）+全操作审计），全链路加密与审计追溯。</w:t>
      </w:r>
    </w:p>
    <w:p w14:paraId="3856E78C">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b/>
          <w:bCs/>
          <w:color w:val="auto"/>
          <w:kern w:val="2"/>
          <w:sz w:val="32"/>
          <w:szCs w:val="21"/>
          <w:highlight w:val="none"/>
          <w:lang w:val="en-US" w:eastAsia="zh-CN" w:bidi="ar-SA"/>
        </w:rPr>
        <w:t>2.2. 边缘中枢汇聚系统开发</w:t>
      </w:r>
      <w:r>
        <w:rPr>
          <w:rFonts w:hint="eastAsia" w:ascii="方正仿宋简体" w:hAnsi="方正仿宋简体" w:eastAsia="方正仿宋简体" w:cs="方正仿宋简体"/>
          <w:b/>
          <w:bCs/>
          <w:color w:val="auto"/>
          <w:kern w:val="2"/>
          <w:sz w:val="32"/>
          <w:szCs w:val="21"/>
          <w:highlight w:val="none"/>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b/>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中枢侧系统开发，配合边缘中枢在作业区现场环境的边缘承载——两大核心引擎之"采集策略多样化"的边缘汇聚层。包含8个子模块：①边缘-中心消息通道与边云同步——配置汇聚节点，MQTT Broker部署与Topic命名规范实施，QoS等级按数据类型分级设置，边缘→中心数据推送上行通道测试，边云双向同步引擎；②边缘分级存储部署与策略实施——在边缘节点部署TDengine时序库+PostgreSQL关系库+SQLite降级库，按作业区数据量规划SSD/HDD分区方案，配置热数据（3天SSD）/温数据（30天HDD）/冷数据归档策略；③边缘运维监控面板部署：配置各作业区专属仪表盘（设备状态/采集质量/告警态势），组织树与GIS地图数据初始化（厂-矿-作业区-井）；④设备统一动态感知（静态IP+移动网关）——静态IP终端+移动网关统一感知（上线/下线/设备增删事件自动识别、网关台账管理），动态IP感知与端口映射穿透；⑤边缘安全合规配置与加密部署：边缘节点安全加固（防火墙规则配置仅开放必要端口、SSH访问控制），加密算法库部署与配置，MQTT TLS证书签发与安全策略，生产网只出不进规则；⑥边缘流水计算节点部署（入库前流水计算架构），中枢侧入库前流水计算架构部署（采集-计算-告警一气呵成，替代入库-轮询-告警），事件驱动引擎配置，性能达标验证；⑦历史回放与规则动态优化——历史规则回放评估、离线检测、规则动态优化，多粒度（日月年）统计聚合验证；⑧告警分级与闭环管理——四级告警配置、差异化通知策略、升级闭环流程验证。</w:t>
      </w:r>
    </w:p>
    <w:p w14:paraId="31CE4269">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lang w:val="en-US" w:eastAsia="zh-CN"/>
        </w:rPr>
      </w:pPr>
      <w:r>
        <w:rPr>
          <w:rFonts w:hint="eastAsia" w:ascii="方正仿宋简体" w:hAnsi="方正仿宋简体" w:cs="方正仿宋简体"/>
          <w:b/>
          <w:bCs/>
          <w:color w:val="auto"/>
          <w:highlight w:val="none"/>
          <w:lang w:val="en-US" w:eastAsia="zh-CN"/>
        </w:rPr>
        <w:t>2.3. 边缘数据采集与历史计算模块开发</w:t>
      </w:r>
    </w:p>
    <w:p w14:paraId="41895BFA">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可满足各种新型智能终端的协议支持，如MQTT协议等</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边缘端数据采集与计算的标准化功能组件——两大核心引擎之"采集策略多样化"的采集执行层。包含6个子模块：①边缘采集模块（多协议统一采集管道）：多协议统一采集管道（Modbus/OPC/MQTT/HTTP），入库前流水线计算（采集-计算-告警一气呵成），动态采集频率调度（正常/升频/降频/避让），三阶段渐进接入（观察→桥接复制→稳定并行），全程可回退；②作业区适配层配置驱动编排器，A11桥接/OPC DA/Modbus感知/本机业务4子模块，作业区资源隔离与独立运行，配置文件驱动零代码部署；③设备动态感知（Modbus TCP/RTU统一感知+流量学习），静态IP+移动网关统一感知，设备上线/下线/增删事件自动识别，MBAP从站/寄存器解析+点位集合，流量学习（设备/点位/指纹/帧漂移），10家主流网关厂家适配框架；④路由监听分析模块：双路监听按终端分流，静态IP终端采用客户端主动连接采集（旁路方案，设备侧无感知），动态IP终端采用抢占原IP:端口桥接转发（桥接方案，复制一份+透明转发原A11服务），Npcap+BPF零发包被动监听，流跟踪与协议自动识别，设备指纹/帧漂移异常检测；⑤历史计算模块（多粒度聚合+回放+报告）——日月年多粒度统计聚合，历史数据回放与离线检测，HTML/JSON格式报告自动生成，规则历史回放评估与动态优化；⑥稳定性保障：7×24小时连续观察，兼容性测试（多厂商/多协议/多版本），性能持续调优，故障注入与容错验证。</w:t>
      </w:r>
    </w:p>
    <w:p w14:paraId="000BF63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560" w:lineRule="exact"/>
        <w:ind w:left="0" w:firstLine="64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b/>
          <w:bCs/>
          <w:color w:val="auto"/>
          <w:kern w:val="2"/>
          <w:sz w:val="32"/>
          <w:szCs w:val="21"/>
          <w:highlight w:val="none"/>
          <w:lang w:val="en-US" w:eastAsia="zh-CN" w:bidi="ar-SA"/>
        </w:rPr>
        <w:t>2.4. 采集策略多样化定制——网关适配与协议接入</w:t>
      </w:r>
      <w:r>
        <w:rPr>
          <w:rFonts w:hint="eastAsia" w:ascii="方正仿宋简体" w:hAnsi="方正仿宋简体" w:eastAsia="方正仿宋简体" w:cs="方正仿宋简体"/>
          <w:b/>
          <w:bCs/>
          <w:color w:val="auto"/>
          <w:kern w:val="2"/>
          <w:sz w:val="32"/>
          <w:szCs w:val="21"/>
          <w:highlight w:val="none"/>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b/>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对应两大核心引擎之"采集策略多样化"（怎么采）的作业区级定制化落地。按各作业区实际设备情况、协议差异、业务需求独立定制，每个作业区均不同，均需独立配置与开发。包含7个子模块：①网关厂家适配：宏电/映翰通/亿帆/有人/四信/移远/合宙/中易云/万物纵横/莱特逐一适配，含注册帧识别、设备标识提取、透传解析、心跳保活，各厂家私有透传协议逐个适配开发；②现场多协议接入汇聚配置：按各作业区实际设备型号逐一配置协议接入参数，含Modbus RTU/TCP从站地址与寄存器表映射、IEC104遥测遥信点表导入、OPC UA/DA节点路径与订阅策略配置、MQTT/HTTP非标设备Topic与Payload模板定义；③设备动态感知与识别（Modbus TCP动态识别）：MBAP从站/寄存器解析、点位集合diff、流量学习（设备/点位/指纹/帧漂移），静态IP+动态IP终端统一感知；④智能动态调频（异常加密/低峰降频/弱网退避）——异常加密、低峰降频、弱网退避、错峰调度、热加载/回滚/审计，属油田业务策略定制，开源采集框架无此能力；⑤断网缓存与补传：断网本地缓存、恢复后按时序补传、去重幂等，适配油田弱网环境，开源无此业务闭环；⑥RTU状态感知与健康日报：在线/连续性/抖动/网络质量监测，在线率/完整率/成功率日报；⑦非标协议接入（A11未覆盖设备源统一适配）：A11未覆盖设备源统一适配（工程器械/能源计量/安防等按需），视频流（RTSP）、智能仪表、新能源设备等新兴设备源接入。</w:t>
      </w:r>
    </w:p>
    <w:p w14:paraId="6F1D4412">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100" w:afterAutospacing="0" w:line="560" w:lineRule="exact"/>
        <w:ind w:left="0" w:leftChars="0" w:firstLine="643" w:firstLineChars="20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b/>
          <w:bCs/>
          <w:color w:val="auto"/>
          <w:kern w:val="2"/>
          <w:sz w:val="32"/>
          <w:szCs w:val="21"/>
          <w:highlight w:val="none"/>
          <w:lang w:val="en-US" w:eastAsia="zh-CN" w:bidi="ar-SA"/>
        </w:rPr>
        <w:t>2.5. 定制化流水计算与物模型定制</w:t>
      </w:r>
      <w:r>
        <w:rPr>
          <w:rFonts w:hint="eastAsia" w:ascii="方正仿宋简体" w:hAnsi="方正仿宋简体" w:eastAsia="方正仿宋简体" w:cs="方正仿宋简体"/>
          <w:b/>
          <w:bCs/>
          <w:color w:val="auto"/>
          <w:kern w:val="2"/>
          <w:sz w:val="32"/>
          <w:szCs w:val="21"/>
          <w:highlight w:val="none"/>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b/>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对应两大核心引擎之"定制化流水计算"（怎么算）的作业区级定制化落地。按各作业区实际IO环境、设备协议、业务场景独立定制开发。包含7个子模块：①作业区适配层（配置驱动+4子模块）：配置驱动编排器（A11桥接/OPC DA/Modbus感知/本机业务4子模块），作业区资源隔离与独立运行，配置文件驱动零代码部署；②A11桥接与IO业务系统适配（按作业区定制）：每个作业区不同均需定制，不得影响原A11系统，8889端口对接+透传原IO零影响，路由监听分析（桥接链路）+A11专有协议解析+试点联调桥接验证，含原IP:端口抢占+透明转发+TCP流重组+长连接会话跟踪等核心技术难点；③OPC DA直采三级回退（按厂家定制）：DCS/PLC厂家差异适配（权限/协议/点位），三级回退策略，pSpace数值比对&lt;1%，OPC DA老技术开源库不维护，现场环境恶劣需自研回退链；④路由监听：静态客户端采集/动态桥接转发（CPU&lt;5%、延迟&lt;20μs），流跟踪、协议识别、设备指纹/帧漂移检测，零发包+协议识别+指纹漂移检测全自研；⑤物模型匹配与自动配点：G1-G8油水井物模型（抽油机/螺杆泵/电潜泵等，64点/地址对齐），自动生成配点表，油田行业特异资产开源无；⑥协议开发对接工程：psAPISDK直连、CommBridge协议解析、12种设备建模、Tag ID自动发现，中石油私有协议凭授权凭证开发对接；⑦多作业区体检台账：批量巡检、横向对比、红黄绿告警、报告自动生成。</w:t>
      </w:r>
    </w:p>
    <w:p w14:paraId="051F1406">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b/>
          <w:bCs/>
          <w:color w:val="auto"/>
          <w:kern w:val="2"/>
          <w:sz w:val="32"/>
          <w:szCs w:val="21"/>
          <w:highlight w:val="none"/>
          <w:lang w:val="en-US" w:eastAsia="zh-CN" w:bidi="ar-SA"/>
        </w:rPr>
        <w:t>2.6. 算法定制验证与现场联调</w:t>
      </w:r>
      <w:r>
        <w:rPr>
          <w:rFonts w:hint="eastAsia" w:ascii="方正仿宋简体" w:hAnsi="方正仿宋简体" w:eastAsia="方正仿宋简体" w:cs="方正仿宋简体"/>
          <w:b/>
          <w:bCs/>
          <w:color w:val="auto"/>
          <w:kern w:val="2"/>
          <w:sz w:val="32"/>
          <w:szCs w:val="21"/>
          <w:highlight w:val="none"/>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b/>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流水计算引擎的作业区级部署、配置与验证：定制化流水计算的现场落地，确保每个作业区的流水计算与告警能力与实际工况匹配。包含4个子模块：①作业区定制流水计算（按场景定制开发）：每个作业区场景不同均需定制，每作业区配置≥1种定制算法注册制、批量校验、算法模板库，入库前流水计算（告警入库前完成），逐井差异化调优；②边缘节点运行时环境部署：在各作业区工控机/边缘服务器上部署运行时环境，含FastAPI框架安装、Python依赖环境配置、系统服务注册（开机自启），双网卡配置（工控网+办公网）；③现场告警判定与通知策略配置：按作业区实际需求配置告警规则（抽油机示功图异常/注水井压力突变/电潜泵电流过载等场景阈值设定），通知策略配置（哪些人/什么方式/什么时段）；④边缘现场集成测试与文档交付：每作业区执行端到端数据链路测试（现场设备→边缘采集→中心入库→控制台展示），告警全流程演练（触发→判定→通知→确认→处理→关闭），性能基线记录。</w:t>
      </w:r>
    </w:p>
    <w:p w14:paraId="07D587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b/>
          <w:bCs/>
          <w:color w:val="auto"/>
          <w:kern w:val="2"/>
          <w:sz w:val="32"/>
          <w:szCs w:val="21"/>
          <w:highlight w:val="none"/>
          <w:lang w:val="en-US" w:eastAsia="zh-CN" w:bidi="ar-SA"/>
        </w:rPr>
        <w:t>2.7. 全链路压测与信创全栈验证</w:t>
      </w:r>
      <w:r>
        <w:rPr>
          <w:rFonts w:hint="eastAsia" w:ascii="方正仿宋简体" w:hAnsi="方正仿宋简体" w:eastAsia="方正仿宋简体" w:cs="方正仿宋简体"/>
          <w:b/>
          <w:bCs/>
          <w:color w:val="auto"/>
          <w:kern w:val="2"/>
          <w:sz w:val="32"/>
          <w:szCs w:val="21"/>
          <w:highlight w:val="none"/>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b/>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跨板块的项目级质量保证与信创合规验证，是本项目从开发验证、迭代调优最终走向稳定上线不可或缺的关键环节。鉴于本项目需支撑数万级设备接入及百万级时序数据节点的高并发场景（全油田16厂·100+作业区全部接入、260万+设备点位持续推送），且流水计算、告警判定、数据存储等多项服务需在实际负载下协同运行，任何单一环节的性能短板均可能导致系统整体不可用，必须在上线前通过系统性测试充分暴露潜在瓶颈、验证系统容量。包含4个子模块：①单元/集成/系统测试——自动化用例、功能/性能/兼容性测试、验收指标验证（500万测点、5万并发）；②全链路压测验证：全油田16厂·100+作业区全部接入模拟、260万+设备点位持续推送、故障注入、15天长稳测试；③规模化灌数验证：百万级测点灌数（MQTT聚合QoS0）、数据完整性校验；④信创全栈适配——麒麟/统信UOS、飞腾/鲲鹏、达梦/金仓、国产浏览器全面适配验证，社区版时序库不支持信创OS须自主适配。</w:t>
      </w:r>
    </w:p>
    <w:p w14:paraId="00E849B9">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3" w:firstLineChars="20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pPr>
      <w:r>
        <w:rPr>
          <w:rFonts w:hint="eastAsia" w:ascii="方正仿宋简体" w:hAnsi="方正仿宋简体" w:eastAsia="方正仿宋简体" w:cs="方正仿宋简体"/>
          <w:b/>
          <w:bCs/>
          <w:color w:val="auto"/>
          <w:kern w:val="2"/>
          <w:sz w:val="32"/>
          <w:szCs w:val="21"/>
          <w:highlight w:val="none"/>
          <w:lang w:val="en-US" w:eastAsia="zh-CN" w:bidi="ar-SA"/>
        </w:rPr>
        <w:t>2.</w:t>
      </w:r>
      <w:r>
        <w:rPr>
          <w:rFonts w:hint="eastAsia" w:ascii="方正仿宋简体" w:hAnsi="方正仿宋简体" w:cs="方正仿宋简体"/>
          <w:b/>
          <w:bCs/>
          <w:color w:val="auto"/>
          <w:kern w:val="2"/>
          <w:sz w:val="32"/>
          <w:szCs w:val="21"/>
          <w:highlight w:val="none"/>
          <w:lang w:val="en-US" w:eastAsia="zh-CN" w:bidi="ar-SA"/>
        </w:rPr>
        <w:t>8</w:t>
      </w:r>
      <w:r>
        <w:rPr>
          <w:rFonts w:hint="eastAsia" w:ascii="方正仿宋简体" w:hAnsi="方正仿宋简体" w:eastAsia="方正仿宋简体" w:cs="方正仿宋简体"/>
          <w:b/>
          <w:bCs/>
          <w:color w:val="auto"/>
          <w:kern w:val="2"/>
          <w:sz w:val="32"/>
          <w:szCs w:val="21"/>
          <w:highlight w:val="none"/>
          <w:lang w:val="en-US" w:eastAsia="zh-CN" w:bidi="ar-SA"/>
        </w:rPr>
        <w:t>. 部署实施、文档交付与培训</w:t>
      </w:r>
      <w:r>
        <w:rPr>
          <w:rFonts w:hint="eastAsia" w:ascii="方正仿宋简体" w:hAnsi="方正仿宋简体" w:eastAsia="方正仿宋简体" w:cs="方正仿宋简体"/>
          <w:b/>
          <w:bCs/>
          <w:color w:val="auto"/>
          <w:kern w:val="2"/>
          <w:sz w:val="32"/>
          <w:szCs w:val="21"/>
          <w:highlight w:val="none"/>
          <w:lang w:val="en-US" w:eastAsia="zh-CN" w:bidi="ar-SA"/>
        </w:rPr>
        <w:br w:type="textWrapping"/>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ab/>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bidi="ar-SA"/>
        </w:rPr>
        <w:t>项目整体交付服务，确保系统从开发环境平稳过渡到生产环境，甲方团队具备独立运维能力。包含3个子模块：①整体部署实施：整体软件配置部署，A11桥接验证（实施前后A11运行对比记录作为验收项：采集成功率、链路时延与基线一致），OPC联调，验收；②文档交付：需求规格说明书、系统概要设计文档、系统详细设计文档、测试报告（含单元测试/集成测试/系统测试/性能测试）、用户使用说明书、运维手册，文档内容完整、描述清晰、格式规范；③培训（跟学共建）：甲方团队全程参与开发过程培训，源码讲解，独立运维考核，确保运维团队具备独立运维能力，实现技术能力转移。</w:t>
      </w:r>
    </w:p>
    <w:p w14:paraId="188E5326">
      <w:pPr>
        <w:pStyle w:val="5"/>
        <w:keepNext/>
        <w:keepLines/>
        <w:pageBreakBefore w:val="0"/>
        <w:widowControl w:val="0"/>
        <w:numPr>
          <w:ilvl w:val="0"/>
          <w:numId w:val="4"/>
        </w:numPr>
        <w:suppressLineNumbers w:val="0"/>
        <w:shd w:val="clear" w:color="auto" w:fill="auto"/>
        <w:kinsoku/>
        <w:wordWrap/>
        <w:overflowPunct/>
        <w:topLinePunct w:val="0"/>
        <w:autoSpaceDE/>
        <w:autoSpaceDN/>
        <w:bidi w:val="0"/>
        <w:adjustRightInd/>
        <w:snapToGrid/>
        <w:spacing w:before="100" w:beforeAutospacing="0" w:after="0" w:afterAutospacing="0" w:line="560" w:lineRule="exact"/>
        <w:ind w:left="0"/>
        <w:textAlignment w:val="auto"/>
        <w:rPr>
          <w:rFonts w:hint="default" w:ascii="方正仿宋简体" w:hAnsi="方正仿宋简体" w:eastAsia="方正仿宋简体" w:cs="方正仿宋简体"/>
          <w:color w:val="auto"/>
          <w:kern w:val="2"/>
          <w:sz w:val="32"/>
          <w:szCs w:val="21"/>
          <w:highlight w:val="none"/>
          <w:lang w:val="en-US" w:eastAsia="zh-CN"/>
        </w:rPr>
      </w:pPr>
      <w:r>
        <w:rPr>
          <w:rFonts w:hint="eastAsia" w:ascii="方正楷体简体" w:hAnsi="方正楷体简体" w:cs="方正楷体简体"/>
          <w:color w:val="auto"/>
          <w:szCs w:val="28"/>
          <w:highlight w:val="none"/>
          <w:lang w:val="en-US" w:eastAsia="zh-CN"/>
        </w:rPr>
        <w:t>总体要求</w:t>
      </w:r>
    </w:p>
    <w:p w14:paraId="21999286">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textAlignment w:val="auto"/>
        <w:rPr>
          <w:rFonts w:hint="eastAsia" w:ascii="方正仿宋简体" w:hAnsi="方正仿宋简体" w:cs="方正仿宋简体"/>
          <w:color w:val="auto"/>
          <w:kern w:val="2"/>
          <w:sz w:val="32"/>
          <w:szCs w:val="21"/>
          <w:highlight w:val="none"/>
          <w:shd w:val="clear" w:color="auto" w:fill="auto"/>
        </w:rPr>
      </w:pPr>
      <w:r>
        <w:rPr>
          <w:rFonts w:hint="eastAsia" w:ascii="方正仿宋简体" w:hAnsi="方正仿宋简体" w:cs="方正仿宋简体"/>
          <w:color w:val="auto"/>
          <w:kern w:val="2"/>
          <w:sz w:val="32"/>
          <w:szCs w:val="21"/>
          <w:highlight w:val="none"/>
          <w:shd w:val="clear" w:color="auto" w:fill="auto"/>
        </w:rPr>
        <w:t>上述总体要求明确了本项目在实时性、扩展性、安全性与自主可控等方面的核心目标，为技术实施指明了方向。为将总体要求落地为可操作、可验证的具体能力，本项目规划了八大技术服务模块，涵盖从采集增强、物模型标准化、多协议接入，到流水计算、数据治理、分级存储、监控可视及全链路压测的完整闭环。在技术策略上，项目采用“增量叠加、协同共生”的改造思路，在保留A11既有业务逻辑与数据通道的前提下，新增独立的高频时序数据处理链路，通过边缘计算节点下沉、物模型映射及国产时序数据库等关键举措，系统性地补齐A11在实时响应、异构扩展与智能判定等方面的结构短板。以下首先从改造前后的数据流向对比入手，对本项目的技术服务框架进行整体说明。</w:t>
      </w:r>
    </w:p>
    <w:p w14:paraId="33FA8AC6">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本项目完成后，将作为</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作业区生产管控平台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的数据采集与实时计算延伸模块，与现有平台功能互补、数据互通。具体技术要求如下：</w:t>
      </w:r>
    </w:p>
    <w:p w14:paraId="66580C0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IPv6协议；提供通信加密、国产操作系统运行环境；提供贯穿数据采集、传输、存储、使用全流程的设备认证、权限控制、数据脱敏与审计服务；确保数据仅在中石油内部网络流转，满足合规要求。提供标准化接口，支持与A11等现有系统交互，以及轻量级协议内部分发的数据互通服务。</w:t>
      </w:r>
    </w:p>
    <w:p w14:paraId="79D8BC3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文档验收：需提交完整的项目交付物，包括但不限于：需求分析文档、系统概要设计文档、系统详细设计文档、技术总结报告、用户使用说明书、测试报告及源代码等。文档应内容完整、描述清晰、格式规范。</w:t>
      </w:r>
    </w:p>
    <w:p w14:paraId="0FE79C7D">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信创要求：本项目的数据治理、模型、功能及接口等全部技术服务，严格遵循数字化运维智能管理平台既定信创技术路线。</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本系统与信创时序数据库高度兼容且能力互补，可替代目前的PHD。最终可达到时序数据库的信创要求。</w:t>
      </w:r>
    </w:p>
    <w:p w14:paraId="42A4A46C">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质保与运维：提供三年的免费质保服务，包括分级故障响应、定期系统巡检、缺陷修复、数据备份恢复及内部技术团队培训，保障系统长期可靠运行。</w:t>
      </w:r>
    </w:p>
    <w:p w14:paraId="76EC40E9">
      <w:pPr>
        <w:pStyle w:val="5"/>
        <w:keepNext/>
        <w:keepLines/>
        <w:pageBreakBefore w:val="0"/>
        <w:numPr>
          <w:ilvl w:val="0"/>
          <w:numId w:val="4"/>
        </w:numPr>
        <w:shd w:val="clear" w:color="auto" w:fill="auto"/>
        <w:kinsoku/>
        <w:wordWrap/>
        <w:overflowPunct/>
        <w:topLinePunct w:val="0"/>
        <w:autoSpaceDE/>
        <w:autoSpaceDN/>
        <w:bidi w:val="0"/>
        <w:adjustRightInd/>
        <w:snapToGrid/>
        <w:spacing w:line="560" w:lineRule="exact"/>
        <w:textAlignment w:val="auto"/>
        <w:rPr>
          <w:rFonts w:hint="eastAsia" w:ascii="方正楷体简体" w:hAnsi="方正楷体简体" w:eastAsia="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技术服务标准</w:t>
      </w:r>
    </w:p>
    <w:p w14:paraId="554029F6">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操作日志完整保留且不可更改；支持</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模拟</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多个</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边缘代理的统一配置下发与日志汇聚。</w:t>
      </w:r>
    </w:p>
    <w:p w14:paraId="5FB071A1">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覆盖</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多</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种型号设备的物模型定义；</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数据质量校验规则</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全部启用并可配置。</w:t>
      </w:r>
    </w:p>
    <w:p w14:paraId="29E31C6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提供断网本地缓存及网络恢复后的自动补传能力。</w:t>
      </w:r>
    </w:p>
    <w:p w14:paraId="08341227">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在模拟全油田设备500万测点规模下，聚合查询响应时间不超过3秒；提供RESTAPI、MQTT、WebSocket三类标准数据接口；所有操作日志完整保留且不可更改。</w:t>
      </w:r>
    </w:p>
    <w:p w14:paraId="2E9ED660">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数据</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下钻；自动生成日/周/月报。</w:t>
      </w:r>
    </w:p>
    <w:p w14:paraId="6EAC6BE0">
      <w:pPr>
        <w:pStyle w:val="4"/>
        <w:pageBreakBefore w:val="0"/>
        <w:widowControl/>
        <w:numPr>
          <w:ilvl w:val="0"/>
          <w:numId w:val="3"/>
        </w:numPr>
        <w:shd w:val="clear" w:color="auto" w:fill="auto"/>
        <w:kinsoku/>
        <w:wordWrap/>
        <w:overflowPunct/>
        <w:topLinePunct w:val="0"/>
        <w:autoSpaceDE/>
        <w:autoSpaceDN/>
        <w:bidi w:val="0"/>
        <w:adjustRightInd/>
        <w:snapToGrid/>
        <w:spacing w:after="0" w:line="560" w:lineRule="exact"/>
        <w:jc w:val="left"/>
        <w:textAlignment w:val="auto"/>
        <w:rPr>
          <w:rFonts w:hint="eastAsia" w:ascii="方正黑体简体" w:hAnsi="方正黑体简体" w:eastAsia="方正黑体简体" w:cs="方正黑体简体"/>
          <w:bCs w:val="0"/>
          <w:color w:val="auto"/>
          <w:szCs w:val="21"/>
          <w:highlight w:val="none"/>
          <w:lang w:val="en-US" w:eastAsia="zh-CN" w:bidi="ar-SA"/>
        </w:rPr>
      </w:pPr>
      <w:r>
        <w:rPr>
          <w:rFonts w:hint="eastAsia" w:ascii="方正黑体简体" w:hAnsi="方正黑体简体" w:eastAsia="方正黑体简体" w:cs="方正黑体简体"/>
          <w:bCs w:val="0"/>
          <w:color w:val="auto"/>
          <w:szCs w:val="21"/>
          <w:highlight w:val="none"/>
          <w:lang w:val="en-US" w:eastAsia="zh-CN" w:bidi="ar-SA"/>
        </w:rPr>
        <w:t>应用范围和运维安排</w:t>
      </w:r>
    </w:p>
    <w:p w14:paraId="67EDE238">
      <w:pPr>
        <w:rPr>
          <w:rFonts w:hint="eastAsia"/>
          <w:lang w:val="en-US" w:eastAsia="zh-CN"/>
        </w:rPr>
      </w:pPr>
      <w:r>
        <w:rPr>
          <w:rFonts w:hint="eastAsia"/>
        </w:rPr>
        <w:t>综上所述，本项目在应用范围上实现了从单一油气生产向新能源、工程技术等新兴领域的有效延伸，在运维安排上构建了覆盖系统监控、故障响应、版本升级及应急预案的全过程保障体系，确保了平台上线后的长效稳定运行。然而，技术方案的先进性与运维体系的完备性，最终需通过合理的经济投入来实现其落地价值。为此，在充分论证技术路线与运维模式的基础上，我们结合油田实际规模与业务需求，对各服务模块的工作量、资源消耗及实施难度进行了精细化测算。以下将本着“功能匹配、价格合理、效益优先”的原则，从技术服务费用明细、资金预算构成及付款进度安排三个方面，对本项目的投资估算与价格方案进行系统说明。</w:t>
      </w:r>
    </w:p>
    <w:p w14:paraId="1DB807CD">
      <w:pPr>
        <w:pStyle w:val="5"/>
        <w:keepNext/>
        <w:keepLines/>
        <w:pageBreakBefore w:val="0"/>
        <w:widowControl w:val="0"/>
        <w:numPr>
          <w:ilvl w:val="0"/>
          <w:numId w:val="5"/>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应用范围</w:t>
      </w:r>
    </w:p>
    <w:p w14:paraId="00551C6E">
      <w:pPr>
        <w:pageBreakBefore w:val="0"/>
        <w:kinsoku/>
        <w:wordWrap/>
        <w:overflowPunct/>
        <w:topLinePunct w:val="0"/>
        <w:autoSpaceDE/>
        <w:autoSpaceDN/>
        <w:bidi w:val="0"/>
        <w:adjustRightInd/>
        <w:snapToGrid/>
        <w:spacing w:line="560" w:lineRule="exact"/>
        <w:textAlignment w:val="auto"/>
        <w:rPr>
          <w:rFonts w:hint="eastAsia" w:eastAsia="方正仿宋简体"/>
          <w:color w:val="auto"/>
          <w:highlight w:val="none"/>
          <w:lang w:eastAsia="zh-CN"/>
        </w:rPr>
      </w:pPr>
      <w:r>
        <w:rPr>
          <w:rFonts w:hint="eastAsia"/>
          <w:color w:val="auto"/>
          <w:highlight w:val="none"/>
        </w:rPr>
        <w:t>本项目完成建设后，可形成标准化时序数据采集体系，全面支撑大庆油田各采油厂时序数据统一采集、接入与归集工作，还可横向延伸适配工程技术、新能源、安全环保等多业务领域时序数据接入需求，为</w:t>
      </w:r>
      <w:r>
        <w:rPr>
          <w:rFonts w:hint="eastAsia"/>
          <w:color w:val="auto"/>
          <w:highlight w:val="none"/>
          <w:lang w:val="en-US" w:eastAsia="zh-CN"/>
        </w:rPr>
        <w:t>未来服务面向</w:t>
      </w:r>
      <w:r>
        <w:rPr>
          <w:rFonts w:hint="eastAsia"/>
          <w:color w:val="auto"/>
          <w:highlight w:val="none"/>
        </w:rPr>
        <w:t>油田提供成熟可靠的时序数据技术底座。</w:t>
      </w:r>
    </w:p>
    <w:p w14:paraId="75D67FFD">
      <w:pPr>
        <w:pStyle w:val="5"/>
        <w:keepNext/>
        <w:keepLines/>
        <w:pageBreakBefore w:val="0"/>
        <w:widowControl w:val="0"/>
        <w:numPr>
          <w:ilvl w:val="0"/>
          <w:numId w:val="5"/>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维保范围</w:t>
      </w:r>
    </w:p>
    <w:p w14:paraId="77D7F88C">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color w:val="auto"/>
          <w:highlight w:val="none"/>
        </w:rPr>
        <w:t>软件开发商提供自项目验收之日起</w:t>
      </w:r>
      <w:r>
        <w:rPr>
          <w:rFonts w:hint="eastAsia"/>
          <w:color w:val="auto"/>
          <w:highlight w:val="none"/>
          <w:lang w:val="en-US" w:eastAsia="zh-CN"/>
        </w:rPr>
        <w:t>3</w:t>
      </w:r>
      <w:r>
        <w:rPr>
          <w:rFonts w:hint="eastAsia"/>
          <w:color w:val="auto"/>
          <w:highlight w:val="none"/>
        </w:rPr>
        <w:t>年质保与技术支持，包括系统缺陷修复、信创环境适配调整、性能优化及技术咨询。质保期内提供7×24小时应急响应，重大故障</w:t>
      </w:r>
      <w:r>
        <w:rPr>
          <w:rFonts w:hint="eastAsia"/>
          <w:color w:val="auto"/>
          <w:highlight w:val="none"/>
          <w:lang w:val="en-US" w:eastAsia="zh-CN"/>
        </w:rPr>
        <w:t>5</w:t>
      </w:r>
      <w:r>
        <w:rPr>
          <w:rFonts w:hint="eastAsia"/>
          <w:color w:val="auto"/>
          <w:highlight w:val="none"/>
        </w:rPr>
        <w:t>小时内到场处理，一般问题24小时内解决。</w:t>
      </w:r>
    </w:p>
    <w:p w14:paraId="2CBAB64E">
      <w:pPr>
        <w:pStyle w:val="5"/>
        <w:keepNext/>
        <w:keepLines/>
        <w:pageBreakBefore w:val="0"/>
        <w:widowControl w:val="0"/>
        <w:numPr>
          <w:ilvl w:val="0"/>
          <w:numId w:val="5"/>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后续运维</w:t>
      </w:r>
    </w:p>
    <w:p w14:paraId="398CFEB3">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color w:val="auto"/>
          <w:highlight w:val="none"/>
        </w:rPr>
        <w:t>系统上线后，</w:t>
      </w:r>
      <w:r>
        <w:rPr>
          <w:rFonts w:hint="eastAsia"/>
          <w:color w:val="auto"/>
          <w:highlight w:val="none"/>
          <w:lang w:val="en-US" w:eastAsia="zh-CN"/>
        </w:rPr>
        <w:t>在本系统3年的维保期满后，系统的</w:t>
      </w:r>
      <w:r>
        <w:rPr>
          <w:rFonts w:hint="eastAsia"/>
          <w:color w:val="auto"/>
          <w:highlight w:val="none"/>
        </w:rPr>
        <w:t>日常运维</w:t>
      </w:r>
      <w:r>
        <w:rPr>
          <w:rFonts w:hint="eastAsia"/>
          <w:color w:val="auto"/>
          <w:highlight w:val="none"/>
          <w:lang w:val="en-US" w:eastAsia="zh-CN"/>
        </w:rPr>
        <w:t>交</w:t>
      </w:r>
      <w:r>
        <w:rPr>
          <w:rFonts w:hint="eastAsia"/>
          <w:color w:val="auto"/>
          <w:highlight w:val="none"/>
        </w:rPr>
        <w:t>由数智技术公司承担（内部自维），负责系统部署、巡检、数据备份恢复、用户权限管理及常见故障处理。提供必要的技术支持和人员培训，确保运维团队具备独立运维能力。</w:t>
      </w:r>
    </w:p>
    <w:p w14:paraId="46EBC781">
      <w:pPr>
        <w:pStyle w:val="4"/>
        <w:pageBreakBefore w:val="0"/>
        <w:widowControl/>
        <w:numPr>
          <w:ilvl w:val="0"/>
          <w:numId w:val="0"/>
        </w:numPr>
        <w:kinsoku/>
        <w:wordWrap/>
        <w:overflowPunct/>
        <w:topLinePunct w:val="0"/>
        <w:autoSpaceDE/>
        <w:autoSpaceDN/>
        <w:bidi w:val="0"/>
        <w:adjustRightInd/>
        <w:snapToGrid/>
        <w:spacing w:after="0" w:line="560" w:lineRule="exact"/>
        <w:jc w:val="left"/>
        <w:textAlignment w:val="auto"/>
        <w:rPr>
          <w:rFonts w:hint="eastAsia" w:ascii="方正黑体简体" w:hAnsi="方正黑体简体" w:cs="方正黑体简体"/>
          <w:color w:val="auto"/>
          <w:szCs w:val="21"/>
          <w:highlight w:val="none"/>
          <w:lang w:val="en-US" w:eastAsia="zh-CN" w:bidi="ar-SA"/>
        </w:rPr>
      </w:pPr>
      <w:r>
        <w:rPr>
          <w:rFonts w:hint="eastAsia" w:ascii="方正黑体简体" w:hAnsi="方正黑体简体" w:cs="方正黑体简体"/>
          <w:color w:val="auto"/>
          <w:szCs w:val="21"/>
          <w:highlight w:val="none"/>
          <w:lang w:val="en-US" w:eastAsia="zh-CN" w:bidi="ar-SA"/>
        </w:rPr>
        <w:t>五、预计费用及有关说明</w:t>
      </w:r>
    </w:p>
    <w:p w14:paraId="7ECC584C">
      <w:pPr>
        <w:pageBreakBefore w:val="0"/>
        <w:kinsoku/>
        <w:wordWrap/>
        <w:overflowPunct/>
        <w:topLinePunct w:val="0"/>
        <w:autoSpaceDE/>
        <w:autoSpaceDN/>
        <w:bidi w:val="0"/>
        <w:adjustRightInd/>
        <w:snapToGrid/>
        <w:spacing w:line="560" w:lineRule="exact"/>
        <w:ind w:firstLine="320" w:firstLineChars="100"/>
        <w:textAlignment w:val="auto"/>
        <w:rPr>
          <w:rFonts w:hint="eastAsia"/>
          <w:color w:val="auto"/>
          <w:highlight w:val="none"/>
          <w:lang w:val="en-US" w:eastAsia="zh-CN"/>
        </w:rPr>
      </w:pPr>
      <w:r>
        <w:rPr>
          <w:rFonts w:hint="eastAsia"/>
          <w:color w:val="auto"/>
          <w:highlight w:val="none"/>
          <w:lang w:val="zh-CN" w:eastAsia="zh-CN"/>
        </w:rPr>
        <w:t>《时序数据采集管理技术服务》预计费用为</w:t>
      </w:r>
      <w:r>
        <w:rPr>
          <w:rFonts w:hint="eastAsia"/>
          <w:color w:val="auto"/>
          <w:highlight w:val="none"/>
          <w:lang w:val="en-US" w:eastAsia="zh-CN"/>
        </w:rPr>
        <w:t>不含税684万元，含税总金额725.04</w:t>
      </w:r>
      <w:r>
        <w:rPr>
          <w:rFonts w:hint="eastAsia"/>
          <w:color w:val="auto"/>
          <w:highlight w:val="none"/>
          <w:lang w:val="zh-CN" w:eastAsia="zh-CN"/>
        </w:rPr>
        <w:t>万元（</w:t>
      </w:r>
      <w:r>
        <w:rPr>
          <w:rFonts w:hint="eastAsia"/>
          <w:color w:val="auto"/>
          <w:highlight w:val="none"/>
          <w:lang w:val="en-US" w:eastAsia="zh-CN"/>
        </w:rPr>
        <w:t>含税税率6%</w:t>
      </w:r>
      <w:r>
        <w:rPr>
          <w:rFonts w:hint="eastAsia"/>
          <w:color w:val="auto"/>
          <w:highlight w:val="none"/>
          <w:lang w:val="zh-CN" w:eastAsia="zh-CN"/>
        </w:rPr>
        <w:t>）。</w:t>
      </w:r>
      <w:r>
        <w:rPr>
          <w:rFonts w:hint="eastAsia"/>
          <w:color w:val="auto"/>
          <w:highlight w:val="none"/>
          <w:lang w:val="en-US" w:eastAsia="zh-CN"/>
        </w:rPr>
        <w:t>本项目在2026年11月30日之前完成交付。</w:t>
      </w:r>
    </w:p>
    <w:p w14:paraId="5A67BE52">
      <w:pPr>
        <w:pStyle w:val="2"/>
        <w:ind w:left="0" w:leftChars="0" w:firstLine="0" w:firstLineChars="0"/>
        <w:rPr>
          <w:rFonts w:hint="eastAsia"/>
          <w:color w:val="auto"/>
          <w:highlight w:val="none"/>
          <w:lang w:val="en-US" w:eastAsia="zh-CN"/>
        </w:rPr>
      </w:pPr>
    </w:p>
    <w:p w14:paraId="6B8A9ECC">
      <w:pPr>
        <w:pStyle w:val="2"/>
        <w:ind w:left="0" w:leftChars="0" w:firstLine="0" w:firstLineChars="0"/>
        <w:rPr>
          <w:rFonts w:hint="default"/>
          <w:color w:val="auto"/>
          <w:highlight w:val="none"/>
          <w:lang w:val="en-US" w:eastAsia="zh-C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7"/>
        <w:gridCol w:w="1821"/>
        <w:gridCol w:w="1640"/>
        <w:gridCol w:w="1580"/>
        <w:gridCol w:w="1580"/>
        <w:gridCol w:w="1364"/>
      </w:tblGrid>
      <w:tr w14:paraId="28769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36B35B8B">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技术服务费用估算</w:t>
            </w:r>
          </w:p>
        </w:tc>
      </w:tr>
      <w:tr w14:paraId="769BA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44E6A3AA">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项目名称：时序数据采集管理技术服务</w:t>
            </w:r>
          </w:p>
        </w:tc>
      </w:tr>
      <w:tr w14:paraId="11F6F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4E095C3E">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功能点计数</w:t>
            </w:r>
          </w:p>
        </w:tc>
      </w:tr>
      <w:tr w14:paraId="1B67F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3778648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功能点计数项（个）</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63A7DA8D">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内部逻辑文件</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592D216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外部接口文件</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142CE2E9">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外部输入</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5B90F81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外部输出</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573074AC">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外部查询</w:t>
            </w:r>
          </w:p>
        </w:tc>
      </w:tr>
      <w:tr w14:paraId="40324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16AE763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56880DA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（ILF）</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5A32886">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（EIF）</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3EF870D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（EI）</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48158C1C">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（EO）</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1FCF8A64">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（EQ）</w:t>
            </w:r>
          </w:p>
        </w:tc>
      </w:tr>
      <w:tr w14:paraId="6DFD0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4B386F3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32B66262">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107</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6F737E4">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5</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07F6E91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449</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2F2F19E4">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63</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5EF06C1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148</w:t>
            </w:r>
          </w:p>
        </w:tc>
      </w:tr>
      <w:tr w14:paraId="76637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6C1ECC5A">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未调整功能点数（功能点）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C92D7F2">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066A599">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2642A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D8E236">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6DDAC88">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3808</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3DE09F2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估算功能点法：10×ILF+7×EIF+4×EI+5×EO+4×EQ</w:t>
            </w:r>
          </w:p>
        </w:tc>
      </w:tr>
      <w:tr w14:paraId="2FAC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5C22685B">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修改类型和复用程度调整</w:t>
            </w:r>
          </w:p>
        </w:tc>
      </w:tr>
      <w:tr w14:paraId="715A2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72A628B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未调整软件规模（功能点）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7D8EC9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642D2EF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39DF5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FEAFB8">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B51D1E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3296.58</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CCE86A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未调整功能点数×修改类型调整因子×复用程度调整因子</w:t>
            </w:r>
          </w:p>
        </w:tc>
      </w:tr>
      <w:tr w14:paraId="3EA2D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7141C996">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规模调整</w:t>
            </w:r>
          </w:p>
        </w:tc>
      </w:tr>
      <w:tr w14:paraId="38AE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07D54477">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规模变更因子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023C3A80">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1.21</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2FCB7740">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根据规模估算阶段取值</w:t>
            </w:r>
          </w:p>
        </w:tc>
      </w:tr>
      <w:tr w14:paraId="270E2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7FCF1545">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非功能性特征调整因子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E24880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1.025</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75C24DC3">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根据质量特性取值</w:t>
            </w:r>
          </w:p>
        </w:tc>
      </w:tr>
      <w:tr w14:paraId="59561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297DA53E">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67918D39">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4237598B">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45E3A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4DB0F">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A8B6886">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4088.58</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C4A2CA7">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未调整软件规模×规模变更因子×非功能性特征调整因子</w:t>
            </w:r>
          </w:p>
        </w:tc>
      </w:tr>
      <w:tr w14:paraId="4803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668CB044">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费用估算</w:t>
            </w:r>
          </w:p>
        </w:tc>
      </w:tr>
      <w:tr w14:paraId="3BF52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1812635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开发功能点单价（元/功能点）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C16741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1773.33</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39C5CEC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开发功能点单价</w:t>
            </w:r>
          </w:p>
        </w:tc>
      </w:tr>
      <w:tr w14:paraId="7479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2BFA7735">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业务类型调因子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4B4927CD">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1.00</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6D42623E">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根据业务类型取值</w:t>
            </w:r>
          </w:p>
        </w:tc>
      </w:tr>
      <w:tr w14:paraId="79C1A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12CB504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技术服务费用</w:t>
            </w:r>
            <w:r>
              <w:rPr>
                <w:rFonts w:hint="eastAsia" w:ascii="宋体" w:hAnsi="宋体" w:eastAsia="宋体" w:cs="宋体"/>
                <w:b/>
                <w:bCs w:val="0"/>
                <w:i w:val="0"/>
                <w:iCs w:val="0"/>
                <w:color w:val="auto"/>
                <w:kern w:val="2"/>
                <w:sz w:val="24"/>
                <w:szCs w:val="24"/>
                <w:highlight w:val="none"/>
                <w:u w:val="none"/>
                <w:lang w:val="en-US" w:eastAsia="zh-CN" w:bidi="ar"/>
              </w:rPr>
              <w:br w:type="textWrapping"/>
            </w:r>
            <w:r>
              <w:rPr>
                <w:rFonts w:hint="eastAsia" w:ascii="宋体" w:hAnsi="宋体" w:eastAsia="宋体" w:cs="宋体"/>
                <w:b/>
                <w:bCs w:val="0"/>
                <w:i w:val="0"/>
                <w:iCs w:val="0"/>
                <w:color w:val="auto"/>
                <w:kern w:val="2"/>
                <w:sz w:val="24"/>
                <w:szCs w:val="24"/>
                <w:highlight w:val="none"/>
                <w:u w:val="none"/>
                <w:lang w:val="en-US" w:eastAsia="zh-CN" w:bidi="ar"/>
              </w:rPr>
              <w:t>（万元）</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E7BA89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29FBFFBF">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3B36D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9F2273">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01051581">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725.04</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79AEC90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软件规模×开发功能点单价×业务类型调整因子/10000</w:t>
            </w:r>
          </w:p>
        </w:tc>
      </w:tr>
    </w:tbl>
    <w:p w14:paraId="1A93E12A">
      <w:pPr>
        <w:bidi w:val="0"/>
        <w:rPr>
          <w:rFonts w:hint="eastAsia"/>
          <w:lang w:val="en-US" w:eastAsia="zh-CN"/>
        </w:rPr>
      </w:pPr>
    </w:p>
    <w:p w14:paraId="06A91318">
      <w:pPr>
        <w:pageBreakBefore w:val="0"/>
        <w:kinsoku/>
        <w:wordWrap/>
        <w:overflowPunct/>
        <w:topLinePunct w:val="0"/>
        <w:autoSpaceDE/>
        <w:autoSpaceDN/>
        <w:bidi w:val="0"/>
        <w:adjustRightInd/>
        <w:snapToGrid/>
        <w:spacing w:line="560" w:lineRule="exact"/>
        <w:ind w:firstLine="320" w:firstLineChars="100"/>
        <w:textAlignment w:val="auto"/>
        <w:rPr>
          <w:rFonts w:hint="eastAsia"/>
          <w:color w:val="auto"/>
          <w:highlight w:val="none"/>
          <w:lang w:val="en-US" w:eastAsia="zh-CN"/>
        </w:rPr>
      </w:pPr>
      <w:r>
        <w:rPr>
          <w:rFonts w:hint="eastAsia"/>
          <w:color w:val="auto"/>
          <w:highlight w:val="none"/>
          <w:lang w:val="en-US" w:eastAsia="zh-CN"/>
        </w:rPr>
        <w:t>其中分模块的费用统计表为：</w:t>
      </w:r>
    </w:p>
    <w:p w14:paraId="25C0A8D3">
      <w:pPr>
        <w:pStyle w:val="2"/>
        <w:ind w:left="0" w:leftChars="0" w:firstLine="0" w:firstLineChars="0"/>
        <w:rPr>
          <w:rFonts w:hint="eastAsia"/>
          <w:lang w:val="en-US" w:eastAsia="zh-CN"/>
        </w:rPr>
      </w:pPr>
    </w:p>
    <w:tbl>
      <w:tblPr>
        <w:tblW w:w="929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406"/>
        <w:gridCol w:w="1772"/>
        <w:gridCol w:w="745"/>
        <w:gridCol w:w="798"/>
        <w:gridCol w:w="771"/>
        <w:gridCol w:w="823"/>
        <w:gridCol w:w="694"/>
        <w:gridCol w:w="806"/>
        <w:gridCol w:w="1114"/>
        <w:gridCol w:w="1366"/>
      </w:tblGrid>
      <w:tr w14:paraId="57215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02"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7C4F540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4"/>
                <w:szCs w:val="24"/>
                <w:u w:val="none"/>
                <w:bdr w:val="none" w:color="auto" w:sz="0" w:space="0"/>
                <w:lang w:val="en-US" w:eastAsia="zh-CN" w:bidi="ar"/>
              </w:rPr>
              <w:t>序号</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3EF82E9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模块</w:t>
            </w:r>
          </w:p>
        </w:tc>
        <w:tc>
          <w:tcPr>
            <w:tcW w:w="745" w:type="dxa"/>
            <w:tcBorders>
              <w:top w:val="single" w:color="000000" w:sz="4" w:space="0"/>
              <w:left w:val="single" w:color="000000" w:sz="4" w:space="0"/>
              <w:bottom w:val="single" w:color="000000" w:sz="4" w:space="0"/>
              <w:right w:val="single" w:color="000000" w:sz="4" w:space="0"/>
            </w:tcBorders>
            <w:shd w:val="clear"/>
            <w:vAlign w:val="center"/>
          </w:tcPr>
          <w:p w14:paraId="7400D18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bdr w:val="none" w:color="auto" w:sz="0" w:space="0"/>
                <w:lang w:val="en-US" w:eastAsia="zh-CN" w:bidi="ar"/>
              </w:rPr>
              <w:t>内部逻辑文件(ILF)</w:t>
            </w:r>
          </w:p>
        </w:tc>
        <w:tc>
          <w:tcPr>
            <w:tcW w:w="798" w:type="dxa"/>
            <w:tcBorders>
              <w:top w:val="single" w:color="000000" w:sz="4" w:space="0"/>
              <w:left w:val="single" w:color="000000" w:sz="4" w:space="0"/>
              <w:bottom w:val="single" w:color="000000" w:sz="4" w:space="0"/>
              <w:right w:val="single" w:color="000000" w:sz="4" w:space="0"/>
            </w:tcBorders>
            <w:shd w:val="clear"/>
            <w:vAlign w:val="center"/>
          </w:tcPr>
          <w:p w14:paraId="5D48D98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bdr w:val="none" w:color="auto" w:sz="0" w:space="0"/>
                <w:lang w:val="en-US" w:eastAsia="zh-CN" w:bidi="ar"/>
              </w:rPr>
              <w:t>外部接口文件(EIF)</w:t>
            </w:r>
          </w:p>
        </w:tc>
        <w:tc>
          <w:tcPr>
            <w:tcW w:w="771" w:type="dxa"/>
            <w:tcBorders>
              <w:top w:val="single" w:color="000000" w:sz="4" w:space="0"/>
              <w:left w:val="single" w:color="000000" w:sz="4" w:space="0"/>
              <w:bottom w:val="single" w:color="000000" w:sz="4" w:space="0"/>
              <w:right w:val="single" w:color="000000" w:sz="4" w:space="0"/>
            </w:tcBorders>
            <w:shd w:val="clear"/>
            <w:vAlign w:val="center"/>
          </w:tcPr>
          <w:p w14:paraId="3FB9439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bdr w:val="none" w:color="auto" w:sz="0" w:space="0"/>
                <w:lang w:val="en-US" w:eastAsia="zh-CN" w:bidi="ar"/>
              </w:rPr>
              <w:t>外部输入(EI)</w:t>
            </w:r>
          </w:p>
        </w:tc>
        <w:tc>
          <w:tcPr>
            <w:tcW w:w="823" w:type="dxa"/>
            <w:tcBorders>
              <w:top w:val="single" w:color="000000" w:sz="4" w:space="0"/>
              <w:left w:val="single" w:color="000000" w:sz="4" w:space="0"/>
              <w:bottom w:val="single" w:color="000000" w:sz="4" w:space="0"/>
              <w:right w:val="single" w:color="000000" w:sz="4" w:space="0"/>
            </w:tcBorders>
            <w:shd w:val="clear"/>
            <w:vAlign w:val="center"/>
          </w:tcPr>
          <w:p w14:paraId="17D36D0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bdr w:val="none" w:color="auto" w:sz="0" w:space="0"/>
                <w:lang w:val="en-US" w:eastAsia="zh-CN" w:bidi="ar"/>
              </w:rPr>
              <w:t>外部输出(EO)</w:t>
            </w:r>
          </w:p>
        </w:tc>
        <w:tc>
          <w:tcPr>
            <w:tcW w:w="694" w:type="dxa"/>
            <w:tcBorders>
              <w:top w:val="single" w:color="000000" w:sz="4" w:space="0"/>
              <w:left w:val="single" w:color="000000" w:sz="4" w:space="0"/>
              <w:bottom w:val="single" w:color="000000" w:sz="4" w:space="0"/>
              <w:right w:val="single" w:color="000000" w:sz="4" w:space="0"/>
            </w:tcBorders>
            <w:shd w:val="clear"/>
            <w:vAlign w:val="center"/>
          </w:tcPr>
          <w:p w14:paraId="7AFB64F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bdr w:val="none" w:color="auto" w:sz="0" w:space="0"/>
                <w:lang w:val="en-US" w:eastAsia="zh-CN" w:bidi="ar"/>
              </w:rPr>
              <w:t>外部查询(EQ)</w:t>
            </w:r>
          </w:p>
        </w:tc>
        <w:tc>
          <w:tcPr>
            <w:tcW w:w="806" w:type="dxa"/>
            <w:tcBorders>
              <w:top w:val="single" w:color="000000" w:sz="4" w:space="0"/>
              <w:left w:val="single" w:color="000000" w:sz="4" w:space="0"/>
              <w:bottom w:val="single" w:color="000000" w:sz="4" w:space="0"/>
              <w:right w:val="single" w:color="000000" w:sz="4" w:space="0"/>
            </w:tcBorders>
            <w:shd w:val="clear"/>
            <w:vAlign w:val="center"/>
          </w:tcPr>
          <w:p w14:paraId="62C7A3C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未调整功能点数</w:t>
            </w:r>
          </w:p>
        </w:tc>
        <w:tc>
          <w:tcPr>
            <w:tcW w:w="1114" w:type="dxa"/>
            <w:tcBorders>
              <w:top w:val="single" w:color="000000" w:sz="4" w:space="0"/>
              <w:left w:val="single" w:color="000000" w:sz="4" w:space="0"/>
              <w:bottom w:val="single" w:color="000000" w:sz="4" w:space="0"/>
              <w:right w:val="single" w:color="000000" w:sz="4" w:space="0"/>
            </w:tcBorders>
            <w:shd w:val="clear"/>
            <w:vAlign w:val="center"/>
          </w:tcPr>
          <w:p w14:paraId="590DD66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未调整功能规模</w:t>
            </w:r>
          </w:p>
        </w:tc>
        <w:tc>
          <w:tcPr>
            <w:tcW w:w="1366" w:type="dxa"/>
            <w:tcBorders>
              <w:top w:val="single" w:color="000000" w:sz="4" w:space="0"/>
              <w:left w:val="single" w:color="000000" w:sz="4" w:space="0"/>
              <w:bottom w:val="single" w:color="000000" w:sz="4" w:space="0"/>
              <w:right w:val="single" w:color="000000" w:sz="4" w:space="0"/>
            </w:tcBorders>
            <w:shd w:val="clear"/>
            <w:vAlign w:val="center"/>
          </w:tcPr>
          <w:p w14:paraId="6C06023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2"/>
                <w:szCs w:val="22"/>
                <w:u w:val="none"/>
                <w:bdr w:val="none" w:color="auto" w:sz="0" w:space="0"/>
                <w:lang w:val="en-US" w:eastAsia="zh-CN" w:bidi="ar"/>
              </w:rPr>
              <w:t>含税小计（万元）</w:t>
            </w:r>
          </w:p>
        </w:tc>
      </w:tr>
      <w:tr w14:paraId="75CE2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40788B1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646E6DC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核心层时序应用管理系统平台开发</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4AF5648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35</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69667044">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74A454A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160</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6A81EBE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5A101B9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55</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0050FF1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1317</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736316A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1295.82</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105AA634">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285.00 </w:t>
            </w:r>
          </w:p>
        </w:tc>
      </w:tr>
      <w:tr w14:paraId="27F9B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1"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098364B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45DE1B7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边缘智能体系统平台开发</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5B87111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72B1220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73ED9E4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5169955F">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40EF64B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11F8CC7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517</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1C139CD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463.77</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194E747B">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102.00 </w:t>
            </w:r>
          </w:p>
        </w:tc>
      </w:tr>
      <w:tr w14:paraId="5391F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74"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00FFBE0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1B7B54E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边缘层数据采集及历史数据模块开发</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5244A8A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1A2D450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2CE23DB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5D305FC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7E12CC9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4AA9A37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315</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3A15747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272.81</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390D0472">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60.00 </w:t>
            </w:r>
          </w:p>
        </w:tc>
      </w:tr>
      <w:tr w14:paraId="755AB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13B8570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4</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06CE71B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采集策略多样化定制</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674E146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0773A2B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4BEB04E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3F16447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73CECE8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7982991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464</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02265CD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354.65</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075B6161">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78.00 </w:t>
            </w:r>
          </w:p>
        </w:tc>
      </w:tr>
      <w:tr w14:paraId="0DF1B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30"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685C744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27A662B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定制化流水计算及IO计算及物模型配置</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1F73615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bookmarkStart w:id="0" w:name="_GoBack"/>
            <w:bookmarkEnd w:id="0"/>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5391ACF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48B1487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21B2527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58F2507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29A6F62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533</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114DF9F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431.94</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640E90C8">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95.00 </w:t>
            </w:r>
          </w:p>
        </w:tc>
      </w:tr>
      <w:tr w14:paraId="6048B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7BD1655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1B7E39C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分布式计算规则及现场验证</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7F6A34E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16F27E7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7B0F1F1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54F95AA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3F646F7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6612F16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07648CD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122.76</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6A79BEF5">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27.00 </w:t>
            </w:r>
          </w:p>
        </w:tc>
      </w:tr>
      <w:tr w14:paraId="75D60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33"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412C5A3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523A117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项目集成验证及信创全栈适配</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08C156C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538E862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43049A4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1F076981">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51F623A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72FA0BC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295</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5C863D1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218.43</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79C45C72">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48.04 </w:t>
            </w:r>
          </w:p>
        </w:tc>
      </w:tr>
      <w:tr w14:paraId="56823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44"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579EFAB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8</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454248F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现场实施、文档及培训</w:t>
            </w: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5044C77E">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3AD5485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231D1CD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76DA705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7C49784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356D001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175</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5256E1D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136.4</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329A098C">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30.00 </w:t>
            </w:r>
          </w:p>
        </w:tc>
      </w:tr>
      <w:tr w14:paraId="55F43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84" w:hRule="atLeast"/>
        </w:trPr>
        <w:tc>
          <w:tcPr>
            <w:tcW w:w="406" w:type="dxa"/>
            <w:tcBorders>
              <w:top w:val="single" w:color="000000" w:sz="4" w:space="0"/>
              <w:left w:val="single" w:color="000000" w:sz="4" w:space="0"/>
              <w:bottom w:val="single" w:color="000000" w:sz="4" w:space="0"/>
              <w:right w:val="single" w:color="000000" w:sz="4" w:space="0"/>
            </w:tcBorders>
            <w:shd w:val="clear"/>
            <w:noWrap/>
            <w:vAlign w:val="center"/>
          </w:tcPr>
          <w:p w14:paraId="1708379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合计</w:t>
            </w:r>
          </w:p>
        </w:tc>
        <w:tc>
          <w:tcPr>
            <w:tcW w:w="1772" w:type="dxa"/>
            <w:tcBorders>
              <w:top w:val="single" w:color="000000" w:sz="4" w:space="0"/>
              <w:left w:val="single" w:color="000000" w:sz="4" w:space="0"/>
              <w:bottom w:val="single" w:color="000000" w:sz="4" w:space="0"/>
              <w:right w:val="single" w:color="000000" w:sz="4" w:space="0"/>
            </w:tcBorders>
            <w:shd w:val="clear"/>
            <w:vAlign w:val="center"/>
          </w:tcPr>
          <w:p w14:paraId="64C0F25C">
            <w:pPr>
              <w:keepNext w:val="0"/>
              <w:keepLines w:val="0"/>
              <w:pageBreakBefore w:val="0"/>
              <w:widowControl/>
              <w:kinsoku/>
              <w:wordWrap/>
              <w:overflowPunct/>
              <w:topLinePunct w:val="0"/>
              <w:autoSpaceDE/>
              <w:autoSpaceDN/>
              <w:bidi w:val="0"/>
              <w:adjustRightInd w:val="0"/>
              <w:snapToGrid w:val="0"/>
              <w:spacing w:line="240" w:lineRule="auto"/>
              <w:jc w:val="center"/>
              <w:rPr>
                <w:rFonts w:hint="eastAsia" w:ascii="宋体" w:hAnsi="宋体" w:eastAsia="宋体" w:cs="宋体"/>
                <w:i w:val="0"/>
                <w:iCs w:val="0"/>
                <w:color w:val="000000"/>
                <w:sz w:val="24"/>
                <w:szCs w:val="24"/>
                <w:u w:val="none"/>
              </w:rPr>
            </w:pPr>
          </w:p>
        </w:tc>
        <w:tc>
          <w:tcPr>
            <w:tcW w:w="745" w:type="dxa"/>
            <w:tcBorders>
              <w:top w:val="single" w:color="000000" w:sz="4" w:space="0"/>
              <w:left w:val="single" w:color="000000" w:sz="4" w:space="0"/>
              <w:bottom w:val="single" w:color="000000" w:sz="4" w:space="0"/>
              <w:right w:val="single" w:color="000000" w:sz="4" w:space="0"/>
            </w:tcBorders>
            <w:shd w:val="clear"/>
            <w:noWrap/>
            <w:vAlign w:val="center"/>
          </w:tcPr>
          <w:p w14:paraId="0A28F22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w:t>
            </w:r>
          </w:p>
        </w:tc>
        <w:tc>
          <w:tcPr>
            <w:tcW w:w="798" w:type="dxa"/>
            <w:tcBorders>
              <w:top w:val="single" w:color="000000" w:sz="4" w:space="0"/>
              <w:left w:val="single" w:color="000000" w:sz="4" w:space="0"/>
              <w:bottom w:val="single" w:color="000000" w:sz="4" w:space="0"/>
              <w:right w:val="single" w:color="000000" w:sz="4" w:space="0"/>
            </w:tcBorders>
            <w:shd w:val="clear"/>
            <w:noWrap/>
            <w:vAlign w:val="center"/>
          </w:tcPr>
          <w:p w14:paraId="6C66C13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771" w:type="dxa"/>
            <w:tcBorders>
              <w:top w:val="single" w:color="000000" w:sz="4" w:space="0"/>
              <w:left w:val="single" w:color="000000" w:sz="4" w:space="0"/>
              <w:bottom w:val="single" w:color="000000" w:sz="4" w:space="0"/>
              <w:right w:val="single" w:color="000000" w:sz="4" w:space="0"/>
            </w:tcBorders>
            <w:shd w:val="clear"/>
            <w:noWrap/>
            <w:vAlign w:val="center"/>
          </w:tcPr>
          <w:p w14:paraId="6695689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449</w:t>
            </w:r>
          </w:p>
        </w:tc>
        <w:tc>
          <w:tcPr>
            <w:tcW w:w="823" w:type="dxa"/>
            <w:tcBorders>
              <w:top w:val="single" w:color="000000" w:sz="4" w:space="0"/>
              <w:left w:val="single" w:color="000000" w:sz="4" w:space="0"/>
              <w:bottom w:val="single" w:color="000000" w:sz="4" w:space="0"/>
              <w:right w:val="single" w:color="000000" w:sz="4" w:space="0"/>
            </w:tcBorders>
            <w:shd w:val="clear"/>
            <w:noWrap/>
            <w:vAlign w:val="center"/>
          </w:tcPr>
          <w:p w14:paraId="71830E4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63</w:t>
            </w:r>
          </w:p>
        </w:tc>
        <w:tc>
          <w:tcPr>
            <w:tcW w:w="694" w:type="dxa"/>
            <w:tcBorders>
              <w:top w:val="single" w:color="000000" w:sz="4" w:space="0"/>
              <w:left w:val="single" w:color="000000" w:sz="4" w:space="0"/>
              <w:bottom w:val="single" w:color="000000" w:sz="4" w:space="0"/>
              <w:right w:val="single" w:color="000000" w:sz="4" w:space="0"/>
            </w:tcBorders>
            <w:shd w:val="clear"/>
            <w:noWrap/>
            <w:vAlign w:val="center"/>
          </w:tcPr>
          <w:p w14:paraId="18570828">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148</w:t>
            </w:r>
          </w:p>
        </w:tc>
        <w:tc>
          <w:tcPr>
            <w:tcW w:w="806" w:type="dxa"/>
            <w:tcBorders>
              <w:top w:val="single" w:color="000000" w:sz="4" w:space="0"/>
              <w:left w:val="single" w:color="000000" w:sz="4" w:space="0"/>
              <w:bottom w:val="single" w:color="000000" w:sz="4" w:space="0"/>
              <w:right w:val="single" w:color="000000" w:sz="4" w:space="0"/>
            </w:tcBorders>
            <w:shd w:val="clear"/>
            <w:noWrap/>
            <w:vAlign w:val="center"/>
          </w:tcPr>
          <w:p w14:paraId="0F541F0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3808</w:t>
            </w:r>
          </w:p>
        </w:tc>
        <w:tc>
          <w:tcPr>
            <w:tcW w:w="1114" w:type="dxa"/>
            <w:tcBorders>
              <w:top w:val="single" w:color="000000" w:sz="4" w:space="0"/>
              <w:left w:val="single" w:color="000000" w:sz="4" w:space="0"/>
              <w:bottom w:val="single" w:color="000000" w:sz="4" w:space="0"/>
              <w:right w:val="single" w:color="000000" w:sz="4" w:space="0"/>
            </w:tcBorders>
            <w:shd w:val="clear"/>
            <w:noWrap/>
            <w:vAlign w:val="center"/>
          </w:tcPr>
          <w:p w14:paraId="153F56A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3296.58</w:t>
            </w:r>
          </w:p>
        </w:tc>
        <w:tc>
          <w:tcPr>
            <w:tcW w:w="1366" w:type="dxa"/>
            <w:tcBorders>
              <w:top w:val="single" w:color="000000" w:sz="4" w:space="0"/>
              <w:left w:val="single" w:color="000000" w:sz="4" w:space="0"/>
              <w:bottom w:val="single" w:color="000000" w:sz="4" w:space="0"/>
              <w:right w:val="single" w:color="000000" w:sz="4" w:space="0"/>
            </w:tcBorders>
            <w:shd w:val="clear"/>
            <w:noWrap/>
            <w:vAlign w:val="center"/>
          </w:tcPr>
          <w:p w14:paraId="69525704">
            <w:pPr>
              <w:keepNext w:val="0"/>
              <w:keepLines w:val="0"/>
              <w:pageBreakBefore w:val="0"/>
              <w:widowControl/>
              <w:suppressLineNumbers w:val="0"/>
              <w:kinsoku/>
              <w:wordWrap/>
              <w:overflowPunct/>
              <w:topLinePunct w:val="0"/>
              <w:autoSpaceDE/>
              <w:autoSpaceDN/>
              <w:bidi w:val="0"/>
              <w:adjustRightInd w:val="0"/>
              <w:snapToGrid w:val="0"/>
              <w:spacing w:line="24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725.04 </w:t>
            </w:r>
          </w:p>
        </w:tc>
      </w:tr>
    </w:tbl>
    <w:p w14:paraId="0E0E36AB">
      <w:pPr>
        <w:pStyle w:val="2"/>
        <w:ind w:left="0" w:leftChars="0" w:firstLine="0" w:firstLineChars="0"/>
        <w:rPr>
          <w:rFonts w:hint="default"/>
          <w:lang w:val="en-US" w:eastAsia="zh-CN"/>
        </w:rPr>
        <w:sectPr>
          <w:headerReference r:id="rId5" w:type="default"/>
          <w:footerReference r:id="rId6" w:type="default"/>
          <w:pgSz w:w="11906" w:h="16838"/>
          <w:pgMar w:top="1134" w:right="1417" w:bottom="1134" w:left="1417" w:header="283" w:footer="283" w:gutter="0"/>
          <w:pgNumType w:fmt="decimal" w:start="1"/>
          <w:cols w:space="720" w:num="1"/>
          <w:docGrid w:type="lines" w:linePitch="312" w:charSpace="0"/>
        </w:sectPr>
      </w:pPr>
    </w:p>
    <w:p w14:paraId="789C8595">
      <w:pPr>
        <w:numPr>
          <w:ilvl w:val="0"/>
          <w:numId w:val="0"/>
        </w:numPr>
        <w:spacing w:line="560" w:lineRule="exact"/>
        <w:ind w:leftChars="0"/>
        <w:rPr>
          <w:rFonts w:hint="eastAsia" w:ascii="宋体" w:hAnsi="Times New Roman" w:eastAsia="宋体" w:cs="Times New Roman"/>
          <w:b/>
          <w:bCs/>
          <w:color w:val="FF0000"/>
          <w:sz w:val="24"/>
          <w:szCs w:val="24"/>
        </w:rPr>
      </w:pPr>
      <w:r>
        <w:rPr>
          <w:rFonts w:hint="eastAsia" w:ascii="方正黑体简体" w:hAnsi="方正黑体简体" w:eastAsia="方正黑体简体" w:cs="方正黑体简体"/>
          <w:sz w:val="32"/>
          <w:szCs w:val="32"/>
          <w:lang w:val="en-US" w:eastAsia="zh-CN"/>
        </w:rPr>
        <w:t>五、</w:t>
      </w:r>
      <w:r>
        <w:rPr>
          <w:rFonts w:hint="eastAsia" w:ascii="方正黑体简体" w:hAnsi="方正黑体简体" w:eastAsia="方正黑体简体" w:cs="方正黑体简体"/>
          <w:sz w:val="32"/>
          <w:szCs w:val="32"/>
        </w:rPr>
        <w:t>论证小组成员名单</w:t>
      </w:r>
    </w:p>
    <w:tbl>
      <w:tblPr>
        <w:tblStyle w:val="23"/>
        <w:tblpPr w:leftFromText="180" w:rightFromText="180" w:vertAnchor="text" w:horzAnchor="page" w:tblpX="1462" w:tblpY="6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9"/>
        <w:gridCol w:w="1099"/>
        <w:gridCol w:w="2282"/>
        <w:gridCol w:w="3163"/>
        <w:gridCol w:w="1580"/>
      </w:tblGrid>
      <w:tr w14:paraId="3C17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2EEDD287">
            <w:pPr>
              <w:widowControl w:val="0"/>
              <w:spacing w:line="360" w:lineRule="auto"/>
              <w:ind w:firstLine="0" w:firstLineChars="0"/>
              <w:jc w:val="center"/>
              <w:rPr>
                <w:rFonts w:ascii="宋体" w:hAnsi="Times New Roman" w:eastAsia="宋体" w:cs="Times New Roman"/>
                <w:b/>
                <w:kern w:val="2"/>
                <w:sz w:val="24"/>
                <w:szCs w:val="24"/>
                <w:lang w:val="en-US" w:eastAsia="zh-CN" w:bidi="ar-SA"/>
              </w:rPr>
            </w:pPr>
            <w:r>
              <w:rPr>
                <w:rFonts w:hint="eastAsia" w:ascii="宋体" w:hAnsi="宋体" w:eastAsia="宋体" w:cs="宋体"/>
                <w:b/>
                <w:kern w:val="2"/>
                <w:sz w:val="24"/>
                <w:szCs w:val="24"/>
                <w:lang w:val="en-US" w:eastAsia="zh-CN" w:bidi="ar-SA"/>
              </w:rPr>
              <w:t>序号</w:t>
            </w:r>
          </w:p>
        </w:tc>
        <w:tc>
          <w:tcPr>
            <w:tcW w:w="1099" w:type="dxa"/>
            <w:noWrap w:val="0"/>
            <w:vAlign w:val="top"/>
          </w:tcPr>
          <w:p w14:paraId="1B2B4E1D">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姓</w:t>
            </w:r>
            <w:r>
              <w:rPr>
                <w:rFonts w:ascii="Gungsuh" w:hAnsi="Gungsuh" w:eastAsia="宋体" w:cs="Gungsuh"/>
                <w:b/>
                <w:kern w:val="2"/>
                <w:sz w:val="24"/>
                <w:szCs w:val="24"/>
                <w:lang w:val="en-US" w:eastAsia="zh-CN" w:bidi="ar-SA"/>
              </w:rPr>
              <w:t xml:space="preserve">  </w:t>
            </w:r>
            <w:r>
              <w:rPr>
                <w:rFonts w:hint="eastAsia" w:ascii="Gungsuh" w:hAnsi="Gungsuh" w:eastAsia="宋体" w:cs="宋体"/>
                <w:b/>
                <w:kern w:val="2"/>
                <w:sz w:val="24"/>
                <w:szCs w:val="24"/>
                <w:lang w:val="en-US" w:eastAsia="zh-CN" w:bidi="ar-SA"/>
              </w:rPr>
              <w:t>名</w:t>
            </w:r>
          </w:p>
        </w:tc>
        <w:tc>
          <w:tcPr>
            <w:tcW w:w="2282" w:type="dxa"/>
            <w:noWrap w:val="0"/>
            <w:vAlign w:val="top"/>
          </w:tcPr>
          <w:p w14:paraId="1674ACCC">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职务或职称</w:t>
            </w:r>
          </w:p>
        </w:tc>
        <w:tc>
          <w:tcPr>
            <w:tcW w:w="3163" w:type="dxa"/>
            <w:noWrap w:val="0"/>
            <w:vAlign w:val="top"/>
          </w:tcPr>
          <w:p w14:paraId="3D8B5844">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单位</w:t>
            </w:r>
          </w:p>
        </w:tc>
        <w:tc>
          <w:tcPr>
            <w:tcW w:w="1580" w:type="dxa"/>
            <w:noWrap w:val="0"/>
            <w:vAlign w:val="top"/>
          </w:tcPr>
          <w:p w14:paraId="3936F057">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签字</w:t>
            </w:r>
          </w:p>
        </w:tc>
      </w:tr>
      <w:tr w14:paraId="022B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41733644">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1</w:t>
            </w:r>
          </w:p>
        </w:tc>
        <w:tc>
          <w:tcPr>
            <w:tcW w:w="1099" w:type="dxa"/>
            <w:noWrap w:val="0"/>
            <w:vAlign w:val="top"/>
          </w:tcPr>
          <w:p w14:paraId="7E15CFE8">
            <w:pPr>
              <w:widowControl w:val="0"/>
              <w:spacing w:line="360" w:lineRule="auto"/>
              <w:ind w:firstLine="0" w:firstLineChars="0"/>
              <w:jc w:val="both"/>
              <w:rPr>
                <w:rFonts w:hint="eastAsia"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杨建伟</w:t>
            </w:r>
          </w:p>
        </w:tc>
        <w:tc>
          <w:tcPr>
            <w:tcW w:w="2282" w:type="dxa"/>
            <w:noWrap w:val="0"/>
            <w:vAlign w:val="top"/>
          </w:tcPr>
          <w:p w14:paraId="2A9CA685">
            <w:pPr>
              <w:widowControl w:val="0"/>
              <w:spacing w:line="360" w:lineRule="auto"/>
              <w:ind w:firstLine="0" w:firstLineChars="0"/>
              <w:jc w:val="both"/>
              <w:rPr>
                <w:rFonts w:hint="default"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副总工程师、分公司经理</w:t>
            </w:r>
          </w:p>
        </w:tc>
        <w:tc>
          <w:tcPr>
            <w:tcW w:w="3163" w:type="dxa"/>
            <w:noWrap w:val="0"/>
            <w:vAlign w:val="top"/>
          </w:tcPr>
          <w:p w14:paraId="1B2648BA">
            <w:pPr>
              <w:widowControl w:val="0"/>
              <w:spacing w:line="360" w:lineRule="auto"/>
              <w:ind w:firstLine="0" w:firstLineChars="0"/>
              <w:jc w:val="both"/>
              <w:rPr>
                <w:rFonts w:hint="default"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数智技术公司</w:t>
            </w:r>
          </w:p>
        </w:tc>
        <w:tc>
          <w:tcPr>
            <w:tcW w:w="1580" w:type="dxa"/>
            <w:noWrap w:val="0"/>
            <w:vAlign w:val="top"/>
          </w:tcPr>
          <w:p w14:paraId="69F3614B">
            <w:pPr>
              <w:widowControl w:val="0"/>
              <w:spacing w:line="360" w:lineRule="auto"/>
              <w:ind w:firstLine="0"/>
              <w:jc w:val="center"/>
              <w:rPr>
                <w:rFonts w:ascii="Gungsuh" w:hAnsi="Times New Roman" w:eastAsia="Gungsuh" w:cs="Times New Roman"/>
                <w:color w:val="auto"/>
                <w:kern w:val="2"/>
                <w:sz w:val="21"/>
                <w:szCs w:val="21"/>
                <w:highlight w:val="none"/>
                <w:lang w:val="en-US" w:eastAsia="zh-CN" w:bidi="ar-SA"/>
              </w:rPr>
            </w:pPr>
          </w:p>
        </w:tc>
      </w:tr>
      <w:tr w14:paraId="47F1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3207BAA1">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2</w:t>
            </w:r>
          </w:p>
        </w:tc>
        <w:tc>
          <w:tcPr>
            <w:tcW w:w="1099" w:type="dxa"/>
            <w:noWrap w:val="0"/>
            <w:vAlign w:val="top"/>
          </w:tcPr>
          <w:p w14:paraId="1384FA09">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关键</w:t>
            </w:r>
          </w:p>
        </w:tc>
        <w:tc>
          <w:tcPr>
            <w:tcW w:w="2282" w:type="dxa"/>
            <w:noWrap w:val="0"/>
            <w:vAlign w:val="top"/>
          </w:tcPr>
          <w:p w14:paraId="2A04F955">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副经理</w:t>
            </w:r>
          </w:p>
        </w:tc>
        <w:tc>
          <w:tcPr>
            <w:tcW w:w="3163" w:type="dxa"/>
            <w:noWrap w:val="0"/>
            <w:vAlign w:val="top"/>
          </w:tcPr>
          <w:p w14:paraId="0CEAE766">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数智技术公司网络安全分公司</w:t>
            </w:r>
          </w:p>
        </w:tc>
        <w:tc>
          <w:tcPr>
            <w:tcW w:w="1580" w:type="dxa"/>
            <w:noWrap w:val="0"/>
            <w:vAlign w:val="top"/>
          </w:tcPr>
          <w:p w14:paraId="440710FC">
            <w:pPr>
              <w:widowControl w:val="0"/>
              <w:spacing w:line="360" w:lineRule="auto"/>
              <w:ind w:firstLine="0"/>
              <w:jc w:val="center"/>
              <w:rPr>
                <w:rFonts w:ascii="Gungsuh" w:hAnsi="Times New Roman" w:eastAsia="Gungsuh" w:cs="Times New Roman"/>
                <w:color w:val="auto"/>
                <w:kern w:val="2"/>
                <w:sz w:val="21"/>
                <w:szCs w:val="21"/>
                <w:lang w:val="en-US" w:eastAsia="zh-CN" w:bidi="ar-SA"/>
              </w:rPr>
            </w:pPr>
          </w:p>
        </w:tc>
      </w:tr>
      <w:tr w14:paraId="7FED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29E3E85">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3</w:t>
            </w:r>
          </w:p>
        </w:tc>
        <w:tc>
          <w:tcPr>
            <w:tcW w:w="1099" w:type="dxa"/>
            <w:noWrap w:val="0"/>
            <w:vAlign w:val="top"/>
          </w:tcPr>
          <w:p w14:paraId="3988369B">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章绍龙</w:t>
            </w:r>
          </w:p>
        </w:tc>
        <w:tc>
          <w:tcPr>
            <w:tcW w:w="2282" w:type="dxa"/>
            <w:noWrap w:val="0"/>
            <w:vAlign w:val="top"/>
          </w:tcPr>
          <w:p w14:paraId="6E695BA9">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高级工程师</w:t>
            </w:r>
          </w:p>
        </w:tc>
        <w:tc>
          <w:tcPr>
            <w:tcW w:w="3163" w:type="dxa"/>
            <w:noWrap w:val="0"/>
            <w:vAlign w:val="top"/>
          </w:tcPr>
          <w:p w14:paraId="45F1F861">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数智技术公司生产安全环保部</w:t>
            </w:r>
          </w:p>
        </w:tc>
        <w:tc>
          <w:tcPr>
            <w:tcW w:w="1580" w:type="dxa"/>
            <w:noWrap w:val="0"/>
            <w:vAlign w:val="top"/>
          </w:tcPr>
          <w:p w14:paraId="785DCA05">
            <w:pPr>
              <w:widowControl w:val="0"/>
              <w:spacing w:line="360" w:lineRule="auto"/>
              <w:ind w:firstLine="0"/>
              <w:jc w:val="center"/>
              <w:rPr>
                <w:rFonts w:ascii="Gungsuh" w:hAnsi="Times New Roman" w:eastAsia="Gungsuh" w:cs="Times New Roman"/>
                <w:color w:val="auto"/>
                <w:kern w:val="2"/>
                <w:sz w:val="21"/>
                <w:szCs w:val="21"/>
                <w:lang w:val="en-US" w:eastAsia="zh-CN" w:bidi="ar-SA"/>
              </w:rPr>
            </w:pPr>
          </w:p>
        </w:tc>
      </w:tr>
      <w:tr w14:paraId="140C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50EF731">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4</w:t>
            </w:r>
          </w:p>
        </w:tc>
        <w:tc>
          <w:tcPr>
            <w:tcW w:w="1099" w:type="dxa"/>
            <w:noWrap w:val="0"/>
            <w:vAlign w:val="top"/>
          </w:tcPr>
          <w:p w14:paraId="19131AFE">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甲方人员</w:t>
            </w:r>
          </w:p>
        </w:tc>
        <w:tc>
          <w:tcPr>
            <w:tcW w:w="2282" w:type="dxa"/>
            <w:noWrap w:val="0"/>
            <w:vAlign w:val="top"/>
          </w:tcPr>
          <w:p w14:paraId="700B5DE8">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三级工程师</w:t>
            </w:r>
          </w:p>
        </w:tc>
        <w:tc>
          <w:tcPr>
            <w:tcW w:w="3163" w:type="dxa"/>
            <w:noWrap w:val="0"/>
            <w:vAlign w:val="top"/>
          </w:tcPr>
          <w:p w14:paraId="0AB66C7D">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3726020A">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3ABA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07DE4E85">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5</w:t>
            </w:r>
          </w:p>
        </w:tc>
        <w:tc>
          <w:tcPr>
            <w:tcW w:w="1099" w:type="dxa"/>
            <w:noWrap w:val="0"/>
            <w:vAlign w:val="top"/>
          </w:tcPr>
          <w:p w14:paraId="6E6D3C34">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褚超群</w:t>
            </w:r>
          </w:p>
        </w:tc>
        <w:tc>
          <w:tcPr>
            <w:tcW w:w="2282" w:type="dxa"/>
            <w:noWrap w:val="0"/>
            <w:vAlign w:val="top"/>
          </w:tcPr>
          <w:p w14:paraId="4EB67595">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高级工程师</w:t>
            </w:r>
          </w:p>
        </w:tc>
        <w:tc>
          <w:tcPr>
            <w:tcW w:w="3163" w:type="dxa"/>
            <w:noWrap w:val="0"/>
            <w:vAlign w:val="top"/>
          </w:tcPr>
          <w:p w14:paraId="28B4DDD3">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674D6F23">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4384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0DFA61A9">
            <w:pPr>
              <w:widowControl w:val="0"/>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6</w:t>
            </w:r>
          </w:p>
        </w:tc>
        <w:tc>
          <w:tcPr>
            <w:tcW w:w="1099" w:type="dxa"/>
            <w:noWrap w:val="0"/>
            <w:vAlign w:val="top"/>
          </w:tcPr>
          <w:p w14:paraId="5D9E5D81">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侯伟超</w:t>
            </w:r>
          </w:p>
        </w:tc>
        <w:tc>
          <w:tcPr>
            <w:tcW w:w="2282" w:type="dxa"/>
            <w:noWrap w:val="0"/>
            <w:vAlign w:val="top"/>
          </w:tcPr>
          <w:p w14:paraId="4ECCF7BE">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工程师</w:t>
            </w:r>
          </w:p>
        </w:tc>
        <w:tc>
          <w:tcPr>
            <w:tcW w:w="3163" w:type="dxa"/>
            <w:noWrap w:val="0"/>
            <w:vAlign w:val="top"/>
          </w:tcPr>
          <w:p w14:paraId="356B6695">
            <w:pPr>
              <w:widowControl w:val="0"/>
              <w:spacing w:line="360" w:lineRule="auto"/>
              <w:ind w:firstLine="0" w:firstLineChars="0"/>
              <w:jc w:val="both"/>
              <w:rPr>
                <w:rFonts w:ascii="Gungsuh" w:hAnsi="Times New Roman" w:eastAsia="Gungsuh"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3B7A70C8">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3B1E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336BD2A">
            <w:pPr>
              <w:widowControl w:val="0"/>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7</w:t>
            </w:r>
          </w:p>
        </w:tc>
        <w:tc>
          <w:tcPr>
            <w:tcW w:w="1099" w:type="dxa"/>
            <w:noWrap w:val="0"/>
            <w:vAlign w:val="top"/>
          </w:tcPr>
          <w:p w14:paraId="1CD2609B">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姜晓琳</w:t>
            </w:r>
          </w:p>
        </w:tc>
        <w:tc>
          <w:tcPr>
            <w:tcW w:w="2282" w:type="dxa"/>
            <w:noWrap w:val="0"/>
            <w:vAlign w:val="top"/>
          </w:tcPr>
          <w:p w14:paraId="7CD50540">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工程师</w:t>
            </w:r>
          </w:p>
        </w:tc>
        <w:tc>
          <w:tcPr>
            <w:tcW w:w="3163" w:type="dxa"/>
            <w:noWrap w:val="0"/>
            <w:vAlign w:val="top"/>
          </w:tcPr>
          <w:p w14:paraId="0930321A">
            <w:pPr>
              <w:widowControl w:val="0"/>
              <w:spacing w:line="360" w:lineRule="auto"/>
              <w:ind w:firstLine="0" w:firstLineChars="0"/>
              <w:jc w:val="both"/>
              <w:rPr>
                <w:rFonts w:ascii="Gungsuh" w:hAnsi="Times New Roman" w:eastAsia="Gungsuh"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2F0F2CB8">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bl>
    <w:p w14:paraId="32ACC583">
      <w:pPr>
        <w:widowControl w:val="0"/>
        <w:spacing w:line="360" w:lineRule="auto"/>
        <w:ind w:firstLine="0" w:firstLineChars="0"/>
        <w:jc w:val="both"/>
        <w:rPr>
          <w:rFonts w:hint="eastAsia" w:ascii="Gungsuh" w:hAnsi="Gungsuh" w:eastAsia="宋体" w:cs="宋体"/>
          <w:kern w:val="0"/>
          <w:sz w:val="24"/>
          <w:szCs w:val="24"/>
          <w:lang w:val="en-US" w:eastAsia="zh-CN" w:bidi="ar-SA"/>
        </w:rPr>
      </w:pPr>
      <w:r>
        <w:rPr>
          <w:rFonts w:hint="eastAsia" w:ascii="Gungsuh" w:hAnsi="Gungsuh" w:eastAsia="宋体" w:cs="宋体"/>
          <w:kern w:val="0"/>
          <w:sz w:val="24"/>
          <w:szCs w:val="24"/>
          <w:lang w:val="en-US" w:eastAsia="zh-CN" w:bidi="ar-SA"/>
        </w:rPr>
        <w:t>单</w:t>
      </w:r>
      <w:r>
        <w:rPr>
          <w:rFonts w:ascii="Gungsuh" w:hAnsi="Gungsuh" w:eastAsia="宋体" w:cs="Gungsuh"/>
          <w:kern w:val="0"/>
          <w:sz w:val="24"/>
          <w:szCs w:val="24"/>
          <w:lang w:val="en-US" w:eastAsia="zh-CN" w:bidi="ar-SA"/>
        </w:rPr>
        <w:t xml:space="preserve">  </w:t>
      </w:r>
      <w:r>
        <w:rPr>
          <w:rFonts w:hint="eastAsia" w:ascii="Gungsuh" w:hAnsi="Gungsuh" w:eastAsia="宋体" w:cs="宋体"/>
          <w:kern w:val="0"/>
          <w:sz w:val="24"/>
          <w:szCs w:val="24"/>
          <w:lang w:val="en-US" w:eastAsia="zh-CN" w:bidi="ar-SA"/>
        </w:rPr>
        <w:t>位：（章）大庆油田有限责任公司数智技术公司</w:t>
      </w:r>
    </w:p>
    <w:p w14:paraId="21F91BBB">
      <w:pPr>
        <w:pStyle w:val="2"/>
        <w:rPr>
          <w:rFonts w:hint="eastAsia" w:ascii="Gungsuh" w:hAnsi="Gungsuh" w:eastAsia="宋体" w:cs="宋体"/>
          <w:kern w:val="0"/>
          <w:sz w:val="24"/>
          <w:szCs w:val="24"/>
          <w:lang w:val="en-US" w:eastAsia="zh-CN" w:bidi="ar-SA"/>
        </w:rPr>
      </w:pPr>
    </w:p>
    <w:p w14:paraId="5689AD6F">
      <w:pPr>
        <w:pStyle w:val="2"/>
        <w:rPr>
          <w:rFonts w:hint="eastAsia" w:ascii="Gungsuh" w:hAnsi="Gungsuh" w:eastAsia="宋体" w:cs="宋体"/>
          <w:kern w:val="0"/>
          <w:sz w:val="24"/>
          <w:szCs w:val="24"/>
          <w:lang w:val="en-US" w:eastAsia="zh-CN" w:bidi="ar-SA"/>
        </w:rPr>
      </w:pPr>
    </w:p>
    <w:p w14:paraId="2FDDC9EB">
      <w:pPr>
        <w:spacing w:line="240" w:lineRule="auto"/>
        <w:ind w:firstLine="5760" w:firstLineChars="2400"/>
        <w:jc w:val="center"/>
        <w:rPr>
          <w:rFonts w:hint="eastAsia" w:ascii="Gungsuh" w:hAnsi="Gungsuh" w:eastAsia="宋体" w:cs="宋体"/>
          <w:sz w:val="24"/>
          <w:szCs w:val="24"/>
        </w:rPr>
      </w:pPr>
      <w:r>
        <w:rPr>
          <w:rFonts w:ascii="Gungsuh" w:hAnsi="Gungsuh" w:eastAsia="宋体" w:cs="Gungsuh"/>
          <w:sz w:val="24"/>
          <w:szCs w:val="24"/>
          <w:u w:val="single"/>
        </w:rPr>
        <w:t xml:space="preserve"> </w:t>
      </w:r>
      <w:r>
        <w:rPr>
          <w:rFonts w:hint="eastAsia" w:ascii="Gungsuh" w:hAnsi="Gungsuh" w:eastAsia="宋体" w:cs="Gungsuh"/>
          <w:sz w:val="24"/>
          <w:szCs w:val="24"/>
          <w:u w:val="single"/>
        </w:rPr>
        <w:t xml:space="preserve">      </w:t>
      </w:r>
      <w:r>
        <w:rPr>
          <w:rFonts w:hint="eastAsia" w:ascii="Gungsuh" w:hAnsi="Gungsuh" w:eastAsia="宋体" w:cs="宋体"/>
          <w:sz w:val="24"/>
          <w:szCs w:val="24"/>
        </w:rPr>
        <w:t>年</w:t>
      </w:r>
      <w:r>
        <w:rPr>
          <w:rFonts w:hint="eastAsia" w:ascii="Gungsuh" w:hAnsi="Gungsuh" w:eastAsia="宋体" w:cs="宋体"/>
          <w:sz w:val="24"/>
          <w:szCs w:val="24"/>
          <w:u w:val="single"/>
          <w:lang w:val="en-US" w:eastAsia="zh-CN"/>
        </w:rPr>
        <w:t xml:space="preserve"> </w:t>
      </w:r>
      <w:r>
        <w:rPr>
          <w:rFonts w:ascii="Gungsuh" w:hAnsi="Gungsuh" w:eastAsia="宋体" w:cs="Gungsuh"/>
          <w:sz w:val="24"/>
          <w:szCs w:val="24"/>
          <w:u w:val="single"/>
        </w:rPr>
        <w:t xml:space="preserve"> </w:t>
      </w:r>
      <w:r>
        <w:rPr>
          <w:rFonts w:hint="eastAsia" w:ascii="Gungsuh" w:hAnsi="Gungsuh" w:eastAsia="宋体" w:cs="宋体"/>
          <w:sz w:val="24"/>
          <w:szCs w:val="24"/>
        </w:rPr>
        <w:t>月</w:t>
      </w:r>
      <w:r>
        <w:rPr>
          <w:rFonts w:ascii="Gungsuh" w:hAnsi="Gungsuh" w:eastAsia="宋体" w:cs="Gungsuh"/>
          <w:sz w:val="24"/>
          <w:szCs w:val="24"/>
          <w:u w:val="single"/>
        </w:rPr>
        <w:t xml:space="preserve">  </w:t>
      </w:r>
      <w:r>
        <w:rPr>
          <w:rFonts w:hint="eastAsia" w:ascii="Gungsuh" w:hAnsi="Gungsuh" w:eastAsia="宋体" w:cs="宋体"/>
          <w:sz w:val="24"/>
          <w:szCs w:val="24"/>
        </w:rPr>
        <w:t>日</w:t>
      </w:r>
    </w:p>
    <w:p w14:paraId="5A3C9080">
      <w:pPr>
        <w:widowControl/>
        <w:shd w:val="clear" w:color="auto" w:fill="auto"/>
        <w:bidi w:val="0"/>
        <w:spacing w:before="0" w:after="0" w:line="240" w:lineRule="auto"/>
        <w:ind w:left="0" w:right="0"/>
        <w:jc w:val="left"/>
        <w:rPr>
          <w:rFonts w:hint="eastAsia" w:ascii="方正黑体简体" w:hAnsi="方正黑体简体" w:cs="方正黑体简体"/>
          <w:b w:val="0"/>
          <w:bCs w:val="0"/>
          <w:color w:val="auto"/>
          <w:kern w:val="0"/>
          <w:sz w:val="32"/>
          <w:szCs w:val="21"/>
          <w:highlight w:val="none"/>
          <w:u w:val="none"/>
          <w:shd w:val="clear" w:color="auto" w:fill="auto"/>
          <w:lang w:val="en-US" w:eastAsia="zh-CN" w:bidi="ar-SA"/>
        </w:rPr>
      </w:pPr>
    </w:p>
    <w:sectPr>
      <w:footerReference r:id="rId7" w:type="default"/>
      <w:pgSz w:w="11906" w:h="16838"/>
      <w:pgMar w:top="1134" w:right="1417" w:bottom="1134" w:left="1417" w:header="283" w:footer="283"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54E4C26-CA26-4CFC-8AEC-3230828B5A9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简体">
    <w:panose1 w:val="02000000000000000000"/>
    <w:charset w:val="86"/>
    <w:family w:val="auto"/>
    <w:pitch w:val="default"/>
    <w:sig w:usb0="A00002BF" w:usb1="184F6CFA" w:usb2="00000012" w:usb3="00000000" w:csb0="00040001" w:csb1="00000000"/>
    <w:embedRegular r:id="rId2" w:fontKey="{5B4356CC-4FE4-45B7-B550-38572F96CF2D}"/>
  </w:font>
  <w:font w:name="方正黑体简体">
    <w:panose1 w:val="02000000000000000000"/>
    <w:charset w:val="86"/>
    <w:family w:val="auto"/>
    <w:pitch w:val="default"/>
    <w:sig w:usb0="A00002BF" w:usb1="184F6CFA" w:usb2="00000012" w:usb3="00000000" w:csb0="00040001" w:csb1="00000000"/>
    <w:embedRegular r:id="rId3" w:fontKey="{48B029A7-5B77-41BA-85EF-C91F6CFBEA46}"/>
  </w:font>
  <w:font w:name="方正楷体简体">
    <w:panose1 w:val="02000000000000000000"/>
    <w:charset w:val="86"/>
    <w:family w:val="auto"/>
    <w:pitch w:val="default"/>
    <w:sig w:usb0="A00002BF" w:usb1="184F6CFA" w:usb2="00000012" w:usb3="00000000" w:csb0="00040001" w:csb1="00000000"/>
    <w:embedRegular r:id="rId4" w:fontKey="{522EE73D-FF10-4CAE-8308-73A8B9D23CC8}"/>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Verdana">
    <w:panose1 w:val="020B0604030504040204"/>
    <w:charset w:val="00"/>
    <w:family w:val="auto"/>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auto"/>
    <w:pitch w:val="default"/>
    <w:sig w:usb0="A00002BF" w:usb1="184F6CFA" w:usb2="00000012" w:usb3="00000000" w:csb0="00040001" w:csb1="00000000"/>
    <w:embedRegular r:id="rId5" w:fontKey="{F6AFCAA0-A744-4EE4-A8E4-38C57953314E}"/>
  </w:font>
  <w:font w:name="Gungsuh">
    <w:altName w:val="Malgun Gothic"/>
    <w:panose1 w:val="00000000000000000000"/>
    <w:charset w:val="81"/>
    <w:family w:val="roman"/>
    <w:pitch w:val="default"/>
    <w:sig w:usb0="00000000" w:usb1="00000000" w:usb2="00000030" w:usb3="00000000" w:csb0="0008009F" w:csb1="00000000"/>
    <w:embedRegular r:id="rId6" w:fontKey="{24BD6861-5BEC-4FE6-8CCA-BB94FC49AE02}"/>
  </w:font>
  <w:font w:name="Malgun Gothic">
    <w:panose1 w:val="020B0503020000020004"/>
    <w:charset w:val="81"/>
    <w:family w:val="auto"/>
    <w:pitch w:val="default"/>
    <w:sig w:usb0="9000002F" w:usb1="29D77CFB" w:usb2="00000012" w:usb3="00000000" w:csb0="00080001" w:csb1="00000000"/>
  </w:font>
  <w:font w:name="WPSEMBED1">
    <w:panose1 w:val="02000000000000000000"/>
    <w:charset w:val="86"/>
    <w:family w:val="auto"/>
    <w:pitch w:val="default"/>
    <w:sig w:usb0="A00002BF" w:usb1="184F6CFA" w:usb2="00000012" w:usb3="00000000" w:csb0="00040001" w:csb1="00000000"/>
  </w:font>
  <w:font w:name="WPSEMBED4">
    <w:panose1 w:val="02000000000000000000"/>
    <w:charset w:val="86"/>
    <w:family w:val="auto"/>
    <w:pitch w:val="default"/>
    <w:sig w:usb0="A00002BF" w:usb1="184F6CFA" w:usb2="00000012" w:usb3="00000000" w:csb0="00040001" w:csb1="00000000"/>
  </w:font>
  <w:font w:name="WPSEMBED2">
    <w:panose1 w:val="02000000000000000000"/>
    <w:charset w:val="86"/>
    <w:family w:val="auto"/>
    <w:pitch w:val="default"/>
    <w:sig w:usb0="A00002BF" w:usb1="184F6CFA" w:usb2="00000012" w:usb3="00000000" w:csb0="00040001" w:csb1="00000000"/>
  </w:font>
  <w:font w:name="WPSEMBED3">
    <w:panose1 w:val="02000000000000000000"/>
    <w:charset w:val="86"/>
    <w:family w:val="auto"/>
    <w:pitch w:val="default"/>
    <w:sig w:usb0="A00002BF" w:usb1="184F6CFA" w:usb2="00000012" w:usb3="00000000" w:csb0="00040001" w:csb1="00000000"/>
  </w:font>
  <w:font w:name="方正仿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KSOFE8852770">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F8CFA">
    <w:pPr>
      <w:ind w:right="210"/>
      <w:jc w:val="right"/>
      <w:rPr>
        <w:rFonts w:hint="eastAsia"/>
      </w:rPr>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9E001">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589E001">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55EBC">
    <w:pPr>
      <w:ind w:right="210"/>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96E2E">
    <w:pPr>
      <w:pBdr>
        <w:bottom w:val="none" w:color="auto" w:sz="0" w:space="0"/>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DB607"/>
    <w:multiLevelType w:val="singleLevel"/>
    <w:tmpl w:val="8C6DB607"/>
    <w:lvl w:ilvl="0" w:tentative="0">
      <w:start w:val="1"/>
      <w:numFmt w:val="decimal"/>
      <w:suff w:val="space"/>
      <w:lvlText w:val="%1."/>
      <w:lvlJc w:val="left"/>
    </w:lvl>
  </w:abstractNum>
  <w:abstractNum w:abstractNumId="1">
    <w:nsid w:val="ABDEFC0F"/>
    <w:multiLevelType w:val="singleLevel"/>
    <w:tmpl w:val="ABDEFC0F"/>
    <w:lvl w:ilvl="0" w:tentative="0">
      <w:start w:val="3"/>
      <w:numFmt w:val="chineseCounting"/>
      <w:suff w:val="nothing"/>
      <w:lvlText w:val="%1、"/>
      <w:lvlJc w:val="left"/>
      <w:rPr>
        <w:rFonts w:hint="eastAsia"/>
      </w:rPr>
    </w:lvl>
  </w:abstractNum>
  <w:abstractNum w:abstractNumId="2">
    <w:nsid w:val="DBB9E41F"/>
    <w:multiLevelType w:val="singleLevel"/>
    <w:tmpl w:val="DBB9E41F"/>
    <w:lvl w:ilvl="0" w:tentative="0">
      <w:start w:val="1"/>
      <w:numFmt w:val="chineseCounting"/>
      <w:suff w:val="nothing"/>
      <w:lvlText w:val="%1、"/>
      <w:lvlJc w:val="left"/>
      <w:rPr>
        <w:rFonts w:hint="eastAsia"/>
      </w:rPr>
    </w:lvl>
  </w:abstractNum>
  <w:abstractNum w:abstractNumId="3">
    <w:nsid w:val="414EB988"/>
    <w:multiLevelType w:val="singleLevel"/>
    <w:tmpl w:val="414EB988"/>
    <w:lvl w:ilvl="0" w:tentative="0">
      <w:start w:val="1"/>
      <w:numFmt w:val="decimal"/>
      <w:suff w:val="space"/>
      <w:lvlText w:val="%1."/>
      <w:lvlJc w:val="left"/>
    </w:lvl>
  </w:abstractNum>
  <w:abstractNum w:abstractNumId="4">
    <w:nsid w:val="752D5B33"/>
    <w:multiLevelType w:val="singleLevel"/>
    <w:tmpl w:val="752D5B33"/>
    <w:lvl w:ilvl="0" w:tentative="0">
      <w:start w:val="1"/>
      <w:numFmt w:val="decimal"/>
      <w:suff w:val="space"/>
      <w:lvlText w:val="%1."/>
      <w:lvlJc w:val="left"/>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2NTYwNzE3ZDljZDE0MjFiMWFhY2YyZWM0NjE2ZGEifQ=="/>
  </w:docVars>
  <w:rsids>
    <w:rsidRoot w:val="00172A27"/>
    <w:rsid w:val="0001444B"/>
    <w:rsid w:val="000172BF"/>
    <w:rsid w:val="000229ED"/>
    <w:rsid w:val="0002401E"/>
    <w:rsid w:val="0003693B"/>
    <w:rsid w:val="000409F8"/>
    <w:rsid w:val="00040EBF"/>
    <w:rsid w:val="00070DE2"/>
    <w:rsid w:val="0007459C"/>
    <w:rsid w:val="00076EAB"/>
    <w:rsid w:val="00080273"/>
    <w:rsid w:val="00081D07"/>
    <w:rsid w:val="0008409F"/>
    <w:rsid w:val="00084E95"/>
    <w:rsid w:val="00086B65"/>
    <w:rsid w:val="0008721E"/>
    <w:rsid w:val="00091BC8"/>
    <w:rsid w:val="000A091A"/>
    <w:rsid w:val="000A30C8"/>
    <w:rsid w:val="000A4732"/>
    <w:rsid w:val="000A54B1"/>
    <w:rsid w:val="000A5F5F"/>
    <w:rsid w:val="000C313B"/>
    <w:rsid w:val="000C6483"/>
    <w:rsid w:val="000E2E15"/>
    <w:rsid w:val="000E3CA5"/>
    <w:rsid w:val="000F3531"/>
    <w:rsid w:val="000F7530"/>
    <w:rsid w:val="001008C2"/>
    <w:rsid w:val="00100D78"/>
    <w:rsid w:val="00101F88"/>
    <w:rsid w:val="001039E2"/>
    <w:rsid w:val="001071E9"/>
    <w:rsid w:val="00110C7F"/>
    <w:rsid w:val="00115754"/>
    <w:rsid w:val="00117260"/>
    <w:rsid w:val="0012403D"/>
    <w:rsid w:val="00134BEB"/>
    <w:rsid w:val="001428FC"/>
    <w:rsid w:val="0015147C"/>
    <w:rsid w:val="00160936"/>
    <w:rsid w:val="00161837"/>
    <w:rsid w:val="001741F5"/>
    <w:rsid w:val="0017694B"/>
    <w:rsid w:val="00180B49"/>
    <w:rsid w:val="00181993"/>
    <w:rsid w:val="00186914"/>
    <w:rsid w:val="00190DF4"/>
    <w:rsid w:val="00192085"/>
    <w:rsid w:val="001B2F0A"/>
    <w:rsid w:val="001B5181"/>
    <w:rsid w:val="001B7BFD"/>
    <w:rsid w:val="001E0A2C"/>
    <w:rsid w:val="001E3C1A"/>
    <w:rsid w:val="001F2E5E"/>
    <w:rsid w:val="001F7B57"/>
    <w:rsid w:val="002009D8"/>
    <w:rsid w:val="002046B8"/>
    <w:rsid w:val="002049CB"/>
    <w:rsid w:val="00223FCE"/>
    <w:rsid w:val="002264C4"/>
    <w:rsid w:val="002319E5"/>
    <w:rsid w:val="0023706E"/>
    <w:rsid w:val="0024785B"/>
    <w:rsid w:val="0025030D"/>
    <w:rsid w:val="00254078"/>
    <w:rsid w:val="002573A7"/>
    <w:rsid w:val="002706E3"/>
    <w:rsid w:val="00273A8D"/>
    <w:rsid w:val="0027421F"/>
    <w:rsid w:val="00281431"/>
    <w:rsid w:val="0028203F"/>
    <w:rsid w:val="0029100F"/>
    <w:rsid w:val="002D1A54"/>
    <w:rsid w:val="002D781F"/>
    <w:rsid w:val="002E1FC6"/>
    <w:rsid w:val="002E5C3E"/>
    <w:rsid w:val="002F0A88"/>
    <w:rsid w:val="002F2031"/>
    <w:rsid w:val="002F26F2"/>
    <w:rsid w:val="003012CF"/>
    <w:rsid w:val="003112F6"/>
    <w:rsid w:val="00314BE4"/>
    <w:rsid w:val="003216AC"/>
    <w:rsid w:val="00322761"/>
    <w:rsid w:val="003312A6"/>
    <w:rsid w:val="00333652"/>
    <w:rsid w:val="003336D2"/>
    <w:rsid w:val="003339CA"/>
    <w:rsid w:val="00333CFF"/>
    <w:rsid w:val="00336641"/>
    <w:rsid w:val="0035274D"/>
    <w:rsid w:val="00355A00"/>
    <w:rsid w:val="0035791D"/>
    <w:rsid w:val="00372505"/>
    <w:rsid w:val="0037285D"/>
    <w:rsid w:val="0037313D"/>
    <w:rsid w:val="00381C2B"/>
    <w:rsid w:val="003851F0"/>
    <w:rsid w:val="00390449"/>
    <w:rsid w:val="00391234"/>
    <w:rsid w:val="00395828"/>
    <w:rsid w:val="003A0378"/>
    <w:rsid w:val="003A3789"/>
    <w:rsid w:val="003B6100"/>
    <w:rsid w:val="003C6353"/>
    <w:rsid w:val="003E053B"/>
    <w:rsid w:val="003F602D"/>
    <w:rsid w:val="00402B6B"/>
    <w:rsid w:val="00403235"/>
    <w:rsid w:val="00403312"/>
    <w:rsid w:val="0041399D"/>
    <w:rsid w:val="0043142D"/>
    <w:rsid w:val="004317F2"/>
    <w:rsid w:val="00436298"/>
    <w:rsid w:val="0043710E"/>
    <w:rsid w:val="0044740A"/>
    <w:rsid w:val="00452E43"/>
    <w:rsid w:val="0045638B"/>
    <w:rsid w:val="0046543C"/>
    <w:rsid w:val="0046698D"/>
    <w:rsid w:val="00477E7E"/>
    <w:rsid w:val="004A20D8"/>
    <w:rsid w:val="004A72E4"/>
    <w:rsid w:val="004A76DF"/>
    <w:rsid w:val="004A7CB6"/>
    <w:rsid w:val="004B3DB9"/>
    <w:rsid w:val="004B4444"/>
    <w:rsid w:val="004C04E4"/>
    <w:rsid w:val="004C329B"/>
    <w:rsid w:val="004C4689"/>
    <w:rsid w:val="004C69A5"/>
    <w:rsid w:val="004D367C"/>
    <w:rsid w:val="004E681B"/>
    <w:rsid w:val="004F074F"/>
    <w:rsid w:val="004F09D9"/>
    <w:rsid w:val="00500315"/>
    <w:rsid w:val="005026FD"/>
    <w:rsid w:val="005047E6"/>
    <w:rsid w:val="005102CC"/>
    <w:rsid w:val="00512883"/>
    <w:rsid w:val="005304CE"/>
    <w:rsid w:val="0053116F"/>
    <w:rsid w:val="00533BA8"/>
    <w:rsid w:val="00543218"/>
    <w:rsid w:val="00545D9F"/>
    <w:rsid w:val="00546F6E"/>
    <w:rsid w:val="0055239C"/>
    <w:rsid w:val="0055315B"/>
    <w:rsid w:val="005610EB"/>
    <w:rsid w:val="00566C97"/>
    <w:rsid w:val="00567FD1"/>
    <w:rsid w:val="00586F2D"/>
    <w:rsid w:val="00591C26"/>
    <w:rsid w:val="005959A1"/>
    <w:rsid w:val="005972CB"/>
    <w:rsid w:val="005A406D"/>
    <w:rsid w:val="005A51CD"/>
    <w:rsid w:val="005B24F8"/>
    <w:rsid w:val="005B35B8"/>
    <w:rsid w:val="005B3B99"/>
    <w:rsid w:val="005C092F"/>
    <w:rsid w:val="005C1FC4"/>
    <w:rsid w:val="005C3DA6"/>
    <w:rsid w:val="005C5CC0"/>
    <w:rsid w:val="005C6B23"/>
    <w:rsid w:val="005E0418"/>
    <w:rsid w:val="005E31D6"/>
    <w:rsid w:val="005E5815"/>
    <w:rsid w:val="005F0267"/>
    <w:rsid w:val="0060156D"/>
    <w:rsid w:val="00604709"/>
    <w:rsid w:val="00605447"/>
    <w:rsid w:val="006122C9"/>
    <w:rsid w:val="006151FE"/>
    <w:rsid w:val="006227C2"/>
    <w:rsid w:val="00625B2D"/>
    <w:rsid w:val="00633CA3"/>
    <w:rsid w:val="006514DD"/>
    <w:rsid w:val="006636DE"/>
    <w:rsid w:val="00696F6D"/>
    <w:rsid w:val="006A0B9E"/>
    <w:rsid w:val="006B11F4"/>
    <w:rsid w:val="006B37F0"/>
    <w:rsid w:val="006C09F5"/>
    <w:rsid w:val="006E4981"/>
    <w:rsid w:val="006E74FE"/>
    <w:rsid w:val="00701996"/>
    <w:rsid w:val="007054AA"/>
    <w:rsid w:val="00711DD0"/>
    <w:rsid w:val="0071497D"/>
    <w:rsid w:val="00725D35"/>
    <w:rsid w:val="00733890"/>
    <w:rsid w:val="00733E26"/>
    <w:rsid w:val="00734D30"/>
    <w:rsid w:val="00736431"/>
    <w:rsid w:val="00736698"/>
    <w:rsid w:val="00742FE4"/>
    <w:rsid w:val="00743543"/>
    <w:rsid w:val="0074557D"/>
    <w:rsid w:val="00751E91"/>
    <w:rsid w:val="00757B9E"/>
    <w:rsid w:val="00763FB0"/>
    <w:rsid w:val="007655EF"/>
    <w:rsid w:val="00765B77"/>
    <w:rsid w:val="00767519"/>
    <w:rsid w:val="00772B68"/>
    <w:rsid w:val="00777F64"/>
    <w:rsid w:val="00785B28"/>
    <w:rsid w:val="00792E1D"/>
    <w:rsid w:val="007A1A0F"/>
    <w:rsid w:val="007A5BEE"/>
    <w:rsid w:val="007B0C4E"/>
    <w:rsid w:val="007B6BAD"/>
    <w:rsid w:val="007C0CEB"/>
    <w:rsid w:val="007C3FC6"/>
    <w:rsid w:val="007D2DB1"/>
    <w:rsid w:val="007D447C"/>
    <w:rsid w:val="007D7698"/>
    <w:rsid w:val="007E7378"/>
    <w:rsid w:val="007F156B"/>
    <w:rsid w:val="007F2028"/>
    <w:rsid w:val="007F57E8"/>
    <w:rsid w:val="00801048"/>
    <w:rsid w:val="00806297"/>
    <w:rsid w:val="00817D90"/>
    <w:rsid w:val="00821CCC"/>
    <w:rsid w:val="00841AD3"/>
    <w:rsid w:val="00861290"/>
    <w:rsid w:val="0086235F"/>
    <w:rsid w:val="00883FB6"/>
    <w:rsid w:val="00887BB8"/>
    <w:rsid w:val="00887CEC"/>
    <w:rsid w:val="008A1926"/>
    <w:rsid w:val="008A602C"/>
    <w:rsid w:val="008B32FB"/>
    <w:rsid w:val="008B4195"/>
    <w:rsid w:val="008B63F8"/>
    <w:rsid w:val="008C2DD2"/>
    <w:rsid w:val="008C397D"/>
    <w:rsid w:val="008C6787"/>
    <w:rsid w:val="008C775F"/>
    <w:rsid w:val="008D234A"/>
    <w:rsid w:val="008E7017"/>
    <w:rsid w:val="008F7405"/>
    <w:rsid w:val="009318D6"/>
    <w:rsid w:val="0093306C"/>
    <w:rsid w:val="00942961"/>
    <w:rsid w:val="00943BAA"/>
    <w:rsid w:val="00954057"/>
    <w:rsid w:val="00964EE6"/>
    <w:rsid w:val="00972BEC"/>
    <w:rsid w:val="00974C7E"/>
    <w:rsid w:val="00974F82"/>
    <w:rsid w:val="00980349"/>
    <w:rsid w:val="00984C91"/>
    <w:rsid w:val="009865B1"/>
    <w:rsid w:val="009920DE"/>
    <w:rsid w:val="00993507"/>
    <w:rsid w:val="009954ED"/>
    <w:rsid w:val="009A539E"/>
    <w:rsid w:val="009A6609"/>
    <w:rsid w:val="009A7FB4"/>
    <w:rsid w:val="009B796D"/>
    <w:rsid w:val="009C1EE8"/>
    <w:rsid w:val="009C23B1"/>
    <w:rsid w:val="009D40D7"/>
    <w:rsid w:val="009D536D"/>
    <w:rsid w:val="009D6D13"/>
    <w:rsid w:val="009E642E"/>
    <w:rsid w:val="009E6855"/>
    <w:rsid w:val="009F13B6"/>
    <w:rsid w:val="009F240F"/>
    <w:rsid w:val="009F730D"/>
    <w:rsid w:val="00A1106B"/>
    <w:rsid w:val="00A20C2C"/>
    <w:rsid w:val="00A2102D"/>
    <w:rsid w:val="00A27184"/>
    <w:rsid w:val="00A307D1"/>
    <w:rsid w:val="00A43FAB"/>
    <w:rsid w:val="00A4427D"/>
    <w:rsid w:val="00A658C9"/>
    <w:rsid w:val="00A74CCB"/>
    <w:rsid w:val="00A831E2"/>
    <w:rsid w:val="00A85DE7"/>
    <w:rsid w:val="00A8663F"/>
    <w:rsid w:val="00A90E5A"/>
    <w:rsid w:val="00AB2364"/>
    <w:rsid w:val="00AB7710"/>
    <w:rsid w:val="00AC1C1E"/>
    <w:rsid w:val="00AD77E2"/>
    <w:rsid w:val="00AE5AF9"/>
    <w:rsid w:val="00AE6ADC"/>
    <w:rsid w:val="00AF105D"/>
    <w:rsid w:val="00AF2C7A"/>
    <w:rsid w:val="00B11960"/>
    <w:rsid w:val="00B11D31"/>
    <w:rsid w:val="00B12CA8"/>
    <w:rsid w:val="00B15BF4"/>
    <w:rsid w:val="00B17CDD"/>
    <w:rsid w:val="00B270C1"/>
    <w:rsid w:val="00B35AA8"/>
    <w:rsid w:val="00B36D17"/>
    <w:rsid w:val="00B36E51"/>
    <w:rsid w:val="00B3757B"/>
    <w:rsid w:val="00B432C1"/>
    <w:rsid w:val="00B50F90"/>
    <w:rsid w:val="00B57DC8"/>
    <w:rsid w:val="00B60166"/>
    <w:rsid w:val="00B6403A"/>
    <w:rsid w:val="00B65AC4"/>
    <w:rsid w:val="00B661EB"/>
    <w:rsid w:val="00B70C3C"/>
    <w:rsid w:val="00B70F66"/>
    <w:rsid w:val="00B724B0"/>
    <w:rsid w:val="00B75656"/>
    <w:rsid w:val="00B75AB7"/>
    <w:rsid w:val="00B76BAC"/>
    <w:rsid w:val="00B76D00"/>
    <w:rsid w:val="00B8524F"/>
    <w:rsid w:val="00BA1856"/>
    <w:rsid w:val="00BA1885"/>
    <w:rsid w:val="00BA4FF9"/>
    <w:rsid w:val="00BB41E9"/>
    <w:rsid w:val="00BB4A50"/>
    <w:rsid w:val="00BC04BB"/>
    <w:rsid w:val="00BC0D52"/>
    <w:rsid w:val="00BC6911"/>
    <w:rsid w:val="00BE5BAE"/>
    <w:rsid w:val="00BF3054"/>
    <w:rsid w:val="00C06E1F"/>
    <w:rsid w:val="00C06F12"/>
    <w:rsid w:val="00C14851"/>
    <w:rsid w:val="00C16F64"/>
    <w:rsid w:val="00C200C3"/>
    <w:rsid w:val="00C24643"/>
    <w:rsid w:val="00C252E5"/>
    <w:rsid w:val="00C331EB"/>
    <w:rsid w:val="00C357E5"/>
    <w:rsid w:val="00C419C8"/>
    <w:rsid w:val="00C44891"/>
    <w:rsid w:val="00C454E6"/>
    <w:rsid w:val="00C526AD"/>
    <w:rsid w:val="00C54282"/>
    <w:rsid w:val="00C56469"/>
    <w:rsid w:val="00C62232"/>
    <w:rsid w:val="00C672B5"/>
    <w:rsid w:val="00C702F0"/>
    <w:rsid w:val="00C8046B"/>
    <w:rsid w:val="00C875D0"/>
    <w:rsid w:val="00CA0B4D"/>
    <w:rsid w:val="00CB067A"/>
    <w:rsid w:val="00CB069A"/>
    <w:rsid w:val="00CC5C5B"/>
    <w:rsid w:val="00CC63E4"/>
    <w:rsid w:val="00CC6479"/>
    <w:rsid w:val="00CD5A0F"/>
    <w:rsid w:val="00CE36EB"/>
    <w:rsid w:val="00CF09ED"/>
    <w:rsid w:val="00CF613B"/>
    <w:rsid w:val="00CF75CB"/>
    <w:rsid w:val="00CF7DEA"/>
    <w:rsid w:val="00D062F6"/>
    <w:rsid w:val="00D069DA"/>
    <w:rsid w:val="00D10476"/>
    <w:rsid w:val="00D110F3"/>
    <w:rsid w:val="00D161CA"/>
    <w:rsid w:val="00D20A44"/>
    <w:rsid w:val="00D33D85"/>
    <w:rsid w:val="00D35304"/>
    <w:rsid w:val="00D367A5"/>
    <w:rsid w:val="00D44975"/>
    <w:rsid w:val="00D462DE"/>
    <w:rsid w:val="00D52D95"/>
    <w:rsid w:val="00D538B5"/>
    <w:rsid w:val="00D57944"/>
    <w:rsid w:val="00D629C2"/>
    <w:rsid w:val="00D635F3"/>
    <w:rsid w:val="00D65092"/>
    <w:rsid w:val="00D66BF9"/>
    <w:rsid w:val="00D7108F"/>
    <w:rsid w:val="00D82CBE"/>
    <w:rsid w:val="00D8393C"/>
    <w:rsid w:val="00D85F80"/>
    <w:rsid w:val="00D863D3"/>
    <w:rsid w:val="00D8653F"/>
    <w:rsid w:val="00D8719F"/>
    <w:rsid w:val="00D91EDA"/>
    <w:rsid w:val="00D92195"/>
    <w:rsid w:val="00D9695F"/>
    <w:rsid w:val="00DA1252"/>
    <w:rsid w:val="00DA46E3"/>
    <w:rsid w:val="00DA609A"/>
    <w:rsid w:val="00DA61F3"/>
    <w:rsid w:val="00DB439B"/>
    <w:rsid w:val="00DC1AED"/>
    <w:rsid w:val="00DC3627"/>
    <w:rsid w:val="00DD6D7E"/>
    <w:rsid w:val="00DD7811"/>
    <w:rsid w:val="00DE4F75"/>
    <w:rsid w:val="00E017B9"/>
    <w:rsid w:val="00E16830"/>
    <w:rsid w:val="00E169A5"/>
    <w:rsid w:val="00E3043C"/>
    <w:rsid w:val="00E34201"/>
    <w:rsid w:val="00E4230C"/>
    <w:rsid w:val="00E46B3A"/>
    <w:rsid w:val="00E62FB6"/>
    <w:rsid w:val="00E773CC"/>
    <w:rsid w:val="00E774B0"/>
    <w:rsid w:val="00E85D2F"/>
    <w:rsid w:val="00E9248B"/>
    <w:rsid w:val="00E9308F"/>
    <w:rsid w:val="00EA219D"/>
    <w:rsid w:val="00EB1D07"/>
    <w:rsid w:val="00EB4F89"/>
    <w:rsid w:val="00EB6FF4"/>
    <w:rsid w:val="00EC2774"/>
    <w:rsid w:val="00EC6675"/>
    <w:rsid w:val="00ED3F60"/>
    <w:rsid w:val="00ED4EB1"/>
    <w:rsid w:val="00EE1558"/>
    <w:rsid w:val="00EE5787"/>
    <w:rsid w:val="00EF2C6F"/>
    <w:rsid w:val="00EF4C3D"/>
    <w:rsid w:val="00F00DD4"/>
    <w:rsid w:val="00F01857"/>
    <w:rsid w:val="00F02781"/>
    <w:rsid w:val="00F21F64"/>
    <w:rsid w:val="00F22B1E"/>
    <w:rsid w:val="00F23447"/>
    <w:rsid w:val="00F26208"/>
    <w:rsid w:val="00F32D05"/>
    <w:rsid w:val="00F46811"/>
    <w:rsid w:val="00F55B54"/>
    <w:rsid w:val="00F6353D"/>
    <w:rsid w:val="00F6535E"/>
    <w:rsid w:val="00F71698"/>
    <w:rsid w:val="00F74E20"/>
    <w:rsid w:val="00F841BF"/>
    <w:rsid w:val="00FB00F4"/>
    <w:rsid w:val="00FB2907"/>
    <w:rsid w:val="00FB2EC0"/>
    <w:rsid w:val="00FB33C5"/>
    <w:rsid w:val="00FB595F"/>
    <w:rsid w:val="00FB686D"/>
    <w:rsid w:val="00FC061B"/>
    <w:rsid w:val="00FC3218"/>
    <w:rsid w:val="00FD0D96"/>
    <w:rsid w:val="00FD7FE2"/>
    <w:rsid w:val="00FE1890"/>
    <w:rsid w:val="00FE483E"/>
    <w:rsid w:val="00FF077E"/>
    <w:rsid w:val="00FF0DEF"/>
    <w:rsid w:val="00FF2767"/>
    <w:rsid w:val="00FF74FC"/>
    <w:rsid w:val="01224D8D"/>
    <w:rsid w:val="01443DC2"/>
    <w:rsid w:val="017F2FA5"/>
    <w:rsid w:val="01BD35AB"/>
    <w:rsid w:val="01CF32DE"/>
    <w:rsid w:val="02094D31"/>
    <w:rsid w:val="021138F7"/>
    <w:rsid w:val="024B31E6"/>
    <w:rsid w:val="026C0F10"/>
    <w:rsid w:val="02745507"/>
    <w:rsid w:val="02A227A1"/>
    <w:rsid w:val="02B9136C"/>
    <w:rsid w:val="02C0725B"/>
    <w:rsid w:val="02E82DB6"/>
    <w:rsid w:val="030431D8"/>
    <w:rsid w:val="030B4F55"/>
    <w:rsid w:val="03394EB3"/>
    <w:rsid w:val="03502602"/>
    <w:rsid w:val="03795BF7"/>
    <w:rsid w:val="037E57C0"/>
    <w:rsid w:val="03912F41"/>
    <w:rsid w:val="03D352CC"/>
    <w:rsid w:val="03EC0D2F"/>
    <w:rsid w:val="03F7F490"/>
    <w:rsid w:val="04130FB3"/>
    <w:rsid w:val="0427525A"/>
    <w:rsid w:val="044416B1"/>
    <w:rsid w:val="045C1871"/>
    <w:rsid w:val="048957A3"/>
    <w:rsid w:val="049C7630"/>
    <w:rsid w:val="04CB707B"/>
    <w:rsid w:val="04F3168F"/>
    <w:rsid w:val="04F37BA4"/>
    <w:rsid w:val="04F96FF0"/>
    <w:rsid w:val="05195B89"/>
    <w:rsid w:val="0529316F"/>
    <w:rsid w:val="05362C9E"/>
    <w:rsid w:val="05597A8E"/>
    <w:rsid w:val="0561412E"/>
    <w:rsid w:val="058A6B95"/>
    <w:rsid w:val="05C80770"/>
    <w:rsid w:val="05DA1C80"/>
    <w:rsid w:val="05DB04A3"/>
    <w:rsid w:val="05E63D54"/>
    <w:rsid w:val="060519C4"/>
    <w:rsid w:val="064C5047"/>
    <w:rsid w:val="064E336B"/>
    <w:rsid w:val="06A116ED"/>
    <w:rsid w:val="06C47189"/>
    <w:rsid w:val="06CE6BD1"/>
    <w:rsid w:val="06E5685F"/>
    <w:rsid w:val="06E97F6B"/>
    <w:rsid w:val="07AC7A0B"/>
    <w:rsid w:val="07AE4C01"/>
    <w:rsid w:val="07DA4E54"/>
    <w:rsid w:val="080C0AA2"/>
    <w:rsid w:val="08201FB2"/>
    <w:rsid w:val="08311B3B"/>
    <w:rsid w:val="085602B5"/>
    <w:rsid w:val="085B619D"/>
    <w:rsid w:val="089B2A1B"/>
    <w:rsid w:val="08F43381"/>
    <w:rsid w:val="090E6890"/>
    <w:rsid w:val="092E2156"/>
    <w:rsid w:val="0956400D"/>
    <w:rsid w:val="097E5D15"/>
    <w:rsid w:val="098243CC"/>
    <w:rsid w:val="09846504"/>
    <w:rsid w:val="09B07D0D"/>
    <w:rsid w:val="09BA0A41"/>
    <w:rsid w:val="09CB082F"/>
    <w:rsid w:val="0A3D797F"/>
    <w:rsid w:val="0A5474AF"/>
    <w:rsid w:val="0A66555C"/>
    <w:rsid w:val="0A6E79D9"/>
    <w:rsid w:val="0A8C7A56"/>
    <w:rsid w:val="0A9A6B7F"/>
    <w:rsid w:val="0AA26F33"/>
    <w:rsid w:val="0AFF2E86"/>
    <w:rsid w:val="0B187AA4"/>
    <w:rsid w:val="0B422D73"/>
    <w:rsid w:val="0B50723E"/>
    <w:rsid w:val="0B974E6D"/>
    <w:rsid w:val="0BAA21C1"/>
    <w:rsid w:val="0BD060B1"/>
    <w:rsid w:val="0BE67BA2"/>
    <w:rsid w:val="0C027DD4"/>
    <w:rsid w:val="0C0D0B57"/>
    <w:rsid w:val="0C251698"/>
    <w:rsid w:val="0C2D5B74"/>
    <w:rsid w:val="0C312143"/>
    <w:rsid w:val="0C4072B2"/>
    <w:rsid w:val="0C510C4D"/>
    <w:rsid w:val="0C9E11A3"/>
    <w:rsid w:val="0CA44663"/>
    <w:rsid w:val="0CAC2B9A"/>
    <w:rsid w:val="0CC06645"/>
    <w:rsid w:val="0CDB100C"/>
    <w:rsid w:val="0CF236F8"/>
    <w:rsid w:val="0CF965C4"/>
    <w:rsid w:val="0D1B1CF5"/>
    <w:rsid w:val="0D366907"/>
    <w:rsid w:val="0D61407B"/>
    <w:rsid w:val="0DDD1689"/>
    <w:rsid w:val="0DE10621"/>
    <w:rsid w:val="0DED6FC6"/>
    <w:rsid w:val="0E4E31B8"/>
    <w:rsid w:val="0E6E1EFC"/>
    <w:rsid w:val="0EAE7C13"/>
    <w:rsid w:val="0EE1763C"/>
    <w:rsid w:val="0EE26D46"/>
    <w:rsid w:val="0EEB3836"/>
    <w:rsid w:val="0EF42964"/>
    <w:rsid w:val="0F246D10"/>
    <w:rsid w:val="0F752D39"/>
    <w:rsid w:val="0F9B0D24"/>
    <w:rsid w:val="0FA12732"/>
    <w:rsid w:val="0FBF0E36"/>
    <w:rsid w:val="0FC621C4"/>
    <w:rsid w:val="0FCB57D4"/>
    <w:rsid w:val="103701B7"/>
    <w:rsid w:val="103E5197"/>
    <w:rsid w:val="106324FE"/>
    <w:rsid w:val="10656BF1"/>
    <w:rsid w:val="107D339A"/>
    <w:rsid w:val="109E0A4B"/>
    <w:rsid w:val="10EA70AA"/>
    <w:rsid w:val="110E3E08"/>
    <w:rsid w:val="11190B93"/>
    <w:rsid w:val="1154735C"/>
    <w:rsid w:val="115D0D77"/>
    <w:rsid w:val="11681852"/>
    <w:rsid w:val="11794537"/>
    <w:rsid w:val="119105B0"/>
    <w:rsid w:val="11964817"/>
    <w:rsid w:val="11A67E13"/>
    <w:rsid w:val="11B26E33"/>
    <w:rsid w:val="11C22476"/>
    <w:rsid w:val="11D85BAE"/>
    <w:rsid w:val="11F06F83"/>
    <w:rsid w:val="11F8605E"/>
    <w:rsid w:val="1220319B"/>
    <w:rsid w:val="12213A4B"/>
    <w:rsid w:val="123663D5"/>
    <w:rsid w:val="1239627B"/>
    <w:rsid w:val="12711EE0"/>
    <w:rsid w:val="1279351E"/>
    <w:rsid w:val="12866F59"/>
    <w:rsid w:val="129569F8"/>
    <w:rsid w:val="129E11D6"/>
    <w:rsid w:val="12C678AC"/>
    <w:rsid w:val="12D90460"/>
    <w:rsid w:val="12E806A4"/>
    <w:rsid w:val="12F42BA4"/>
    <w:rsid w:val="13045E0D"/>
    <w:rsid w:val="134A71EB"/>
    <w:rsid w:val="13556BE8"/>
    <w:rsid w:val="13646587"/>
    <w:rsid w:val="13E22D66"/>
    <w:rsid w:val="13ED39D6"/>
    <w:rsid w:val="14022575"/>
    <w:rsid w:val="14292753"/>
    <w:rsid w:val="143D52FE"/>
    <w:rsid w:val="147C3A47"/>
    <w:rsid w:val="14BD6892"/>
    <w:rsid w:val="151F4930"/>
    <w:rsid w:val="155F3319"/>
    <w:rsid w:val="15657D89"/>
    <w:rsid w:val="1596627D"/>
    <w:rsid w:val="15AB46F1"/>
    <w:rsid w:val="15D1541F"/>
    <w:rsid w:val="15E84E80"/>
    <w:rsid w:val="160648A8"/>
    <w:rsid w:val="16385772"/>
    <w:rsid w:val="168B1A72"/>
    <w:rsid w:val="16BF0B10"/>
    <w:rsid w:val="16CC793D"/>
    <w:rsid w:val="16FF7CC7"/>
    <w:rsid w:val="1721504E"/>
    <w:rsid w:val="172A0C9A"/>
    <w:rsid w:val="174E1227"/>
    <w:rsid w:val="176E561B"/>
    <w:rsid w:val="17712A16"/>
    <w:rsid w:val="177C480D"/>
    <w:rsid w:val="17875ADE"/>
    <w:rsid w:val="17E668D1"/>
    <w:rsid w:val="17ED1422"/>
    <w:rsid w:val="187D363C"/>
    <w:rsid w:val="188B7B07"/>
    <w:rsid w:val="189270E7"/>
    <w:rsid w:val="189C1B55"/>
    <w:rsid w:val="18A20069"/>
    <w:rsid w:val="18AA14C9"/>
    <w:rsid w:val="18AF2C5F"/>
    <w:rsid w:val="18B83CF9"/>
    <w:rsid w:val="18FE14F5"/>
    <w:rsid w:val="19044052"/>
    <w:rsid w:val="19712571"/>
    <w:rsid w:val="19FD2C86"/>
    <w:rsid w:val="1A6B3FBB"/>
    <w:rsid w:val="1A817C1E"/>
    <w:rsid w:val="1A956179"/>
    <w:rsid w:val="1AA442AB"/>
    <w:rsid w:val="1B0A560A"/>
    <w:rsid w:val="1B0B3181"/>
    <w:rsid w:val="1B23671D"/>
    <w:rsid w:val="1B32070E"/>
    <w:rsid w:val="1B6603B7"/>
    <w:rsid w:val="1B6F3710"/>
    <w:rsid w:val="1BA55384"/>
    <w:rsid w:val="1BA66239"/>
    <w:rsid w:val="1BBC447B"/>
    <w:rsid w:val="1BCE436E"/>
    <w:rsid w:val="1BE35EAC"/>
    <w:rsid w:val="1BFE2CE6"/>
    <w:rsid w:val="1C0C5D7E"/>
    <w:rsid w:val="1C224589"/>
    <w:rsid w:val="1C4C3A51"/>
    <w:rsid w:val="1C5D140B"/>
    <w:rsid w:val="1C7A6910"/>
    <w:rsid w:val="1CC83B25"/>
    <w:rsid w:val="1D2B1A65"/>
    <w:rsid w:val="1D3A0A6D"/>
    <w:rsid w:val="1D3C2A36"/>
    <w:rsid w:val="1D3E74CC"/>
    <w:rsid w:val="1D447FCD"/>
    <w:rsid w:val="1D4B784E"/>
    <w:rsid w:val="1D524C10"/>
    <w:rsid w:val="1D6656B1"/>
    <w:rsid w:val="1D6C48F6"/>
    <w:rsid w:val="1D79411E"/>
    <w:rsid w:val="1D996CC8"/>
    <w:rsid w:val="1D9D1F1D"/>
    <w:rsid w:val="1DC55869"/>
    <w:rsid w:val="1E1C0A91"/>
    <w:rsid w:val="1E214A6A"/>
    <w:rsid w:val="1E267594"/>
    <w:rsid w:val="1E311151"/>
    <w:rsid w:val="1E312EFF"/>
    <w:rsid w:val="1E42510C"/>
    <w:rsid w:val="1E8B6A70"/>
    <w:rsid w:val="1ED65F86"/>
    <w:rsid w:val="1F055AF0"/>
    <w:rsid w:val="1F4153C3"/>
    <w:rsid w:val="1F9D55A5"/>
    <w:rsid w:val="1FB771B9"/>
    <w:rsid w:val="2014244E"/>
    <w:rsid w:val="203D39F0"/>
    <w:rsid w:val="20581D27"/>
    <w:rsid w:val="206575E0"/>
    <w:rsid w:val="20887022"/>
    <w:rsid w:val="20B01A8E"/>
    <w:rsid w:val="20B0298F"/>
    <w:rsid w:val="20EB4E0E"/>
    <w:rsid w:val="212B632B"/>
    <w:rsid w:val="21716F87"/>
    <w:rsid w:val="218D6CE9"/>
    <w:rsid w:val="21A5207B"/>
    <w:rsid w:val="21B52099"/>
    <w:rsid w:val="21C674D4"/>
    <w:rsid w:val="21D84004"/>
    <w:rsid w:val="21E4594B"/>
    <w:rsid w:val="21EF7359"/>
    <w:rsid w:val="21F7445F"/>
    <w:rsid w:val="220821C8"/>
    <w:rsid w:val="2217240B"/>
    <w:rsid w:val="22296EBC"/>
    <w:rsid w:val="22550209"/>
    <w:rsid w:val="22714556"/>
    <w:rsid w:val="22827DBA"/>
    <w:rsid w:val="22A16179"/>
    <w:rsid w:val="22A52244"/>
    <w:rsid w:val="22B65342"/>
    <w:rsid w:val="232D5EFC"/>
    <w:rsid w:val="232E7A65"/>
    <w:rsid w:val="23487B36"/>
    <w:rsid w:val="235F406A"/>
    <w:rsid w:val="23A44173"/>
    <w:rsid w:val="23AB3753"/>
    <w:rsid w:val="23AF5D68"/>
    <w:rsid w:val="23BB713F"/>
    <w:rsid w:val="23D41AC5"/>
    <w:rsid w:val="23DA7313"/>
    <w:rsid w:val="23FC66E6"/>
    <w:rsid w:val="241577BE"/>
    <w:rsid w:val="24415E66"/>
    <w:rsid w:val="24482D50"/>
    <w:rsid w:val="25127651"/>
    <w:rsid w:val="253504D6"/>
    <w:rsid w:val="25620CCB"/>
    <w:rsid w:val="257E08D4"/>
    <w:rsid w:val="2583109E"/>
    <w:rsid w:val="259E291C"/>
    <w:rsid w:val="25B06D01"/>
    <w:rsid w:val="25B1435A"/>
    <w:rsid w:val="25CB4F7F"/>
    <w:rsid w:val="25FA62CC"/>
    <w:rsid w:val="26245400"/>
    <w:rsid w:val="262A67F5"/>
    <w:rsid w:val="2641214D"/>
    <w:rsid w:val="265E4AAD"/>
    <w:rsid w:val="26765643"/>
    <w:rsid w:val="2679327F"/>
    <w:rsid w:val="26854CAF"/>
    <w:rsid w:val="268E251A"/>
    <w:rsid w:val="26B26BA7"/>
    <w:rsid w:val="26CC06FF"/>
    <w:rsid w:val="271C2272"/>
    <w:rsid w:val="273C5904"/>
    <w:rsid w:val="27604855"/>
    <w:rsid w:val="27625C9B"/>
    <w:rsid w:val="27664DFA"/>
    <w:rsid w:val="276E231E"/>
    <w:rsid w:val="27B506FD"/>
    <w:rsid w:val="27CC5A46"/>
    <w:rsid w:val="27E256D7"/>
    <w:rsid w:val="27FF0DC4"/>
    <w:rsid w:val="28165C58"/>
    <w:rsid w:val="2834740C"/>
    <w:rsid w:val="288E3D80"/>
    <w:rsid w:val="28A27955"/>
    <w:rsid w:val="28A40771"/>
    <w:rsid w:val="294D3731"/>
    <w:rsid w:val="294E58DD"/>
    <w:rsid w:val="295126A7"/>
    <w:rsid w:val="29774E77"/>
    <w:rsid w:val="298A7DA5"/>
    <w:rsid w:val="298D73B8"/>
    <w:rsid w:val="29C03B97"/>
    <w:rsid w:val="29E12DF8"/>
    <w:rsid w:val="29F11912"/>
    <w:rsid w:val="2A182185"/>
    <w:rsid w:val="2A1A7979"/>
    <w:rsid w:val="2A42653B"/>
    <w:rsid w:val="2A57217E"/>
    <w:rsid w:val="2AB14A10"/>
    <w:rsid w:val="2ACB3F90"/>
    <w:rsid w:val="2AD33330"/>
    <w:rsid w:val="2ADD119A"/>
    <w:rsid w:val="2ADE5959"/>
    <w:rsid w:val="2AE65071"/>
    <w:rsid w:val="2AE86708"/>
    <w:rsid w:val="2B096738"/>
    <w:rsid w:val="2B4669D6"/>
    <w:rsid w:val="2B58338B"/>
    <w:rsid w:val="2B5E1648"/>
    <w:rsid w:val="2B732DD3"/>
    <w:rsid w:val="2B805BA9"/>
    <w:rsid w:val="2B811D52"/>
    <w:rsid w:val="2BBB7993"/>
    <w:rsid w:val="2BE7258F"/>
    <w:rsid w:val="2C00245B"/>
    <w:rsid w:val="2C0A17C8"/>
    <w:rsid w:val="2C161986"/>
    <w:rsid w:val="2C813804"/>
    <w:rsid w:val="2C8E59C0"/>
    <w:rsid w:val="2CE211DE"/>
    <w:rsid w:val="2CE850D0"/>
    <w:rsid w:val="2CE957B3"/>
    <w:rsid w:val="2CF860BF"/>
    <w:rsid w:val="2D0D1776"/>
    <w:rsid w:val="2D1759B5"/>
    <w:rsid w:val="2D275305"/>
    <w:rsid w:val="2D2D36CA"/>
    <w:rsid w:val="2D2F7082"/>
    <w:rsid w:val="2D3F3A34"/>
    <w:rsid w:val="2D5D7DE9"/>
    <w:rsid w:val="2DA8019B"/>
    <w:rsid w:val="2DC234D6"/>
    <w:rsid w:val="2DC72482"/>
    <w:rsid w:val="2DD54E55"/>
    <w:rsid w:val="2E076CFD"/>
    <w:rsid w:val="2E214B8D"/>
    <w:rsid w:val="2E2660E3"/>
    <w:rsid w:val="2E391DDF"/>
    <w:rsid w:val="2E4A7CE8"/>
    <w:rsid w:val="2E554CE2"/>
    <w:rsid w:val="2E6800CC"/>
    <w:rsid w:val="2E960C18"/>
    <w:rsid w:val="2EBD433B"/>
    <w:rsid w:val="2EC65278"/>
    <w:rsid w:val="2ECB074C"/>
    <w:rsid w:val="2EE858E9"/>
    <w:rsid w:val="2F2C155F"/>
    <w:rsid w:val="2F5B5D05"/>
    <w:rsid w:val="2F7C27D7"/>
    <w:rsid w:val="2F863070"/>
    <w:rsid w:val="2F8D5993"/>
    <w:rsid w:val="2F8F4027"/>
    <w:rsid w:val="2F9333BA"/>
    <w:rsid w:val="2F97027C"/>
    <w:rsid w:val="2FDA422A"/>
    <w:rsid w:val="2FE04785"/>
    <w:rsid w:val="2FF31FC5"/>
    <w:rsid w:val="301F237E"/>
    <w:rsid w:val="3025584C"/>
    <w:rsid w:val="30586A11"/>
    <w:rsid w:val="305A328C"/>
    <w:rsid w:val="30696528"/>
    <w:rsid w:val="308F6855"/>
    <w:rsid w:val="30B40786"/>
    <w:rsid w:val="30E77E44"/>
    <w:rsid w:val="311A00DC"/>
    <w:rsid w:val="315A0567"/>
    <w:rsid w:val="31770E1F"/>
    <w:rsid w:val="31A32590"/>
    <w:rsid w:val="31E86E1E"/>
    <w:rsid w:val="31F6358B"/>
    <w:rsid w:val="321F2544"/>
    <w:rsid w:val="32305F32"/>
    <w:rsid w:val="32480A5B"/>
    <w:rsid w:val="32514365"/>
    <w:rsid w:val="327F0285"/>
    <w:rsid w:val="32FD5897"/>
    <w:rsid w:val="331A1D5C"/>
    <w:rsid w:val="33486D37"/>
    <w:rsid w:val="336124CC"/>
    <w:rsid w:val="33983C91"/>
    <w:rsid w:val="33A27C04"/>
    <w:rsid w:val="33A63059"/>
    <w:rsid w:val="33CF473F"/>
    <w:rsid w:val="33EF7FB2"/>
    <w:rsid w:val="34207846"/>
    <w:rsid w:val="342D438D"/>
    <w:rsid w:val="344175CA"/>
    <w:rsid w:val="346B0409"/>
    <w:rsid w:val="34831B82"/>
    <w:rsid w:val="34843CF2"/>
    <w:rsid w:val="34952272"/>
    <w:rsid w:val="349C7914"/>
    <w:rsid w:val="34A8562D"/>
    <w:rsid w:val="34AC2E87"/>
    <w:rsid w:val="34D07778"/>
    <w:rsid w:val="34EB7600"/>
    <w:rsid w:val="34FF22A1"/>
    <w:rsid w:val="350706C1"/>
    <w:rsid w:val="35565E0D"/>
    <w:rsid w:val="35865037"/>
    <w:rsid w:val="3597289E"/>
    <w:rsid w:val="35B478DE"/>
    <w:rsid w:val="35C35B39"/>
    <w:rsid w:val="36027DB7"/>
    <w:rsid w:val="363B2E2A"/>
    <w:rsid w:val="364533F4"/>
    <w:rsid w:val="36546DC3"/>
    <w:rsid w:val="36664B89"/>
    <w:rsid w:val="367220B7"/>
    <w:rsid w:val="3697479E"/>
    <w:rsid w:val="369D7429"/>
    <w:rsid w:val="36B45A23"/>
    <w:rsid w:val="370E0CBF"/>
    <w:rsid w:val="37205599"/>
    <w:rsid w:val="37281AFC"/>
    <w:rsid w:val="37546510"/>
    <w:rsid w:val="37AD49B3"/>
    <w:rsid w:val="388D0E3B"/>
    <w:rsid w:val="38934A8A"/>
    <w:rsid w:val="38AA5930"/>
    <w:rsid w:val="38C20904"/>
    <w:rsid w:val="38C458C0"/>
    <w:rsid w:val="38F54312"/>
    <w:rsid w:val="392068C2"/>
    <w:rsid w:val="3944379D"/>
    <w:rsid w:val="3958538C"/>
    <w:rsid w:val="39C973DD"/>
    <w:rsid w:val="39DA3FF3"/>
    <w:rsid w:val="3A092B2A"/>
    <w:rsid w:val="3A1E4827"/>
    <w:rsid w:val="3A4734D8"/>
    <w:rsid w:val="3A511293"/>
    <w:rsid w:val="3A542A7E"/>
    <w:rsid w:val="3A5E16F3"/>
    <w:rsid w:val="3A95234D"/>
    <w:rsid w:val="3AAD359B"/>
    <w:rsid w:val="3AE8273F"/>
    <w:rsid w:val="3AF060BE"/>
    <w:rsid w:val="3B0D5A80"/>
    <w:rsid w:val="3B1D4ADF"/>
    <w:rsid w:val="3B245E6D"/>
    <w:rsid w:val="3B463C83"/>
    <w:rsid w:val="3B8625FC"/>
    <w:rsid w:val="3B993054"/>
    <w:rsid w:val="3BAB20EB"/>
    <w:rsid w:val="3BC74A4B"/>
    <w:rsid w:val="3BCD72BC"/>
    <w:rsid w:val="3BE476AD"/>
    <w:rsid w:val="3BEB151F"/>
    <w:rsid w:val="3BF619FB"/>
    <w:rsid w:val="3C173C75"/>
    <w:rsid w:val="3C5C0975"/>
    <w:rsid w:val="3C697A3C"/>
    <w:rsid w:val="3C762309"/>
    <w:rsid w:val="3C77717F"/>
    <w:rsid w:val="3C811119"/>
    <w:rsid w:val="3C9C46EF"/>
    <w:rsid w:val="3CCA7446"/>
    <w:rsid w:val="3CF336A6"/>
    <w:rsid w:val="3D0870C9"/>
    <w:rsid w:val="3D1B574E"/>
    <w:rsid w:val="3D2B1473"/>
    <w:rsid w:val="3D674065"/>
    <w:rsid w:val="3D7A622A"/>
    <w:rsid w:val="3E0F03F9"/>
    <w:rsid w:val="3E390C7A"/>
    <w:rsid w:val="3E4403A1"/>
    <w:rsid w:val="3E460C1E"/>
    <w:rsid w:val="3E9C3443"/>
    <w:rsid w:val="3EBC2E64"/>
    <w:rsid w:val="3EDE6333"/>
    <w:rsid w:val="3EFA3789"/>
    <w:rsid w:val="3F013DFA"/>
    <w:rsid w:val="3F143684"/>
    <w:rsid w:val="3F6157AF"/>
    <w:rsid w:val="3FCC62E3"/>
    <w:rsid w:val="3FD675BF"/>
    <w:rsid w:val="40062B95"/>
    <w:rsid w:val="401D43BA"/>
    <w:rsid w:val="40672358"/>
    <w:rsid w:val="40D37675"/>
    <w:rsid w:val="40D95004"/>
    <w:rsid w:val="40F462E2"/>
    <w:rsid w:val="40FE4A6B"/>
    <w:rsid w:val="410119DB"/>
    <w:rsid w:val="41115F4D"/>
    <w:rsid w:val="41183D2F"/>
    <w:rsid w:val="41257183"/>
    <w:rsid w:val="416338AD"/>
    <w:rsid w:val="41861CD5"/>
    <w:rsid w:val="418A5BF1"/>
    <w:rsid w:val="41915ADF"/>
    <w:rsid w:val="41AC1C01"/>
    <w:rsid w:val="41B13830"/>
    <w:rsid w:val="41CE6B33"/>
    <w:rsid w:val="41D574F9"/>
    <w:rsid w:val="41EA4EB9"/>
    <w:rsid w:val="4210293A"/>
    <w:rsid w:val="421263AC"/>
    <w:rsid w:val="42520D51"/>
    <w:rsid w:val="42927B60"/>
    <w:rsid w:val="42986B40"/>
    <w:rsid w:val="42B218B0"/>
    <w:rsid w:val="42DE6296"/>
    <w:rsid w:val="43302ED5"/>
    <w:rsid w:val="433E646D"/>
    <w:rsid w:val="43B231A5"/>
    <w:rsid w:val="43FC7EC6"/>
    <w:rsid w:val="44086A14"/>
    <w:rsid w:val="44CA6F93"/>
    <w:rsid w:val="44D52958"/>
    <w:rsid w:val="44D927D7"/>
    <w:rsid w:val="44E4299A"/>
    <w:rsid w:val="451278DC"/>
    <w:rsid w:val="453E7B2C"/>
    <w:rsid w:val="45903299"/>
    <w:rsid w:val="45E83A7C"/>
    <w:rsid w:val="45F16684"/>
    <w:rsid w:val="4609638B"/>
    <w:rsid w:val="460F7D00"/>
    <w:rsid w:val="46223D03"/>
    <w:rsid w:val="463827CD"/>
    <w:rsid w:val="46524DE7"/>
    <w:rsid w:val="4669318B"/>
    <w:rsid w:val="466B5DE1"/>
    <w:rsid w:val="46A208D4"/>
    <w:rsid w:val="46DF7ADF"/>
    <w:rsid w:val="46FB5800"/>
    <w:rsid w:val="47013917"/>
    <w:rsid w:val="47135768"/>
    <w:rsid w:val="474A7E99"/>
    <w:rsid w:val="479F0B82"/>
    <w:rsid w:val="47B3698E"/>
    <w:rsid w:val="47C65C99"/>
    <w:rsid w:val="47D227AD"/>
    <w:rsid w:val="47EA2288"/>
    <w:rsid w:val="481B6175"/>
    <w:rsid w:val="48605F61"/>
    <w:rsid w:val="48697E0F"/>
    <w:rsid w:val="48861F15"/>
    <w:rsid w:val="48BA5E9D"/>
    <w:rsid w:val="48BB7650"/>
    <w:rsid w:val="48C40F81"/>
    <w:rsid w:val="48D24ACE"/>
    <w:rsid w:val="48D845C4"/>
    <w:rsid w:val="4927766A"/>
    <w:rsid w:val="49507E2D"/>
    <w:rsid w:val="497F6965"/>
    <w:rsid w:val="4990105B"/>
    <w:rsid w:val="49C600F0"/>
    <w:rsid w:val="49CF1CFD"/>
    <w:rsid w:val="49F7299F"/>
    <w:rsid w:val="49FB565B"/>
    <w:rsid w:val="49FD60D3"/>
    <w:rsid w:val="4A174A42"/>
    <w:rsid w:val="4A3B53BC"/>
    <w:rsid w:val="4AC03FAF"/>
    <w:rsid w:val="4ACE3700"/>
    <w:rsid w:val="4ADB5F39"/>
    <w:rsid w:val="4AE87F64"/>
    <w:rsid w:val="4B533C05"/>
    <w:rsid w:val="4B62209A"/>
    <w:rsid w:val="4B865745"/>
    <w:rsid w:val="4B8E165E"/>
    <w:rsid w:val="4B93476B"/>
    <w:rsid w:val="4BA767E5"/>
    <w:rsid w:val="4BAC05E4"/>
    <w:rsid w:val="4BAE42C3"/>
    <w:rsid w:val="4BB9216E"/>
    <w:rsid w:val="4BC26FB2"/>
    <w:rsid w:val="4BC36FDC"/>
    <w:rsid w:val="4BD702A6"/>
    <w:rsid w:val="4BDE7851"/>
    <w:rsid w:val="4BE34F89"/>
    <w:rsid w:val="4C0D7CC6"/>
    <w:rsid w:val="4C18561A"/>
    <w:rsid w:val="4C193703"/>
    <w:rsid w:val="4C2A5F81"/>
    <w:rsid w:val="4C2C4B82"/>
    <w:rsid w:val="4C323EF5"/>
    <w:rsid w:val="4C453D04"/>
    <w:rsid w:val="4C650094"/>
    <w:rsid w:val="4C771B75"/>
    <w:rsid w:val="4C78066F"/>
    <w:rsid w:val="4C800A2A"/>
    <w:rsid w:val="4C9C1031"/>
    <w:rsid w:val="4D2708A3"/>
    <w:rsid w:val="4D5E5FCC"/>
    <w:rsid w:val="4D646C4B"/>
    <w:rsid w:val="4D841FB3"/>
    <w:rsid w:val="4D89064E"/>
    <w:rsid w:val="4D95523B"/>
    <w:rsid w:val="4DA44BEC"/>
    <w:rsid w:val="4DAE7CEA"/>
    <w:rsid w:val="4DF939A8"/>
    <w:rsid w:val="4DFE254E"/>
    <w:rsid w:val="4E04568A"/>
    <w:rsid w:val="4E200BEB"/>
    <w:rsid w:val="4E3018B1"/>
    <w:rsid w:val="4E3E7E80"/>
    <w:rsid w:val="4E57082F"/>
    <w:rsid w:val="4E905AAB"/>
    <w:rsid w:val="4E9F5BF5"/>
    <w:rsid w:val="4EC15B68"/>
    <w:rsid w:val="4EEA3A84"/>
    <w:rsid w:val="4EEF1E97"/>
    <w:rsid w:val="4F013C07"/>
    <w:rsid w:val="4F106B43"/>
    <w:rsid w:val="4F3044AF"/>
    <w:rsid w:val="4F3C3EF2"/>
    <w:rsid w:val="4F415742"/>
    <w:rsid w:val="4F443F6F"/>
    <w:rsid w:val="4F493C9D"/>
    <w:rsid w:val="4F4977F9"/>
    <w:rsid w:val="4F4E3105"/>
    <w:rsid w:val="4F4E4E0F"/>
    <w:rsid w:val="4F515D08"/>
    <w:rsid w:val="4F8F45D1"/>
    <w:rsid w:val="4F957002"/>
    <w:rsid w:val="4F9D18F3"/>
    <w:rsid w:val="4FAC7D88"/>
    <w:rsid w:val="4FBD27C6"/>
    <w:rsid w:val="4FC273B5"/>
    <w:rsid w:val="4FC516B2"/>
    <w:rsid w:val="4FD23C0B"/>
    <w:rsid w:val="4FD80146"/>
    <w:rsid w:val="4FFF0B07"/>
    <w:rsid w:val="501D3CEF"/>
    <w:rsid w:val="50233B65"/>
    <w:rsid w:val="50652AF7"/>
    <w:rsid w:val="50914019"/>
    <w:rsid w:val="509176A9"/>
    <w:rsid w:val="50D92DFE"/>
    <w:rsid w:val="50E6185A"/>
    <w:rsid w:val="5112495F"/>
    <w:rsid w:val="5117351C"/>
    <w:rsid w:val="51394A0A"/>
    <w:rsid w:val="516F0C63"/>
    <w:rsid w:val="51BD44CE"/>
    <w:rsid w:val="51C03EA2"/>
    <w:rsid w:val="51DA5080"/>
    <w:rsid w:val="51F505A3"/>
    <w:rsid w:val="51FF6FD5"/>
    <w:rsid w:val="521B171B"/>
    <w:rsid w:val="524469C5"/>
    <w:rsid w:val="52613741"/>
    <w:rsid w:val="526872BC"/>
    <w:rsid w:val="527B1310"/>
    <w:rsid w:val="52BE3D39"/>
    <w:rsid w:val="530524D1"/>
    <w:rsid w:val="531243A6"/>
    <w:rsid w:val="53266239"/>
    <w:rsid w:val="53367EE8"/>
    <w:rsid w:val="53477F06"/>
    <w:rsid w:val="5350427B"/>
    <w:rsid w:val="5350798F"/>
    <w:rsid w:val="535E64A6"/>
    <w:rsid w:val="53680CC2"/>
    <w:rsid w:val="536D130F"/>
    <w:rsid w:val="538D4F86"/>
    <w:rsid w:val="53B4720E"/>
    <w:rsid w:val="543110C2"/>
    <w:rsid w:val="545F361A"/>
    <w:rsid w:val="549362B3"/>
    <w:rsid w:val="54A8078A"/>
    <w:rsid w:val="5505540A"/>
    <w:rsid w:val="55393C6A"/>
    <w:rsid w:val="55960C0A"/>
    <w:rsid w:val="55974E6E"/>
    <w:rsid w:val="55C450BC"/>
    <w:rsid w:val="56063A6E"/>
    <w:rsid w:val="561B4F52"/>
    <w:rsid w:val="562431B2"/>
    <w:rsid w:val="56251AAB"/>
    <w:rsid w:val="563A0FCF"/>
    <w:rsid w:val="56536767"/>
    <w:rsid w:val="565F01AD"/>
    <w:rsid w:val="56C1517E"/>
    <w:rsid w:val="56CD0D0F"/>
    <w:rsid w:val="5734203A"/>
    <w:rsid w:val="577657A3"/>
    <w:rsid w:val="577D67DB"/>
    <w:rsid w:val="57B12E61"/>
    <w:rsid w:val="57B91294"/>
    <w:rsid w:val="580E4ADF"/>
    <w:rsid w:val="584E7C2E"/>
    <w:rsid w:val="584F2E7E"/>
    <w:rsid w:val="58521ED2"/>
    <w:rsid w:val="58565030"/>
    <w:rsid w:val="588D4BFA"/>
    <w:rsid w:val="58B714C6"/>
    <w:rsid w:val="58B83CE6"/>
    <w:rsid w:val="58DC502F"/>
    <w:rsid w:val="58E85938"/>
    <w:rsid w:val="58F6176E"/>
    <w:rsid w:val="591A5DA5"/>
    <w:rsid w:val="598F40AB"/>
    <w:rsid w:val="59D10B16"/>
    <w:rsid w:val="59FE26A4"/>
    <w:rsid w:val="5A416A3F"/>
    <w:rsid w:val="5A4B14AE"/>
    <w:rsid w:val="5A6E6957"/>
    <w:rsid w:val="5A7D54FB"/>
    <w:rsid w:val="5AAD684D"/>
    <w:rsid w:val="5ACB1A0A"/>
    <w:rsid w:val="5B174492"/>
    <w:rsid w:val="5B1F705C"/>
    <w:rsid w:val="5B4623B2"/>
    <w:rsid w:val="5B8A71CF"/>
    <w:rsid w:val="5B94004E"/>
    <w:rsid w:val="5B953367"/>
    <w:rsid w:val="5BA83AF9"/>
    <w:rsid w:val="5BEF179D"/>
    <w:rsid w:val="5C225659"/>
    <w:rsid w:val="5C2C0D6A"/>
    <w:rsid w:val="5C533A65"/>
    <w:rsid w:val="5C6739B4"/>
    <w:rsid w:val="5CB84239"/>
    <w:rsid w:val="5CDD75E0"/>
    <w:rsid w:val="5D0D6309"/>
    <w:rsid w:val="5D3667A6"/>
    <w:rsid w:val="5D5B2624"/>
    <w:rsid w:val="5D5F6439"/>
    <w:rsid w:val="5D737C48"/>
    <w:rsid w:val="5DA02FC1"/>
    <w:rsid w:val="5DA50081"/>
    <w:rsid w:val="5DE517E1"/>
    <w:rsid w:val="5DEB5F1F"/>
    <w:rsid w:val="5DF24B50"/>
    <w:rsid w:val="5DFD46E8"/>
    <w:rsid w:val="5E176A61"/>
    <w:rsid w:val="5E177DD7"/>
    <w:rsid w:val="5E395BA4"/>
    <w:rsid w:val="5E3C1763"/>
    <w:rsid w:val="5E426E16"/>
    <w:rsid w:val="5E6B71EA"/>
    <w:rsid w:val="5E6F5647"/>
    <w:rsid w:val="5E96216D"/>
    <w:rsid w:val="5EA9392A"/>
    <w:rsid w:val="5ED42155"/>
    <w:rsid w:val="5EE01DAA"/>
    <w:rsid w:val="5EF41319"/>
    <w:rsid w:val="5F4D50E3"/>
    <w:rsid w:val="5F7C42B5"/>
    <w:rsid w:val="5F7F620B"/>
    <w:rsid w:val="5F852E85"/>
    <w:rsid w:val="5F887C87"/>
    <w:rsid w:val="5F933E7B"/>
    <w:rsid w:val="5FB92B44"/>
    <w:rsid w:val="5FD02AB6"/>
    <w:rsid w:val="5FE505ED"/>
    <w:rsid w:val="5FED10F1"/>
    <w:rsid w:val="5FF4555F"/>
    <w:rsid w:val="60040066"/>
    <w:rsid w:val="603F1C21"/>
    <w:rsid w:val="60AA275E"/>
    <w:rsid w:val="60B55E8F"/>
    <w:rsid w:val="60BE6929"/>
    <w:rsid w:val="60D74C39"/>
    <w:rsid w:val="60E750C3"/>
    <w:rsid w:val="60EA53FD"/>
    <w:rsid w:val="610E232B"/>
    <w:rsid w:val="61306A6A"/>
    <w:rsid w:val="61447E20"/>
    <w:rsid w:val="61545CF8"/>
    <w:rsid w:val="61946FF9"/>
    <w:rsid w:val="61F37874"/>
    <w:rsid w:val="62010068"/>
    <w:rsid w:val="62080E3E"/>
    <w:rsid w:val="621576B3"/>
    <w:rsid w:val="621A3EBE"/>
    <w:rsid w:val="62281D58"/>
    <w:rsid w:val="624C5EBA"/>
    <w:rsid w:val="6258766E"/>
    <w:rsid w:val="626B23B8"/>
    <w:rsid w:val="627B3CB8"/>
    <w:rsid w:val="628C72AA"/>
    <w:rsid w:val="629C5739"/>
    <w:rsid w:val="629E498E"/>
    <w:rsid w:val="62B64D4D"/>
    <w:rsid w:val="62B72656"/>
    <w:rsid w:val="62E775FD"/>
    <w:rsid w:val="62FB6C04"/>
    <w:rsid w:val="63121C38"/>
    <w:rsid w:val="631F24C5"/>
    <w:rsid w:val="634F36C6"/>
    <w:rsid w:val="635B6ECD"/>
    <w:rsid w:val="639C2E30"/>
    <w:rsid w:val="63A86D8C"/>
    <w:rsid w:val="63AB6987"/>
    <w:rsid w:val="63DD6ED7"/>
    <w:rsid w:val="63F875A0"/>
    <w:rsid w:val="64370C93"/>
    <w:rsid w:val="643C63EF"/>
    <w:rsid w:val="646F3289"/>
    <w:rsid w:val="647865F8"/>
    <w:rsid w:val="64805613"/>
    <w:rsid w:val="648C2200"/>
    <w:rsid w:val="648F1CFA"/>
    <w:rsid w:val="649C2254"/>
    <w:rsid w:val="64E149E6"/>
    <w:rsid w:val="64EF4458"/>
    <w:rsid w:val="650A5824"/>
    <w:rsid w:val="654110CB"/>
    <w:rsid w:val="654F4FE5"/>
    <w:rsid w:val="65517282"/>
    <w:rsid w:val="65545142"/>
    <w:rsid w:val="655F2EB4"/>
    <w:rsid w:val="656E434E"/>
    <w:rsid w:val="657E49D1"/>
    <w:rsid w:val="65AA2625"/>
    <w:rsid w:val="65AA43C0"/>
    <w:rsid w:val="65BB635E"/>
    <w:rsid w:val="65E848BE"/>
    <w:rsid w:val="65F75DA9"/>
    <w:rsid w:val="66101939"/>
    <w:rsid w:val="662817F5"/>
    <w:rsid w:val="66313FE8"/>
    <w:rsid w:val="663B09FA"/>
    <w:rsid w:val="66424F92"/>
    <w:rsid w:val="665E7C08"/>
    <w:rsid w:val="667E2C6C"/>
    <w:rsid w:val="66BA79BE"/>
    <w:rsid w:val="66BB1AD6"/>
    <w:rsid w:val="66C937E0"/>
    <w:rsid w:val="66E005EB"/>
    <w:rsid w:val="67352B77"/>
    <w:rsid w:val="675447C1"/>
    <w:rsid w:val="677F7E04"/>
    <w:rsid w:val="6784366C"/>
    <w:rsid w:val="67A9489F"/>
    <w:rsid w:val="67F3434E"/>
    <w:rsid w:val="68106D2C"/>
    <w:rsid w:val="6823411E"/>
    <w:rsid w:val="68456C28"/>
    <w:rsid w:val="68734833"/>
    <w:rsid w:val="68906D92"/>
    <w:rsid w:val="68C06926"/>
    <w:rsid w:val="68CC58FB"/>
    <w:rsid w:val="68DF5C32"/>
    <w:rsid w:val="68E82E15"/>
    <w:rsid w:val="68ED6325"/>
    <w:rsid w:val="6905049C"/>
    <w:rsid w:val="691C26B9"/>
    <w:rsid w:val="692D249D"/>
    <w:rsid w:val="69355853"/>
    <w:rsid w:val="6968357A"/>
    <w:rsid w:val="698F668C"/>
    <w:rsid w:val="69A202CA"/>
    <w:rsid w:val="69A719B8"/>
    <w:rsid w:val="69A80A2D"/>
    <w:rsid w:val="69AA2125"/>
    <w:rsid w:val="69C064B2"/>
    <w:rsid w:val="69D22C56"/>
    <w:rsid w:val="69DA4632"/>
    <w:rsid w:val="69E77EE2"/>
    <w:rsid w:val="69E94057"/>
    <w:rsid w:val="69F067F2"/>
    <w:rsid w:val="69F737B3"/>
    <w:rsid w:val="6A016C65"/>
    <w:rsid w:val="6A064F0D"/>
    <w:rsid w:val="6A0817F1"/>
    <w:rsid w:val="6A164324"/>
    <w:rsid w:val="6A2124A3"/>
    <w:rsid w:val="6A3265B4"/>
    <w:rsid w:val="6A6E23B2"/>
    <w:rsid w:val="6A9341FD"/>
    <w:rsid w:val="6AB01802"/>
    <w:rsid w:val="6B0074AE"/>
    <w:rsid w:val="6B0579FD"/>
    <w:rsid w:val="6B185712"/>
    <w:rsid w:val="6B5E4636"/>
    <w:rsid w:val="6B77229D"/>
    <w:rsid w:val="6B7902BB"/>
    <w:rsid w:val="6B973548"/>
    <w:rsid w:val="6C273978"/>
    <w:rsid w:val="6C554283"/>
    <w:rsid w:val="6C8343B1"/>
    <w:rsid w:val="6C850FA3"/>
    <w:rsid w:val="6C9533B1"/>
    <w:rsid w:val="6CBD1303"/>
    <w:rsid w:val="6CD02EB0"/>
    <w:rsid w:val="6D280899"/>
    <w:rsid w:val="6D297EFB"/>
    <w:rsid w:val="6D977E57"/>
    <w:rsid w:val="6DAA1953"/>
    <w:rsid w:val="6DB9287A"/>
    <w:rsid w:val="6DBC04F9"/>
    <w:rsid w:val="6DEF7291"/>
    <w:rsid w:val="6E005A16"/>
    <w:rsid w:val="6E041063"/>
    <w:rsid w:val="6E0C43BB"/>
    <w:rsid w:val="6E4D1D81"/>
    <w:rsid w:val="6E7206C2"/>
    <w:rsid w:val="6E91041D"/>
    <w:rsid w:val="6EA34CD9"/>
    <w:rsid w:val="6EA36ACE"/>
    <w:rsid w:val="6EBC193D"/>
    <w:rsid w:val="6ED0398B"/>
    <w:rsid w:val="6F277B4C"/>
    <w:rsid w:val="6F4007E2"/>
    <w:rsid w:val="6F743FC6"/>
    <w:rsid w:val="6F76225A"/>
    <w:rsid w:val="6FCC795E"/>
    <w:rsid w:val="6FE444A3"/>
    <w:rsid w:val="6FFA0F0F"/>
    <w:rsid w:val="70121445"/>
    <w:rsid w:val="702656AA"/>
    <w:rsid w:val="706177C0"/>
    <w:rsid w:val="707E29F5"/>
    <w:rsid w:val="708802C0"/>
    <w:rsid w:val="708C2ED6"/>
    <w:rsid w:val="70A42689"/>
    <w:rsid w:val="70B623BC"/>
    <w:rsid w:val="70BF1386"/>
    <w:rsid w:val="70F83793"/>
    <w:rsid w:val="70F83CE8"/>
    <w:rsid w:val="718551FD"/>
    <w:rsid w:val="71ED718D"/>
    <w:rsid w:val="720979F9"/>
    <w:rsid w:val="725B4CBD"/>
    <w:rsid w:val="72716493"/>
    <w:rsid w:val="72843A05"/>
    <w:rsid w:val="728E1843"/>
    <w:rsid w:val="729825D5"/>
    <w:rsid w:val="72D924D1"/>
    <w:rsid w:val="72ED2D28"/>
    <w:rsid w:val="72FC1CE1"/>
    <w:rsid w:val="730646C5"/>
    <w:rsid w:val="732E66F5"/>
    <w:rsid w:val="732E6B82"/>
    <w:rsid w:val="7349576A"/>
    <w:rsid w:val="736723E4"/>
    <w:rsid w:val="738E7E4C"/>
    <w:rsid w:val="73B13477"/>
    <w:rsid w:val="73B201A2"/>
    <w:rsid w:val="73F070CD"/>
    <w:rsid w:val="741F7D8E"/>
    <w:rsid w:val="745C6515"/>
    <w:rsid w:val="74700B0A"/>
    <w:rsid w:val="74840FEB"/>
    <w:rsid w:val="74A11861"/>
    <w:rsid w:val="74A6665C"/>
    <w:rsid w:val="74CE42E8"/>
    <w:rsid w:val="74ED2A56"/>
    <w:rsid w:val="74FB7B98"/>
    <w:rsid w:val="75055002"/>
    <w:rsid w:val="75070F8F"/>
    <w:rsid w:val="75270724"/>
    <w:rsid w:val="75382B89"/>
    <w:rsid w:val="7548217D"/>
    <w:rsid w:val="7557416E"/>
    <w:rsid w:val="75B62C87"/>
    <w:rsid w:val="75D43A11"/>
    <w:rsid w:val="75E17122"/>
    <w:rsid w:val="75ED062E"/>
    <w:rsid w:val="75F97DAA"/>
    <w:rsid w:val="76066D59"/>
    <w:rsid w:val="762C281B"/>
    <w:rsid w:val="764A6D8B"/>
    <w:rsid w:val="765F08B0"/>
    <w:rsid w:val="76614BD4"/>
    <w:rsid w:val="76624793"/>
    <w:rsid w:val="76714414"/>
    <w:rsid w:val="76997B0A"/>
    <w:rsid w:val="774E334F"/>
    <w:rsid w:val="77846DA4"/>
    <w:rsid w:val="779C40BA"/>
    <w:rsid w:val="77A42FB2"/>
    <w:rsid w:val="77B7489D"/>
    <w:rsid w:val="77E11838"/>
    <w:rsid w:val="77E617D9"/>
    <w:rsid w:val="783973CD"/>
    <w:rsid w:val="784B5E3D"/>
    <w:rsid w:val="7862103E"/>
    <w:rsid w:val="786439D1"/>
    <w:rsid w:val="786B1CDE"/>
    <w:rsid w:val="787F0E75"/>
    <w:rsid w:val="78A50654"/>
    <w:rsid w:val="78BA38AF"/>
    <w:rsid w:val="78BE7B50"/>
    <w:rsid w:val="79247540"/>
    <w:rsid w:val="79256331"/>
    <w:rsid w:val="792640E8"/>
    <w:rsid w:val="792756A4"/>
    <w:rsid w:val="792F27CD"/>
    <w:rsid w:val="79323BAC"/>
    <w:rsid w:val="793A6280"/>
    <w:rsid w:val="793B4DF7"/>
    <w:rsid w:val="79444A09"/>
    <w:rsid w:val="79921C19"/>
    <w:rsid w:val="799231EC"/>
    <w:rsid w:val="79C124FE"/>
    <w:rsid w:val="79D52F39"/>
    <w:rsid w:val="79D5744A"/>
    <w:rsid w:val="79DA0653"/>
    <w:rsid w:val="79DE7BA6"/>
    <w:rsid w:val="7A17211E"/>
    <w:rsid w:val="7A715CD2"/>
    <w:rsid w:val="7A787DC6"/>
    <w:rsid w:val="7A813A3B"/>
    <w:rsid w:val="7A864686"/>
    <w:rsid w:val="7A8F0EED"/>
    <w:rsid w:val="7AA14074"/>
    <w:rsid w:val="7AFC23C4"/>
    <w:rsid w:val="7B9F686F"/>
    <w:rsid w:val="7B9F6C47"/>
    <w:rsid w:val="7BBB2021"/>
    <w:rsid w:val="7BCD74F3"/>
    <w:rsid w:val="7C0A46A3"/>
    <w:rsid w:val="7C27553D"/>
    <w:rsid w:val="7C6D4268"/>
    <w:rsid w:val="7C8617DD"/>
    <w:rsid w:val="7C943EFA"/>
    <w:rsid w:val="7CB63765"/>
    <w:rsid w:val="7CF624BE"/>
    <w:rsid w:val="7CFF6EC4"/>
    <w:rsid w:val="7D085C04"/>
    <w:rsid w:val="7D453519"/>
    <w:rsid w:val="7D6A07B6"/>
    <w:rsid w:val="7D76061F"/>
    <w:rsid w:val="7D8659A8"/>
    <w:rsid w:val="7DAC1D20"/>
    <w:rsid w:val="7DC177A1"/>
    <w:rsid w:val="7DD65D1C"/>
    <w:rsid w:val="7DE021D6"/>
    <w:rsid w:val="7E5E49FA"/>
    <w:rsid w:val="7E7A711F"/>
    <w:rsid w:val="7E955CBC"/>
    <w:rsid w:val="7ED405DD"/>
    <w:rsid w:val="7EF16293"/>
    <w:rsid w:val="7EF943D5"/>
    <w:rsid w:val="7F2D47CF"/>
    <w:rsid w:val="7F4326E3"/>
    <w:rsid w:val="7F5A53F2"/>
    <w:rsid w:val="7F6A2CF0"/>
    <w:rsid w:val="7F792126"/>
    <w:rsid w:val="7F8C56AF"/>
    <w:rsid w:val="7FAC155A"/>
    <w:rsid w:val="ADB328AE"/>
    <w:rsid w:val="BFAF3978"/>
    <w:rsid w:val="CAFEEC76"/>
    <w:rsid w:val="DEFECC0A"/>
    <w:rsid w:val="E7FF9E90"/>
    <w:rsid w:val="EBE72186"/>
    <w:rsid w:val="EE7F4859"/>
    <w:rsid w:val="F5FFA5C2"/>
    <w:rsid w:val="F96F0DE2"/>
    <w:rsid w:val="FA3CDE69"/>
    <w:rsid w:val="FBF78DC7"/>
    <w:rsid w:val="FDBDE40D"/>
    <w:rsid w:val="FDFFAB5D"/>
    <w:rsid w:val="FFB5288F"/>
    <w:rsid w:val="FFBE354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9" w:semiHidden="0" w:name="heading 3" w:locked="1"/>
    <w:lsdException w:qFormat="1" w:uiPriority="0" w:semiHidden="0" w:name="heading 4" w:locked="1"/>
    <w:lsdException w:qFormat="1" w:uiPriority="0"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qFormat="1" w:uiPriority="99" w:semiHidden="0"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640" w:firstLineChars="200"/>
      <w:jc w:val="both"/>
    </w:pPr>
    <w:rPr>
      <w:rFonts w:ascii="Times New Roman" w:hAnsi="Times New Roman" w:eastAsia="方正仿宋简体" w:cs="Times New Roman"/>
      <w:kern w:val="2"/>
      <w:sz w:val="32"/>
      <w:szCs w:val="21"/>
      <w:lang w:val="en-US" w:eastAsia="zh-CN" w:bidi="ar-SA"/>
    </w:rPr>
  </w:style>
  <w:style w:type="paragraph" w:styleId="4">
    <w:name w:val="heading 1"/>
    <w:next w:val="1"/>
    <w:qFormat/>
    <w:locked/>
    <w:uiPriority w:val="0"/>
    <w:pPr>
      <w:keepNext/>
      <w:keepLines/>
      <w:widowControl w:val="0"/>
      <w:shd w:val="clear" w:color="auto" w:fill="auto"/>
      <w:bidi w:val="0"/>
      <w:spacing w:before="0" w:after="400" w:line="560" w:lineRule="exact"/>
      <w:ind w:left="0" w:right="0" w:firstLine="0"/>
      <w:jc w:val="both"/>
      <w:outlineLvl w:val="0"/>
    </w:pPr>
    <w:rPr>
      <w:rFonts w:ascii="Times New Roman" w:hAnsi="Times New Roman" w:eastAsia="方正黑体简体" w:cs="宋体"/>
      <w:color w:val="000000"/>
      <w:kern w:val="0"/>
      <w:sz w:val="32"/>
      <w:szCs w:val="36"/>
      <w:u w:val="none"/>
      <w:shd w:val="clear" w:color="auto" w:fill="auto"/>
      <w:lang w:bidi="zh-TW"/>
    </w:rPr>
  </w:style>
  <w:style w:type="paragraph" w:styleId="5">
    <w:name w:val="heading 2"/>
    <w:basedOn w:val="1"/>
    <w:next w:val="1"/>
    <w:unhideWhenUsed/>
    <w:qFormat/>
    <w:locked/>
    <w:uiPriority w:val="0"/>
    <w:pPr>
      <w:keepNext/>
      <w:keepLines/>
      <w:widowControl w:val="0"/>
      <w:shd w:val="clear" w:color="auto" w:fill="auto"/>
      <w:bidi w:val="0"/>
      <w:spacing w:before="0" w:after="260" w:line="560" w:lineRule="exact"/>
      <w:ind w:left="0" w:right="0" w:firstLine="640" w:firstLineChars="200"/>
      <w:jc w:val="left"/>
      <w:outlineLvl w:val="1"/>
    </w:pPr>
    <w:rPr>
      <w:rFonts w:ascii="Times New Roman" w:hAnsi="Times New Roman" w:eastAsia="方正楷体简体" w:cs="Times New Roman"/>
      <w:bCs/>
      <w:color w:val="000000"/>
      <w:kern w:val="0"/>
      <w:sz w:val="32"/>
      <w:szCs w:val="28"/>
      <w:u w:val="none"/>
      <w:shd w:val="clear" w:color="auto" w:fill="auto"/>
      <w:lang w:bidi="en-US"/>
    </w:rPr>
  </w:style>
  <w:style w:type="paragraph" w:styleId="6">
    <w:name w:val="heading 3"/>
    <w:next w:val="7"/>
    <w:link w:val="47"/>
    <w:unhideWhenUsed/>
    <w:qFormat/>
    <w:locked/>
    <w:uiPriority w:val="9"/>
    <w:pPr>
      <w:keepNext w:val="0"/>
      <w:keepLines w:val="0"/>
      <w:widowControl w:val="0"/>
      <w:shd w:val="clear" w:color="auto" w:fill="auto"/>
      <w:bidi w:val="0"/>
      <w:spacing w:before="0" w:after="0" w:line="560" w:lineRule="exact"/>
      <w:ind w:left="0" w:right="0" w:firstLine="640" w:firstLineChars="200"/>
      <w:jc w:val="left"/>
      <w:outlineLvl w:val="2"/>
    </w:pPr>
    <w:rPr>
      <w:rFonts w:ascii="Times New Roman" w:hAnsi="Times New Roman" w:eastAsia="方正仿宋简体" w:cs="Times New Roman"/>
      <w:bCs/>
      <w:color w:val="000000"/>
      <w:kern w:val="0"/>
      <w:sz w:val="32"/>
      <w:szCs w:val="28"/>
      <w:u w:val="none"/>
      <w:shd w:val="clear" w:color="auto" w:fill="auto"/>
      <w:lang w:bidi="en-US"/>
    </w:rPr>
  </w:style>
  <w:style w:type="paragraph" w:styleId="8">
    <w:name w:val="heading 4"/>
    <w:next w:val="1"/>
    <w:unhideWhenUsed/>
    <w:qFormat/>
    <w:locked/>
    <w:uiPriority w:val="0"/>
    <w:pPr>
      <w:keepNext w:val="0"/>
      <w:keepLines w:val="0"/>
      <w:widowControl w:val="0"/>
      <w:shd w:val="clear" w:color="auto" w:fill="auto"/>
      <w:bidi w:val="0"/>
      <w:spacing w:before="0" w:after="0" w:line="469" w:lineRule="exact"/>
      <w:ind w:left="0" w:right="0" w:firstLine="600"/>
      <w:jc w:val="both"/>
      <w:outlineLvl w:val="3"/>
    </w:pPr>
    <w:rPr>
      <w:rFonts w:ascii="Times New Roman" w:hAnsi="Times New Roman" w:eastAsia="Times New Roman" w:cs="Times New Roman"/>
      <w:color w:val="000000"/>
      <w:spacing w:val="0"/>
      <w:w w:val="100"/>
      <w:kern w:val="0"/>
      <w:position w:val="0"/>
      <w:sz w:val="24"/>
      <w:szCs w:val="24"/>
      <w:u w:val="none"/>
      <w:shd w:val="clear" w:color="auto" w:fill="auto"/>
      <w:lang w:bidi="zh-TW"/>
    </w:rPr>
  </w:style>
  <w:style w:type="paragraph" w:styleId="9">
    <w:name w:val="heading 5"/>
    <w:next w:val="1"/>
    <w:link w:val="46"/>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4"/>
    </w:pPr>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 w:type="paragraph" w:styleId="10">
    <w:name w:val="heading 6"/>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5"/>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1">
    <w:name w:val="heading 7"/>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6"/>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2">
    <w:name w:val="heading 8"/>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7"/>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3">
    <w:name w:val="heading 9"/>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8"/>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character" w:default="1" w:styleId="25">
    <w:name w:val="Default Paragraph Font"/>
    <w:unhideWhenUsed/>
    <w:qFormat/>
    <w:uiPriority w:val="1"/>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First Indent 2"/>
    <w:basedOn w:val="3"/>
    <w:unhideWhenUsed/>
    <w:qFormat/>
    <w:uiPriority w:val="99"/>
    <w:pPr>
      <w:widowControl w:val="0"/>
      <w:spacing w:line="560" w:lineRule="exact"/>
      <w:ind w:left="420" w:leftChars="200" w:firstLine="640" w:firstLineChars="200"/>
      <w:jc w:val="both"/>
    </w:pPr>
    <w:rPr>
      <w:rFonts w:ascii="Calibri" w:hAnsi="Calibri" w:eastAsia="方正仿宋简体" w:cs="Times New Roman"/>
      <w:kern w:val="2"/>
      <w:sz w:val="32"/>
      <w:szCs w:val="24"/>
      <w:lang w:val="en-US" w:eastAsia="zh-CN" w:bidi="ar-SA"/>
    </w:rPr>
  </w:style>
  <w:style w:type="paragraph" w:styleId="3">
    <w:name w:val="Body Text Indent"/>
    <w:basedOn w:val="1"/>
    <w:link w:val="29"/>
    <w:qFormat/>
    <w:uiPriority w:val="99"/>
    <w:pPr>
      <w:ind w:firstLine="570"/>
    </w:pPr>
    <w:rPr>
      <w:kern w:val="0"/>
    </w:rPr>
  </w:style>
  <w:style w:type="paragraph" w:styleId="7">
    <w:name w:val="Body Text"/>
    <w:basedOn w:val="1"/>
    <w:unhideWhenUsed/>
    <w:qFormat/>
    <w:uiPriority w:val="99"/>
    <w:pPr>
      <w:keepNext w:val="0"/>
      <w:keepLines w:val="0"/>
      <w:widowControl w:val="0"/>
      <w:shd w:val="clear" w:color="auto" w:fill="auto"/>
      <w:bidi w:val="0"/>
      <w:spacing w:before="0" w:after="0" w:line="470" w:lineRule="exact"/>
      <w:ind w:left="0" w:right="0" w:firstLine="480"/>
      <w:jc w:val="both"/>
      <w:outlineLvl w:val="9"/>
    </w:pPr>
    <w:rPr>
      <w:rFonts w:ascii="宋体" w:hAnsi="宋体" w:eastAsia="仿宋" w:cs="Times New Roman"/>
      <w:kern w:val="0"/>
      <w:sz w:val="24"/>
      <w:szCs w:val="24"/>
      <w:lang w:bidi="ar-SA"/>
    </w:rPr>
  </w:style>
  <w:style w:type="paragraph" w:styleId="14">
    <w:name w:val="annotation text"/>
    <w:basedOn w:val="1"/>
    <w:unhideWhenUsed/>
    <w:qFormat/>
    <w:uiPriority w:val="99"/>
    <w:pPr>
      <w:jc w:val="left"/>
    </w:pPr>
  </w:style>
  <w:style w:type="paragraph" w:styleId="15">
    <w:name w:val="Balloon Text"/>
    <w:basedOn w:val="1"/>
    <w:link w:val="30"/>
    <w:semiHidden/>
    <w:qFormat/>
    <w:uiPriority w:val="99"/>
    <w:rPr>
      <w:kern w:val="0"/>
      <w:sz w:val="2"/>
      <w:szCs w:val="2"/>
    </w:rPr>
  </w:style>
  <w:style w:type="paragraph" w:styleId="16">
    <w:name w:val="footer"/>
    <w:basedOn w:val="1"/>
    <w:link w:val="31"/>
    <w:qFormat/>
    <w:uiPriority w:val="99"/>
    <w:pPr>
      <w:tabs>
        <w:tab w:val="center" w:pos="4153"/>
        <w:tab w:val="right" w:pos="8306"/>
      </w:tabs>
      <w:snapToGrid w:val="0"/>
      <w:jc w:val="left"/>
    </w:pPr>
    <w:rPr>
      <w:kern w:val="0"/>
      <w:sz w:val="18"/>
      <w:szCs w:val="18"/>
    </w:rPr>
  </w:style>
  <w:style w:type="paragraph" w:styleId="17">
    <w:name w:val="header"/>
    <w:basedOn w:val="1"/>
    <w:link w:val="32"/>
    <w:qFormat/>
    <w:uiPriority w:val="99"/>
    <w:pPr>
      <w:pBdr>
        <w:bottom w:val="single" w:color="auto" w:sz="6" w:space="1"/>
      </w:pBdr>
      <w:tabs>
        <w:tab w:val="center" w:pos="4153"/>
        <w:tab w:val="right" w:pos="8306"/>
      </w:tabs>
      <w:snapToGrid w:val="0"/>
      <w:jc w:val="center"/>
    </w:pPr>
    <w:rPr>
      <w:kern w:val="0"/>
      <w:sz w:val="18"/>
      <w:szCs w:val="18"/>
    </w:rPr>
  </w:style>
  <w:style w:type="paragraph" w:styleId="18">
    <w:name w:val="Subtitle"/>
    <w:qFormat/>
    <w:locked/>
    <w:uiPriority w:val="0"/>
    <w:pPr>
      <w:widowControl w:val="0"/>
      <w:spacing w:before="240" w:beforeLines="0" w:beforeAutospacing="0" w:after="60" w:afterLines="0" w:afterAutospacing="0" w:line="312" w:lineRule="auto"/>
      <w:jc w:val="center"/>
      <w:outlineLvl w:val="1"/>
    </w:pPr>
    <w:rPr>
      <w:rFonts w:ascii="Arial" w:hAnsi="Arial" w:eastAsia="仿宋" w:cs="Times New Roman"/>
      <w:b/>
      <w:kern w:val="28"/>
      <w:sz w:val="32"/>
      <w:szCs w:val="24"/>
      <w:lang w:bidi="ar-SA"/>
    </w:rPr>
  </w:style>
  <w:style w:type="paragraph" w:styleId="19">
    <w:name w:val="Body Text 2"/>
    <w:basedOn w:val="1"/>
    <w:qFormat/>
    <w:uiPriority w:val="0"/>
    <w:pPr>
      <w:spacing w:line="360" w:lineRule="auto"/>
      <w:jc w:val="left"/>
    </w:pPr>
    <w:rPr>
      <w:rFonts w:ascii="方正仿宋_GB2312" w:hAnsi="宋体"/>
      <w:sz w:val="24"/>
    </w:rPr>
  </w:style>
  <w:style w:type="paragraph" w:styleId="20">
    <w:name w:val="Normal (Web)"/>
    <w:basedOn w:val="1"/>
    <w:qFormat/>
    <w:uiPriority w:val="99"/>
    <w:pPr>
      <w:widowControl/>
      <w:spacing w:before="100" w:beforeLines="0" w:beforeAutospacing="1" w:after="100" w:afterLines="0" w:afterAutospacing="1"/>
      <w:jc w:val="left"/>
    </w:pPr>
    <w:rPr>
      <w:rFonts w:ascii="宋体" w:hAnsi="宋体" w:cs="宋体"/>
      <w:kern w:val="0"/>
      <w:sz w:val="24"/>
      <w:szCs w:val="24"/>
    </w:rPr>
  </w:style>
  <w:style w:type="paragraph" w:styleId="21">
    <w:name w:val="Title"/>
    <w:qFormat/>
    <w:locked/>
    <w:uiPriority w:val="0"/>
    <w:pPr>
      <w:keepNext/>
      <w:keepLines/>
      <w:widowControl w:val="0"/>
      <w:shd w:val="clear" w:color="auto" w:fill="auto"/>
      <w:bidi w:val="0"/>
      <w:spacing w:before="0" w:after="540" w:line="240" w:lineRule="auto"/>
      <w:ind w:left="0" w:right="0" w:firstLine="800"/>
      <w:jc w:val="left"/>
      <w:outlineLvl w:val="9"/>
    </w:pPr>
    <w:rPr>
      <w:rFonts w:ascii="Times New Roman" w:hAnsi="宋体" w:eastAsia="宋体" w:cs="宋体"/>
      <w:color w:val="000000"/>
      <w:spacing w:val="0"/>
      <w:w w:val="100"/>
      <w:kern w:val="0"/>
      <w:position w:val="0"/>
      <w:sz w:val="36"/>
      <w:szCs w:val="36"/>
      <w:u w:val="single"/>
      <w:shd w:val="clear" w:color="auto" w:fill="auto"/>
      <w:lang w:bidi="zh-TW"/>
    </w:rPr>
  </w:style>
  <w:style w:type="paragraph" w:styleId="22">
    <w:name w:val="Body Text First Indent"/>
    <w:basedOn w:val="7"/>
    <w:unhideWhenUsed/>
    <w:qFormat/>
    <w:uiPriority w:val="99"/>
    <w:pPr>
      <w:spacing w:line="360" w:lineRule="auto"/>
      <w:ind w:firstLine="600" w:firstLineChars="200"/>
    </w:pPr>
  </w:style>
  <w:style w:type="table" w:styleId="24">
    <w:name w:val="Table Grid"/>
    <w:basedOn w:val="23"/>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locked/>
    <w:uiPriority w:val="0"/>
    <w:rPr>
      <w:b/>
    </w:rPr>
  </w:style>
  <w:style w:type="character" w:styleId="27">
    <w:name w:val="page number"/>
    <w:qFormat/>
    <w:uiPriority w:val="99"/>
  </w:style>
  <w:style w:type="character" w:styleId="28">
    <w:name w:val="Hyperlink"/>
    <w:qFormat/>
    <w:uiPriority w:val="99"/>
    <w:rPr>
      <w:color w:val="0000FF"/>
      <w:u w:val="single"/>
    </w:rPr>
  </w:style>
  <w:style w:type="character" w:customStyle="1" w:styleId="29">
    <w:name w:val="正文文本缩进 字符"/>
    <w:link w:val="3"/>
    <w:qFormat/>
    <w:uiPriority w:val="99"/>
    <w:rPr>
      <w:sz w:val="21"/>
      <w:szCs w:val="21"/>
    </w:rPr>
  </w:style>
  <w:style w:type="character" w:customStyle="1" w:styleId="30">
    <w:name w:val="批注框文本 字符"/>
    <w:link w:val="15"/>
    <w:qFormat/>
    <w:uiPriority w:val="99"/>
    <w:rPr>
      <w:sz w:val="2"/>
      <w:szCs w:val="2"/>
    </w:rPr>
  </w:style>
  <w:style w:type="character" w:customStyle="1" w:styleId="31">
    <w:name w:val="页脚 字符"/>
    <w:link w:val="16"/>
    <w:qFormat/>
    <w:uiPriority w:val="99"/>
    <w:rPr>
      <w:sz w:val="18"/>
      <w:szCs w:val="18"/>
    </w:rPr>
  </w:style>
  <w:style w:type="character" w:customStyle="1" w:styleId="32">
    <w:name w:val="页眉 字符"/>
    <w:link w:val="17"/>
    <w:qFormat/>
    <w:uiPriority w:val="99"/>
    <w:rPr>
      <w:sz w:val="18"/>
      <w:szCs w:val="18"/>
    </w:rPr>
  </w:style>
  <w:style w:type="character" w:customStyle="1" w:styleId="33">
    <w:name w:val="CharAttribute22"/>
    <w:qFormat/>
    <w:uiPriority w:val="99"/>
    <w:rPr>
      <w:rFonts w:ascii="宋体" w:eastAsia="宋体"/>
      <w:b/>
      <w:sz w:val="24"/>
    </w:rPr>
  </w:style>
  <w:style w:type="character" w:customStyle="1" w:styleId="34">
    <w:name w:val="CharAttribute23"/>
    <w:qFormat/>
    <w:uiPriority w:val="99"/>
    <w:rPr>
      <w:rFonts w:ascii="宋体" w:eastAsia="宋体"/>
      <w:sz w:val="24"/>
    </w:rPr>
  </w:style>
  <w:style w:type="character" w:customStyle="1" w:styleId="35">
    <w:name w:val="style1"/>
    <w:qFormat/>
    <w:uiPriority w:val="99"/>
  </w:style>
  <w:style w:type="character" w:customStyle="1" w:styleId="36">
    <w:name w:val="无间隔 字符"/>
    <w:link w:val="37"/>
    <w:qFormat/>
    <w:uiPriority w:val="1"/>
    <w:rPr>
      <w:rFonts w:ascii="Calibri" w:hAnsi="Calibri"/>
      <w:sz w:val="22"/>
      <w:szCs w:val="22"/>
      <w:lang w:val="en-US" w:eastAsia="zh-CN" w:bidi="ar-SA"/>
    </w:rPr>
  </w:style>
  <w:style w:type="paragraph" w:styleId="37">
    <w:name w:val="No Spacing"/>
    <w:link w:val="36"/>
    <w:qFormat/>
    <w:uiPriority w:val="1"/>
    <w:rPr>
      <w:rFonts w:ascii="Calibri" w:hAnsi="Calibri" w:eastAsia="宋体" w:cs="Times New Roman"/>
      <w:sz w:val="22"/>
      <w:szCs w:val="22"/>
      <w:lang w:val="en-US" w:eastAsia="zh-CN" w:bidi="ar-SA"/>
    </w:rPr>
  </w:style>
  <w:style w:type="character" w:customStyle="1" w:styleId="38">
    <w:name w:val="font21"/>
    <w:qFormat/>
    <w:uiPriority w:val="0"/>
    <w:rPr>
      <w:rFonts w:hint="eastAsia" w:ascii="宋体" w:hAnsi="宋体" w:eastAsia="宋体" w:cs="宋体"/>
      <w:b/>
      <w:color w:val="000000"/>
      <w:sz w:val="21"/>
      <w:szCs w:val="21"/>
      <w:u w:val="none"/>
    </w:rPr>
  </w:style>
  <w:style w:type="paragraph" w:customStyle="1" w:styleId="39">
    <w:name w:val="First Paragraph"/>
    <w:basedOn w:val="7"/>
    <w:next w:val="7"/>
    <w:qFormat/>
    <w:uiPriority w:val="0"/>
  </w:style>
  <w:style w:type="paragraph" w:customStyle="1" w:styleId="40">
    <w:name w:val="ParaAttribute9"/>
    <w:qFormat/>
    <w:uiPriority w:val="99"/>
    <w:pPr>
      <w:widowControl w:val="0"/>
      <w:jc w:val="both"/>
    </w:pPr>
    <w:rPr>
      <w:rFonts w:ascii="Times New Roman" w:hAnsi="Times New Roman" w:eastAsia="Verdana" w:cs="Times New Roman"/>
      <w:lang w:val="en-US" w:eastAsia="zh-CN" w:bidi="ar-SA"/>
    </w:rPr>
  </w:style>
  <w:style w:type="paragraph" w:styleId="41">
    <w:name w:val="List Paragraph"/>
    <w:basedOn w:val="1"/>
    <w:qFormat/>
    <w:uiPriority w:val="99"/>
    <w:pPr>
      <w:ind w:firstLine="420" w:firstLineChars="200"/>
    </w:pPr>
  </w:style>
  <w:style w:type="paragraph" w:customStyle="1" w:styleId="42">
    <w:name w:val="默认段落字体 Para Char Char Char Char Char Char Char Char Char1 Char Char Char Char"/>
    <w:basedOn w:val="1"/>
    <w:qFormat/>
    <w:uiPriority w:val="0"/>
    <w:rPr>
      <w:rFonts w:ascii="Tahoma" w:hAnsi="Tahoma"/>
      <w:sz w:val="24"/>
      <w:szCs w:val="20"/>
    </w:rPr>
  </w:style>
  <w:style w:type="paragraph" w:customStyle="1" w:styleId="43">
    <w:name w:val="样式1"/>
    <w:basedOn w:val="1"/>
    <w:qFormat/>
    <w:uiPriority w:val="0"/>
    <w:pPr>
      <w:spacing w:line="240" w:lineRule="atLeast"/>
      <w:ind w:firstLine="420" w:firstLineChars="200"/>
    </w:pPr>
    <w:rPr>
      <w:rFonts w:hint="eastAsia" w:ascii="宋体" w:hAnsi="宋体"/>
      <w:color w:val="auto"/>
      <w:sz w:val="24"/>
      <w:szCs w:val="24"/>
    </w:rPr>
  </w:style>
  <w:style w:type="paragraph" w:customStyle="1" w:styleId="44">
    <w:name w:val="列出段落1"/>
    <w:basedOn w:val="1"/>
    <w:qFormat/>
    <w:uiPriority w:val="34"/>
    <w:pPr>
      <w:ind w:firstLine="420" w:firstLineChars="200"/>
    </w:pPr>
  </w:style>
  <w:style w:type="table" w:customStyle="1" w:styleId="45">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 w:type="character" w:customStyle="1" w:styleId="46">
    <w:name w:val="标题 5 Char"/>
    <w:link w:val="9"/>
    <w:qFormat/>
    <w:uiPriority w:val="0"/>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 w:type="character" w:customStyle="1" w:styleId="47">
    <w:name w:val="标题 3 Char"/>
    <w:link w:val="6"/>
    <w:qFormat/>
    <w:uiPriority w:val="9"/>
    <w:rPr>
      <w:rFonts w:ascii="Times New Roman" w:hAnsi="Times New Roman" w:eastAsia="方正仿宋简体" w:cs="Times New Roman"/>
      <w:bCs/>
      <w:color w:val="000000"/>
      <w:kern w:val="0"/>
      <w:sz w:val="32"/>
      <w:szCs w:val="28"/>
      <w:u w:val="none"/>
      <w:shd w:val="clear" w:color="auto" w:fill="auto"/>
      <w:lang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MS</Company>
  <Pages>22</Pages>
  <Words>3342</Words>
  <Characters>3533</Characters>
  <Lines>71</Lines>
  <Paragraphs>56</Paragraphs>
  <TotalTime>5</TotalTime>
  <ScaleCrop>false</ScaleCrop>
  <LinksUpToDate>false</LinksUpToDate>
  <CharactersWithSpaces>3563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2023-02-09T14:39:00Z</dcterms:created>
  <dc:creator>user</dc:creator>
  <cp:lastModifiedBy>David huo</cp:lastModifiedBy>
  <cp:lastPrinted>2018-11-05T14:23:00Z</cp:lastPrinted>
  <dcterms:modified xsi:type="dcterms:W3CDTF">2026-08-06T04:28:00Z</dcterms:modified>
  <dc:title>大庆油田有限责任公司计算机软件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1800.00000000000</vt:lpwstr>
  </property>
  <property fmtid="{D5CDD505-2E9C-101B-9397-08002B2CF9AE}" pid="3" name="KSOProductBuildVer">
    <vt:lpwstr>2052-12.1.0.28043</vt:lpwstr>
  </property>
  <property fmtid="{D5CDD505-2E9C-101B-9397-08002B2CF9AE}" pid="4" name="_CopySource">
    <vt:lpwstr>http://www.jgbs.dqyt.petrochina/scyxyxxb/bmgz/DocLib11/公司计算机软件采购及开发、信息技术服务项目审批表(2018版).doc</vt:lpwstr>
  </property>
  <property fmtid="{D5CDD505-2E9C-101B-9397-08002B2CF9AE}" pid="5" name="TemplateUrl">
    <vt:lpwstr/>
  </property>
  <property fmtid="{D5CDD505-2E9C-101B-9397-08002B2CF9AE}" pid="6" name="xd_ProgID">
    <vt:lpwstr/>
  </property>
  <property fmtid="{D5CDD505-2E9C-101B-9397-08002B2CF9AE}" pid="7" name="ICV">
    <vt:lpwstr>5844A5D4CBCB4A6CADACBDAA1B4A94FB_13</vt:lpwstr>
  </property>
  <property fmtid="{D5CDD505-2E9C-101B-9397-08002B2CF9AE}" pid="8" name="KSOTemplateDocerSaveRecord">
    <vt:lpwstr>eyJoZGlkIjoiM2Q0N2YyNjdiYmY3YTFjYzMxNGE1NTlhY2VlMGI0ZmUiLCJ1c2VySWQiOiIyMDE3NTY3MjEifQ==</vt:lpwstr>
  </property>
</Properties>
</file>