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36"/>
          <w:szCs w:val="36"/>
        </w:rPr>
        <w:t xml:space="preserve">Project Brief: Transfer Plans of Study Tool</w:t>
      </w:r>
    </w:p>
    <w:p>
      <w:pPr>
        <w:spacing w:after="240" w:before="0"/>
      </w:pPr>
      <w:r>
        <w:rPr>
          <w:rFonts w:ascii="Arial" w:cs="Arial" w:eastAsia="Arial" w:hAnsi="Arial"/>
          <w:color w:val="555555"/>
          <w:sz w:val="22"/>
          <w:szCs w:val="22"/>
        </w:rPr>
        <w:t xml:space="preserve">Illinois State University · Center for Integrated Professional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Author</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David [last name]</w:t>
            </w:r>
          </w:p>
        </w:tc>
        <w:tc>
          <w:tcPr>
            <w:tcW w:type="pct" w:w="25%"/>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Status</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Draft v2</w:t>
            </w:r>
          </w:p>
        </w:tc>
      </w:tr>
      <w:tr>
        <w:tc>
          <w:tcPr>
            <w:tcW w:type="pct" w:w="25%"/>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Date</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May 2026</w:t>
            </w:r>
          </w:p>
        </w:tc>
        <w:tc>
          <w:tcPr>
            <w:tcW w:type="pct" w:w="25%"/>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Audience</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Claude Code; collaborators on the worksheet project</w:t>
            </w:r>
          </w:p>
        </w:tc>
      </w:tr>
    </w:tbl>
    <w:p>
      <w:pPr>
        <w:pStyle w:val="Heading1"/>
      </w:pPr>
      <w:r>
        <w:rPr>
          <w:rFonts w:ascii="Arial" w:cs="Arial" w:eastAsia="Arial" w:hAnsi="Arial"/>
          <w:b/>
          <w:bCs/>
          <w:sz w:val="32"/>
          <w:szCs w:val="32"/>
        </w:rPr>
        <w:t xml:space="preserve">Executive Summary</w:t>
      </w:r>
    </w:p>
    <w:p>
      <w:pPr>
        <w:spacing w:after="120" w:before="60"/>
      </w:pPr>
      <w:r>
        <w:rPr>
          <w:rFonts w:ascii="Arial" w:cs="Arial" w:eastAsia="Arial" w:hAnsi="Arial"/>
          <w:sz w:val="22"/>
          <w:szCs w:val="22"/>
        </w:rPr>
        <w:t xml:space="preserve">This project will produce interactive worksheets that let advisors and transfer students from Illinois community colleges build plans of study for Illinois State University degree programs. The worksheets support three general education tracks (ISU Gen Ed, IAI Transferable Core, and a completed associate's degree), track major requirements alongside, surface graduation requirements (AMALI, IDEAS, credit-hour minimums), and are produced in two formats from a shared data source: a web-based interactive version and a fillable PDF version. A stretch goal extends the system to produce community-college-specific worksheets for each of Illinois' 48 community colleges, pre-populated with the exact courses each CC offers that articulate to ISU requirements.</w:t>
      </w:r>
    </w:p>
    <w:p>
      <w:pPr>
        <w:spacing w:after="120" w:before="60"/>
      </w:pPr>
      <w:r>
        <w:rPr>
          <w:rFonts w:ascii="Arial" w:cs="Arial" w:eastAsia="Arial" w:hAnsi="Arial"/>
          <w:sz w:val="22"/>
          <w:szCs w:val="22"/>
        </w:rPr>
        <w:t xml:space="preserve">A working web prototype exists for a single program (Accounting — Financial Accounting Sequence). The next phase scales this to all undergraduate programs, which requires (1) a normalized data schema for degree requirements, (2) two renderers that consume that schema (HTML and PDF), and (3) a biannual data ingestion pipeline that scrapes the ISU catalog. The work order matters: schema first, renderers second, scraper third, CC articulation expansion as Phase 4 once the foundation is proven.</w:t>
      </w:r>
    </w:p>
    <w:p>
      <w:pPr>
        <w:pStyle w:val="Heading1"/>
      </w:pPr>
      <w:r>
        <w:rPr>
          <w:rFonts w:ascii="Arial" w:cs="Arial" w:eastAsia="Arial" w:hAnsi="Arial"/>
          <w:b/>
          <w:bCs/>
          <w:sz w:val="32"/>
          <w:szCs w:val="32"/>
        </w:rPr>
        <w:t xml:space="preserve">Background and Context</w:t>
      </w:r>
    </w:p>
    <w:p>
      <w:pPr>
        <w:spacing w:after="120" w:before="60"/>
      </w:pPr>
      <w:r>
        <w:rPr>
          <w:rFonts w:ascii="Arial" w:cs="Arial" w:eastAsia="Arial" w:hAnsi="Arial"/>
          <w:sz w:val="22"/>
          <w:szCs w:val="22"/>
        </w:rPr>
        <w:t xml:space="preserve">Illinois State's undergraduate catalog is the canonical source of truth for degree requirements. As of this writing, the catalog is no longer published as a single document — it is a series of dynamically linked web pages, hand-maintained by the Office of the Registrar in the institution's CMS. CourseDog, a secondary system, pulls course data from Campus Solutions (PeopleSoft) but is not the authoritative source for degree-level requirements.</w:t>
      </w:r>
    </w:p>
    <w:p>
      <w:pPr>
        <w:spacing w:after="120" w:before="60"/>
      </w:pPr>
      <w:r>
        <w:rPr>
          <w:rFonts w:ascii="Arial" w:cs="Arial" w:eastAsia="Arial" w:hAnsi="Arial"/>
          <w:sz w:val="22"/>
          <w:szCs w:val="22"/>
        </w:rPr>
        <w:t xml:space="preserve">Transfer students from Illinois community colleges have three paths to satisfying ISU's general education requirement: (a) completing ISU's Gen Ed program directly, (b) completing the Illinois Articulation Initiative (IAI) Transferable General Education Core Curriculum, or (c) earning a baccalaureate-oriented associate's degree (A.A. or A.S.) from a regionally accredited institution — with the caveat that A.S. degrees from Illinois institutions must include the IAI GECC. Today, advisors handle these distinctions manually in PDF or paper worksheets. This tool replaces that workflow.</w:t>
      </w:r>
    </w:p>
    <w:p>
      <w:pPr>
        <w:spacing w:after="120" w:before="60"/>
      </w:pPr>
      <w:r>
        <w:rPr>
          <w:rFonts w:ascii="Arial" w:cs="Arial" w:eastAsia="Arial" w:hAnsi="Arial"/>
          <w:sz w:val="22"/>
          <w:szCs w:val="22"/>
        </w:rPr>
        <w:t xml:space="preserve">The registrar's office maintains transfer credit equivalency tables that map specific community-college courses to their ISU equivalents. This data is what makes the Phase 4 stretch goal — per-CC custom worksheets — newly tractable.</w:t>
      </w:r>
    </w:p>
    <w:p>
      <w:pPr>
        <w:pStyle w:val="Heading1"/>
      </w:pPr>
      <w:r>
        <w:rPr>
          <w:rFonts w:ascii="Arial" w:cs="Arial" w:eastAsia="Arial" w:hAnsi="Arial"/>
          <w:b/>
          <w:bCs/>
          <w:sz w:val="32"/>
          <w:szCs w:val="32"/>
        </w:rPr>
        <w:t xml:space="preserve">Goals and Non-Goals</w:t>
      </w:r>
    </w:p>
    <w:p>
      <w:pPr>
        <w:pStyle w:val="Heading2"/>
      </w:pPr>
      <w:r>
        <w:rPr>
          <w:rFonts w:ascii="Arial" w:cs="Arial" w:eastAsia="Arial" w:hAnsi="Arial"/>
          <w:b/>
          <w:bCs/>
          <w:sz w:val="26"/>
          <w:szCs w:val="26"/>
        </w:rPr>
        <w:t xml:space="preserve">Goals</w:t>
      </w:r>
    </w:p>
    <w:p>
      <w:pPr>
        <w:pStyle w:val="ListParagraph"/>
        <w:numPr>
          <w:ilvl w:val="0"/>
          <w:numId w:val="2"/>
        </w:numPr>
        <w:spacing w:after="40" w:before="40"/>
      </w:pPr>
      <w:r>
        <w:rPr>
          <w:rFonts w:ascii="Arial" w:cs="Arial" w:eastAsia="Arial" w:hAnsi="Arial"/>
          <w:sz w:val="22"/>
          <w:szCs w:val="22"/>
        </w:rPr>
        <w:t xml:space="preserve">Produce working worksheets for any ISU undergraduate program from a structured data file, in both interactive HTML and fillable PDF formats.</w:t>
      </w:r>
    </w:p>
    <w:p>
      <w:pPr>
        <w:pStyle w:val="ListParagraph"/>
        <w:numPr>
          <w:ilvl w:val="0"/>
          <w:numId w:val="2"/>
        </w:numPr>
        <w:spacing w:after="40" w:before="40"/>
      </w:pPr>
      <w:r>
        <w:rPr>
          <w:rFonts w:ascii="Arial" w:cs="Arial" w:eastAsia="Arial" w:hAnsi="Arial"/>
          <w:sz w:val="22"/>
          <w:szCs w:val="22"/>
        </w:rPr>
        <w:t xml:space="preserve">Support the three gen-ed tracks (ISU, IAI, Associate's degree) with a single toggle (HTML) or as separate per-track files (PDF).</w:t>
      </w:r>
    </w:p>
    <w:p>
      <w:pPr>
        <w:pStyle w:val="ListParagraph"/>
        <w:numPr>
          <w:ilvl w:val="0"/>
          <w:numId w:val="2"/>
        </w:numPr>
        <w:spacing w:after="40" w:before="40"/>
      </w:pPr>
      <w:r>
        <w:rPr>
          <w:rFonts w:ascii="Arial" w:cs="Arial" w:eastAsia="Arial" w:hAnsi="Arial"/>
          <w:sz w:val="22"/>
          <w:szCs w:val="22"/>
        </w:rPr>
        <w:t xml:space="preserve">Track major, gen-ed, and graduation requirements in one place, with live progress totals (HTML) or a clear visual progress layout (PDF).</w:t>
      </w:r>
    </w:p>
    <w:p>
      <w:pPr>
        <w:pStyle w:val="ListParagraph"/>
        <w:numPr>
          <w:ilvl w:val="0"/>
          <w:numId w:val="2"/>
        </w:numPr>
        <w:spacing w:after="40" w:before="40"/>
      </w:pPr>
      <w:r>
        <w:rPr>
          <w:rFonts w:ascii="Arial" w:cs="Arial" w:eastAsia="Arial" w:hAnsi="Arial"/>
          <w:sz w:val="22"/>
          <w:szCs w:val="22"/>
        </w:rPr>
        <w:t xml:space="preserve">Print cleanly to a single sheet (or two) of letter-size paper for advising appointments.</w:t>
      </w:r>
    </w:p>
    <w:p>
      <w:pPr>
        <w:pStyle w:val="ListParagraph"/>
        <w:numPr>
          <w:ilvl w:val="0"/>
          <w:numId w:val="2"/>
        </w:numPr>
        <w:spacing w:after="40" w:before="40"/>
      </w:pPr>
      <w:r>
        <w:rPr>
          <w:rFonts w:ascii="Arial" w:cs="Arial" w:eastAsia="Arial" w:hAnsi="Arial"/>
          <w:sz w:val="22"/>
          <w:szCs w:val="22"/>
        </w:rPr>
        <w:t xml:space="preserve">Refresh requirement data biannually with minimal manual effort.</w:t>
      </w:r>
    </w:p>
    <w:p>
      <w:pPr>
        <w:pStyle w:val="ListParagraph"/>
        <w:numPr>
          <w:ilvl w:val="0"/>
          <w:numId w:val="2"/>
        </w:numPr>
        <w:spacing w:after="40" w:before="40"/>
      </w:pPr>
      <w:r>
        <w:rPr>
          <w:rFonts w:ascii="Arial" w:cs="Arial" w:eastAsia="Arial" w:hAnsi="Arial"/>
          <w:sz w:val="22"/>
          <w:szCs w:val="22"/>
        </w:rPr>
        <w:t xml:space="preserve">Maintain a clear audit trail of catalog changes between cycles.</w:t>
      </w:r>
    </w:p>
    <w:p>
      <w:pPr>
        <w:pStyle w:val="ListParagraph"/>
        <w:numPr>
          <w:ilvl w:val="0"/>
          <w:numId w:val="2"/>
        </w:numPr>
        <w:spacing w:after="40" w:before="40"/>
      </w:pPr>
      <w:r>
        <w:rPr>
          <w:rFonts w:ascii="Arial" w:cs="Arial" w:eastAsia="Arial" w:hAnsi="Arial"/>
          <w:sz w:val="22"/>
          <w:szCs w:val="22"/>
        </w:rPr>
        <w:t xml:space="preserve">Stretch: produce community-college-specific worksheets for each of Illinois' 48 community colleges, pre-populated with the exact CC courses that articulate to each ISU requirement.</w:t>
      </w:r>
    </w:p>
    <w:p>
      <w:pPr>
        <w:pStyle w:val="Heading2"/>
      </w:pPr>
      <w:r>
        <w:rPr>
          <w:rFonts w:ascii="Arial" w:cs="Arial" w:eastAsia="Arial" w:hAnsi="Arial"/>
          <w:b/>
          <w:bCs/>
          <w:sz w:val="26"/>
          <w:szCs w:val="26"/>
        </w:rPr>
        <w:t xml:space="preserve">Non-Goals (for this phase)</w:t>
      </w:r>
    </w:p>
    <w:p>
      <w:pPr>
        <w:pStyle w:val="ListParagraph"/>
        <w:numPr>
          <w:ilvl w:val="0"/>
          <w:numId w:val="2"/>
        </w:numPr>
        <w:spacing w:after="40" w:before="40"/>
      </w:pPr>
      <w:r>
        <w:rPr>
          <w:rFonts w:ascii="Arial" w:cs="Arial" w:eastAsia="Arial" w:hAnsi="Arial"/>
          <w:sz w:val="22"/>
          <w:szCs w:val="22"/>
        </w:rPr>
        <w:t xml:space="preserve">Authentication, student accounts, or persistent server-side storage. The first version produces static artifacts (HTML files and PDFs).</w:t>
      </w:r>
    </w:p>
    <w:p>
      <w:pPr>
        <w:pStyle w:val="ListParagraph"/>
        <w:numPr>
          <w:ilvl w:val="0"/>
          <w:numId w:val="2"/>
        </w:numPr>
        <w:spacing w:after="40" w:before="40"/>
      </w:pPr>
      <w:r>
        <w:rPr>
          <w:rFonts w:ascii="Arial" w:cs="Arial" w:eastAsia="Arial" w:hAnsi="Arial"/>
          <w:sz w:val="22"/>
          <w:szCs w:val="22"/>
        </w:rPr>
        <w:t xml:space="preserve">Integration with Campus Solutions, Degree Audit, or any system of record. The tool is an advising aid, not a replacement for the official audit.</w:t>
      </w:r>
    </w:p>
    <w:p>
      <w:pPr>
        <w:pStyle w:val="ListParagraph"/>
        <w:numPr>
          <w:ilvl w:val="0"/>
          <w:numId w:val="2"/>
        </w:numPr>
        <w:spacing w:after="40" w:before="40"/>
      </w:pPr>
      <w:r>
        <w:rPr>
          <w:rFonts w:ascii="Arial" w:cs="Arial" w:eastAsia="Arial" w:hAnsi="Arial"/>
          <w:sz w:val="22"/>
          <w:szCs w:val="22"/>
        </w:rPr>
        <w:t xml:space="preserve">Graduate programs, certificates, and minors. These can come later once the undergraduate model is proven.</w:t>
      </w:r>
    </w:p>
    <w:p>
      <w:pPr>
        <w:pStyle w:val="ListParagraph"/>
        <w:numPr>
          <w:ilvl w:val="0"/>
          <w:numId w:val="2"/>
        </w:numPr>
        <w:spacing w:after="40" w:before="40"/>
      </w:pPr>
      <w:r>
        <w:rPr>
          <w:rFonts w:ascii="Arial" w:cs="Arial" w:eastAsia="Arial" w:hAnsi="Arial"/>
          <w:sz w:val="22"/>
          <w:szCs w:val="22"/>
        </w:rPr>
        <w:t xml:space="preserve">Real-time course availability or scheduling. This tool tracks requirements, not section-level enrollment.</w:t>
      </w:r>
    </w:p>
    <w:p>
      <w:pPr>
        <w:pStyle w:val="Heading1"/>
      </w:pPr>
      <w:r>
        <w:rPr>
          <w:rFonts w:ascii="Arial" w:cs="Arial" w:eastAsia="Arial" w:hAnsi="Arial"/>
          <w:b/>
          <w:bCs/>
          <w:sz w:val="32"/>
          <w:szCs w:val="32"/>
        </w:rPr>
        <w:t xml:space="preserve">Distribution Strategy</w:t>
      </w:r>
    </w:p>
    <w:p>
      <w:pPr>
        <w:spacing w:after="120" w:before="60"/>
      </w:pPr>
      <w:r>
        <w:rPr>
          <w:rFonts w:ascii="Arial" w:cs="Arial" w:eastAsia="Arial" w:hAnsi="Arial"/>
          <w:sz w:val="22"/>
          <w:szCs w:val="22"/>
        </w:rPr>
        <w:t xml:space="preserve">This project produces two output formats from the same underlying data, addressing different distribution contexts and stakeholder concerns: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Format</w:t>
            </w:r>
          </w:p>
        </w:tc>
        <w:tc>
          <w:tcPr>
            <w:tcW w:type="pct" w:w="30%"/>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Audience</w:t>
            </w:r>
          </w:p>
        </w:tc>
        <w:tc>
          <w:tcPr>
            <w:tcW w:type="pct" w:w="25%"/>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Distribution</w:t>
            </w:r>
          </w:p>
        </w:tc>
        <w:tc>
          <w:tcPr>
            <w:tcW w:type="pct" w:w="25%"/>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Strengths</w:t>
            </w:r>
          </w:p>
        </w:tc>
      </w:tr>
      <w:tr>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Interactive HTML</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Advisors; transfer-orientation use; students with technical comfort</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Internal advising portal or CIPD staff resources page</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Live progress, track toggle, conditional fields, cross-reference propagation</w:t>
            </w:r>
          </w:p>
        </w:tc>
      </w:tr>
      <w:tr>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Fillable PDF</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Students; appointments; offline use; archival</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Email attachment; SharePoint; Canvas; print</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Universal compatibility, no hosting required, no plugin or app dependency</w:t>
            </w:r>
          </w:p>
        </w:tc>
      </w:tr>
    </w:tbl>
    <w:p>
      <w:pPr>
        <w:pStyle w:val="Heading2"/>
      </w:pPr>
      <w:r>
        <w:rPr>
          <w:rFonts w:ascii="Arial" w:cs="Arial" w:eastAsia="Arial" w:hAnsi="Arial"/>
          <w:b/>
          <w:bCs/>
          <w:sz w:val="26"/>
          <w:szCs w:val="26"/>
        </w:rPr>
        <w:t xml:space="preserve">Note on the dual-output decision</w:t>
      </w:r>
    </w:p>
    <w:p>
      <w:pPr>
        <w:spacing w:after="120" w:before="60"/>
      </w:pPr>
      <w:r>
        <w:rPr>
          <w:rFonts w:ascii="Arial" w:cs="Arial" w:eastAsia="Arial" w:hAnsi="Arial"/>
          <w:sz w:val="22"/>
          <w:szCs w:val="22"/>
        </w:rPr>
        <w:t xml:space="preserve">Some institutional stakeholders (e.g., Web &amp; Interactive Communications) may have concerns about publishing student-facing interactive tools as web pages, which traditionally fall under their purview. Producing a fillable-PDF version that can be distributed without web hosting addresses that concern directly while preserving the option to deploy the HTML version internally as an advisor tool. Both outputs draw from the same JSON data, so neither format imposes additional maintenance cost on the data pipeline.</w:t>
      </w:r>
    </w:p>
    <w:p>
      <w:pPr>
        <w:pStyle w:val="Heading2"/>
      </w:pPr>
      <w:r>
        <w:rPr>
          <w:rFonts w:ascii="Arial" w:cs="Arial" w:eastAsia="Arial" w:hAnsi="Arial"/>
          <w:b/>
          <w:bCs/>
          <w:sz w:val="26"/>
          <w:szCs w:val="26"/>
        </w:rPr>
        <w:t xml:space="preserve">PDF interactivity boundaries</w:t>
      </w:r>
    </w:p>
    <w:p>
      <w:pPr>
        <w:spacing w:after="120" w:before="60"/>
      </w:pPr>
      <w:r>
        <w:rPr>
          <w:rFonts w:ascii="Arial" w:cs="Arial" w:eastAsia="Arial" w:hAnsi="Arial"/>
          <w:sz w:val="22"/>
          <w:szCs w:val="22"/>
        </w:rPr>
        <w:t xml:space="preserve">PDF AcroForm fields work universally across PDF readers (Acrobat, Preview, Chrome, Edge, mobile). PDF JavaScript, however, runs reliably only in Adobe Acrobat — not in other readers. The PDF renderer should therefore be designed for static fillability: checkboxes check, text fields accept input, dropdowns offer options, but no field reacts to another field. Features lost in the PDF version that the HTML version retains:</w:t>
      </w:r>
    </w:p>
    <w:p>
      <w:pPr>
        <w:pStyle w:val="ListParagraph"/>
        <w:numPr>
          <w:ilvl w:val="0"/>
          <w:numId w:val="2"/>
        </w:numPr>
        <w:spacing w:after="40" w:before="40"/>
      </w:pPr>
      <w:r>
        <w:rPr>
          <w:rFonts w:ascii="Arial" w:cs="Arial" w:eastAsia="Arial" w:hAnsi="Arial"/>
          <w:sz w:val="22"/>
          <w:szCs w:val="22"/>
        </w:rPr>
        <w:t xml:space="preserve">Live progress totals at the top of the worksheet.</w:t>
      </w:r>
    </w:p>
    <w:p>
      <w:pPr>
        <w:pStyle w:val="ListParagraph"/>
        <w:numPr>
          <w:ilvl w:val="0"/>
          <w:numId w:val="2"/>
        </w:numPr>
        <w:spacing w:after="40" w:before="40"/>
      </w:pPr>
      <w:r>
        <w:rPr>
          <w:rFonts w:ascii="Arial" w:cs="Arial" w:eastAsia="Arial" w:hAnsi="Arial"/>
          <w:sz w:val="22"/>
          <w:szCs w:val="22"/>
        </w:rPr>
        <w:t xml:space="preserve">Track toggle (replaced by producing three separate PDFs per program — one per gen-ed track).</w:t>
      </w:r>
    </w:p>
    <w:p>
      <w:pPr>
        <w:pStyle w:val="ListParagraph"/>
        <w:numPr>
          <w:ilvl w:val="0"/>
          <w:numId w:val="2"/>
        </w:numPr>
        <w:spacing w:after="40" w:before="40"/>
      </w:pPr>
      <w:r>
        <w:rPr>
          <w:rFonts w:ascii="Arial" w:cs="Arial" w:eastAsia="Arial" w:hAnsi="Arial"/>
          <w:sz w:val="22"/>
          <w:szCs w:val="22"/>
        </w:rPr>
        <w:t xml:space="preserve">Conditional transfer-institution sub-row (the field is permanently visible in the PDF).</w:t>
      </w:r>
    </w:p>
    <w:p>
      <w:pPr>
        <w:pStyle w:val="ListParagraph"/>
        <w:numPr>
          <w:ilvl w:val="0"/>
          <w:numId w:val="2"/>
        </w:numPr>
        <w:spacing w:after="40" w:before="40"/>
      </w:pPr>
      <w:r>
        <w:rPr>
          <w:rFonts w:ascii="Arial" w:cs="Arial" w:eastAsia="Arial" w:hAnsi="Arial"/>
          <w:sz w:val="22"/>
          <w:szCs w:val="22"/>
        </w:rPr>
        <w:t xml:space="preserve">Cross-reference propagation between gen ed and major slots.</w:t>
      </w:r>
    </w:p>
    <w:p>
      <w:pPr>
        <w:spacing w:after="120" w:before="60"/>
      </w:pPr>
      <w:r>
        <w:rPr>
          <w:rFonts w:ascii="Arial" w:cs="Arial" w:eastAsia="Arial" w:hAnsi="Arial"/>
          <w:sz w:val="22"/>
          <w:szCs w:val="22"/>
        </w:rPr>
        <w:t xml:space="preserve">These limitations are acceptable for the PDF distribution context, where the user is typically working with an advisor who can manually reconcile cross-references and tally progress.</w:t>
      </w:r>
    </w:p>
    <w:p>
      <w:pPr>
        <w:pStyle w:val="Heading1"/>
      </w:pPr>
      <w:r>
        <w:rPr>
          <w:rFonts w:ascii="Arial" w:cs="Arial" w:eastAsia="Arial" w:hAnsi="Arial"/>
          <w:b/>
          <w:bCs/>
          <w:sz w:val="32"/>
          <w:szCs w:val="32"/>
        </w:rPr>
        <w:t xml:space="preserve">Architecture Overview</w:t>
      </w:r>
    </w:p>
    <w:p>
      <w:pPr>
        <w:spacing w:after="120" w:before="60"/>
      </w:pPr>
      <w:r>
        <w:rPr>
          <w:rFonts w:ascii="Arial" w:cs="Arial" w:eastAsia="Arial" w:hAnsi="Arial"/>
          <w:sz w:val="22"/>
          <w:szCs w:val="22"/>
        </w:rPr>
        <w:t xml:space="preserve">The system has four components, each with a clear input and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Component</w:t>
            </w:r>
          </w:p>
        </w:tc>
        <w:tc>
          <w:tcPr>
            <w:tcW w:type="pct" w:w="30%"/>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Input</w:t>
            </w:r>
          </w:p>
        </w:tc>
        <w:tc>
          <w:tcPr>
            <w:tcW w:type="pct" w:w="30%"/>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Output</w:t>
            </w:r>
          </w:p>
        </w:tc>
        <w:tc>
          <w:tcPr>
            <w:tcW w:type="pct" w:w="20%"/>
            <w:tcBorders>
              <w:top w:val="single" w:color="BBBBBB" w:sz="4"/>
              <w:left w:val="single" w:color="BBBBBB" w:sz="4"/>
              <w:bottom w:val="single" w:color="BBBBBB" w:sz="4"/>
              <w:right w:val="single" w:color="BBBBBB" w:sz="4"/>
            </w:tcBorders>
            <w:shd w:fill="EFEFEF" w:val="clear"/>
            <w:tcMar>
              <w:top w:type="dxa" w:w="80"/>
              <w:left w:type="dxa" w:w="120"/>
              <w:bottom w:type="dxa" w:w="80"/>
              <w:right w:type="dxa" w:w="120"/>
            </w:tcMar>
          </w:tcPr>
          <w:p>
            <w:pPr>
              <w:spacing w:after="40" w:before="40"/>
            </w:pPr>
            <w:r>
              <w:rPr>
                <w:rFonts w:ascii="Arial" w:cs="Arial" w:eastAsia="Arial" w:hAnsi="Arial"/>
                <w:b/>
                <w:bCs/>
                <w:sz w:val="20"/>
                <w:szCs w:val="20"/>
              </w:rPr>
              <w:t xml:space="preserve">Cadence</w:t>
            </w:r>
          </w:p>
        </w:tc>
      </w:tr>
      <w:tr>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Catalog Scraper</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ISU catalog URLs (per program)</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Normalized program JSON files</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Biannual + manual</w:t>
            </w:r>
          </w:p>
        </w:tc>
      </w:tr>
      <w:tr>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HTML Renderer</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Program JSON (and optionally CC articulation JSON)</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Interactive HTML worksheet</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On demand</w:t>
            </w:r>
          </w:p>
        </w:tc>
      </w:tr>
      <w:tr>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PDF Renderer</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Program JSON (and optionally CC articulation JSON)</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Fillable PDF (one per gen-ed track)</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On demand or scheduled batch</w:t>
            </w:r>
          </w:p>
        </w:tc>
      </w:tr>
      <w:tr>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Schema &amp; Validators</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Schema definition (JSON Schema)</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Validation reports; type guards</w:t>
            </w:r>
          </w:p>
        </w:tc>
        <w:tc>
          <w:tcPr>
            <w:tcW w:type="pct" w:w="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Arial" w:cs="Arial" w:eastAsia="Arial" w:hAnsi="Arial"/>
                <w:sz w:val="20"/>
                <w:szCs w:val="20"/>
              </w:rPr>
              <w:t xml:space="preserve">Continuous</w:t>
            </w:r>
          </w:p>
        </w:tc>
      </w:tr>
    </w:tbl>
    <w:p>
      <w:pPr>
        <w:spacing w:after="120" w:before="60"/>
      </w:pPr>
      <w:r>
        <w:rPr>
          <w:rFonts w:ascii="Arial" w:cs="Arial" w:eastAsia="Arial" w:hAnsi="Arial"/>
          <w:sz w:val="22"/>
          <w:szCs w:val="22"/>
        </w:rPr>
        <w:t xml:space="preserve">The schema is the contract between the scraper and both renderers. Once defined, the components can be developed independently, and the schema becomes the artifact that should be reviewed most carefully — it determines what kinds of programs the system can ever express.</w:t>
      </w:r>
    </w:p>
    <w:p>
      <w:pPr>
        <w:pStyle w:val="Heading1"/>
      </w:pPr>
      <w:r>
        <w:rPr>
          <w:rFonts w:ascii="Arial" w:cs="Arial" w:eastAsia="Arial" w:hAnsi="Arial"/>
          <w:b/>
          <w:bCs/>
          <w:sz w:val="32"/>
          <w:szCs w:val="32"/>
        </w:rPr>
        <w:t xml:space="preserve">Phase 1 — Data Schema (Highest Priority)</w:t>
      </w:r>
    </w:p>
    <w:p>
      <w:pPr>
        <w:spacing w:after="120" w:before="60"/>
      </w:pPr>
      <w:r>
        <w:rPr>
          <w:rFonts w:ascii="Arial" w:cs="Arial" w:eastAsia="Arial" w:hAnsi="Arial"/>
          <w:sz w:val="22"/>
          <w:szCs w:val="22"/>
        </w:rPr>
        <w:t xml:space="preserve">Before any code is written, the data model must be sketched against at least three deliberately different programs to ensure the schema is general enough. Suggested test cases:</w:t>
      </w:r>
    </w:p>
    <w:p>
      <w:pPr>
        <w:pStyle w:val="ListParagraph"/>
        <w:numPr>
          <w:ilvl w:val="0"/>
          <w:numId w:val="2"/>
        </w:numPr>
        <w:spacing w:after="40" w:before="40"/>
      </w:pPr>
      <w:r>
        <w:rPr>
          <w:rFonts w:ascii="Arial" w:cs="Arial" w:eastAsia="Arial" w:hAnsi="Arial"/>
          <w:sz w:val="22"/>
          <w:szCs w:val="22"/>
        </w:rPr>
        <w:t xml:space="preserve">Accounting (Financial Accounting Sequence), B.S. — has sequence sub-structure, choice groups, exempt gen-ed categories, and a senior-elective bucket.</w:t>
      </w:r>
    </w:p>
    <w:p>
      <w:pPr>
        <w:pStyle w:val="ListParagraph"/>
        <w:numPr>
          <w:ilvl w:val="0"/>
          <w:numId w:val="2"/>
        </w:numPr>
        <w:spacing w:after="40" w:before="40"/>
      </w:pPr>
      <w:r>
        <w:rPr>
          <w:rFonts w:ascii="Arial" w:cs="Arial" w:eastAsia="Arial" w:hAnsi="Arial"/>
          <w:sz w:val="22"/>
          <w:szCs w:val="22"/>
        </w:rPr>
        <w:t xml:space="preserve">Any B.A. program with the world-language requirement — exercises the conditional graduation requirements path.</w:t>
      </w:r>
    </w:p>
    <w:p>
      <w:pPr>
        <w:pStyle w:val="ListParagraph"/>
        <w:numPr>
          <w:ilvl w:val="0"/>
          <w:numId w:val="2"/>
        </w:numPr>
        <w:spacing w:after="40" w:before="40"/>
      </w:pPr>
      <w:r>
        <w:rPr>
          <w:rFonts w:ascii="Arial" w:cs="Arial" w:eastAsia="Arial" w:hAnsi="Arial"/>
          <w:sz w:val="22"/>
          <w:szCs w:val="22"/>
        </w:rPr>
        <w:t xml:space="preserve">A B.S. in Education program — exercises the carve-out for degrees that don't require the SMT graduation requirement.</w:t>
      </w:r>
    </w:p>
    <w:p>
      <w:pPr>
        <w:pStyle w:val="Heading2"/>
      </w:pPr>
      <w:r>
        <w:rPr>
          <w:rFonts w:ascii="Arial" w:cs="Arial" w:eastAsia="Arial" w:hAnsi="Arial"/>
          <w:b/>
          <w:bCs/>
          <w:sz w:val="26"/>
          <w:szCs w:val="26"/>
        </w:rPr>
        <w:t xml:space="preserve">Required schema concepts</w:t>
      </w:r>
    </w:p>
    <w:p>
      <w:pPr>
        <w:spacing w:after="120" w:before="60"/>
      </w:pPr>
      <w:r>
        <w:rPr>
          <w:rFonts w:ascii="Arial" w:cs="Arial" w:eastAsia="Arial" w:hAnsi="Arial"/>
          <w:sz w:val="22"/>
          <w:szCs w:val="22"/>
        </w:rPr>
        <w:t xml:space="preserve">The schema must express, at minimum:</w:t>
      </w:r>
    </w:p>
    <w:p>
      <w:pPr>
        <w:pStyle w:val="ListParagraph"/>
        <w:numPr>
          <w:ilvl w:val="0"/>
          <w:numId w:val="2"/>
        </w:numPr>
        <w:spacing w:after="40" w:before="40"/>
      </w:pPr>
      <w:r>
        <w:rPr>
          <w:rFonts w:ascii="Arial" w:cs="Arial" w:eastAsia="Arial" w:hAnsi="Arial"/>
          <w:sz w:val="22"/>
          <w:szCs w:val="22"/>
        </w:rPr>
        <w:t xml:space="preserve">Programs, with degree type (B.S. / B.A. / B.S. in Ed. / B.S.N. / etc.) and catalog year.</w:t>
      </w:r>
    </w:p>
    <w:p>
      <w:pPr>
        <w:pStyle w:val="ListParagraph"/>
        <w:numPr>
          <w:ilvl w:val="0"/>
          <w:numId w:val="2"/>
        </w:numPr>
        <w:spacing w:after="40" w:before="40"/>
      </w:pPr>
      <w:r>
        <w:rPr>
          <w:rFonts w:ascii="Arial" w:cs="Arial" w:eastAsia="Arial" w:hAnsi="Arial"/>
          <w:sz w:val="22"/>
          <w:szCs w:val="22"/>
        </w:rPr>
        <w:t xml:space="preserve">Requirement groups (e.g., "Communication &amp; Composition"), each with a count or hours target.</w:t>
      </w:r>
    </w:p>
    <w:p>
      <w:pPr>
        <w:pStyle w:val="ListParagraph"/>
        <w:numPr>
          <w:ilvl w:val="0"/>
          <w:numId w:val="2"/>
        </w:numPr>
        <w:spacing w:after="40" w:before="40"/>
      </w:pPr>
      <w:r>
        <w:rPr>
          <w:rFonts w:ascii="Arial" w:cs="Arial" w:eastAsia="Arial" w:hAnsi="Arial"/>
          <w:sz w:val="22"/>
          <w:szCs w:val="22"/>
        </w:rPr>
        <w:t xml:space="preserve">Requirement slots (the rows in the worksheet) — fixed ("ACC 131") or open ("any humanities course").</w:t>
      </w:r>
    </w:p>
    <w:p>
      <w:pPr>
        <w:pStyle w:val="ListParagraph"/>
        <w:numPr>
          <w:ilvl w:val="0"/>
          <w:numId w:val="2"/>
        </w:numPr>
        <w:spacing w:after="40" w:before="40"/>
      </w:pPr>
      <w:r>
        <w:rPr>
          <w:rFonts w:ascii="Arial" w:cs="Arial" w:eastAsia="Arial" w:hAnsi="Arial"/>
          <w:sz w:val="22"/>
          <w:szCs w:val="22"/>
        </w:rPr>
        <w:t xml:space="preserve">Choice groups ("take 1 of MAT 121 or MAT 145").</w:t>
      </w:r>
    </w:p>
    <w:p>
      <w:pPr>
        <w:pStyle w:val="ListParagraph"/>
        <w:numPr>
          <w:ilvl w:val="0"/>
          <w:numId w:val="2"/>
        </w:numPr>
        <w:spacing w:after="40" w:before="40"/>
      </w:pPr>
      <w:r>
        <w:rPr>
          <w:rFonts w:ascii="Arial" w:cs="Arial" w:eastAsia="Arial" w:hAnsi="Arial"/>
          <w:sz w:val="22"/>
          <w:szCs w:val="22"/>
        </w:rPr>
        <w:t xml:space="preserve">Cross-references — a single course filling multiple slots (ECO 101 fills both a major requirement AND IAI Soc/Beh Sci). This is the structurally hardest part of the schema.</w:t>
      </w:r>
    </w:p>
    <w:p>
      <w:pPr>
        <w:pStyle w:val="ListParagraph"/>
        <w:numPr>
          <w:ilvl w:val="0"/>
          <w:numId w:val="2"/>
        </w:numPr>
        <w:spacing w:after="40" w:before="40"/>
      </w:pPr>
      <w:r>
        <w:rPr>
          <w:rFonts w:ascii="Arial" w:cs="Arial" w:eastAsia="Arial" w:hAnsi="Arial"/>
          <w:sz w:val="22"/>
          <w:szCs w:val="22"/>
        </w:rPr>
        <w:t xml:space="preserve">Per-track variants for general education (ISU / IAI / Associate's), recognizing that some major courses pre-fill IAI slots but not ISU slots, and vice versa.</w:t>
      </w:r>
    </w:p>
    <w:p>
      <w:pPr>
        <w:pStyle w:val="ListParagraph"/>
        <w:numPr>
          <w:ilvl w:val="0"/>
          <w:numId w:val="2"/>
        </w:numPr>
        <w:spacing w:after="40" w:before="40"/>
      </w:pPr>
      <w:r>
        <w:rPr>
          <w:rFonts w:ascii="Arial" w:cs="Arial" w:eastAsia="Arial" w:hAnsi="Arial"/>
          <w:sz w:val="22"/>
          <w:szCs w:val="22"/>
        </w:rPr>
        <w:t xml:space="preserve">Graduation requirements (universal: 120 hours, 40 senior hours, AMALI, IDEAS; conditional: B.S. SMT, B.A. world language).</w:t>
      </w:r>
    </w:p>
    <w:p>
      <w:pPr>
        <w:pStyle w:val="Heading2"/>
      </w:pPr>
      <w:r>
        <w:rPr>
          <w:rFonts w:ascii="Arial" w:cs="Arial" w:eastAsia="Arial" w:hAnsi="Arial"/>
          <w:b/>
          <w:bCs/>
          <w:sz w:val="26"/>
          <w:szCs w:val="26"/>
        </w:rPr>
        <w:t xml:space="preserve">Forward compatibility for Phase 4</w:t>
      </w:r>
    </w:p>
    <w:p>
      <w:pPr>
        <w:spacing w:after="120" w:before="60"/>
      </w:pPr>
      <w:r>
        <w:rPr>
          <w:rFonts w:ascii="Arial" w:cs="Arial" w:eastAsia="Arial" w:hAnsi="Arial"/>
          <w:sz w:val="22"/>
          <w:szCs w:val="22"/>
        </w:rPr>
        <w:t xml:space="preserve">While the schema's primary job is to describe ISU programs, it should be designed so that an articulation layer can be added later without retrofitting. Specifically, every requirement slot should have a stable identifier that an external articulation table can reference. The slot's data shape should support an optional "pre-fill" property that the renderer uses when articulation data is provided.</w:t>
      </w:r>
    </w:p>
    <w:p>
      <w:pPr>
        <w:pStyle w:val="Heading2"/>
      </w:pPr>
      <w:r>
        <w:rPr>
          <w:rFonts w:ascii="Arial" w:cs="Arial" w:eastAsia="Arial" w:hAnsi="Arial"/>
          <w:b/>
          <w:bCs/>
          <w:sz w:val="26"/>
          <w:szCs w:val="26"/>
        </w:rPr>
        <w:t xml:space="preserve">Deliverable for Phase 1</w:t>
      </w:r>
    </w:p>
    <w:p>
      <w:pPr>
        <w:pStyle w:val="ListParagraph"/>
        <w:numPr>
          <w:ilvl w:val="0"/>
          <w:numId w:val="2"/>
        </w:numPr>
        <w:spacing w:after="40" w:before="40"/>
      </w:pPr>
      <w:r>
        <w:rPr>
          <w:rFonts w:ascii="Arial" w:cs="Arial" w:eastAsia="Arial" w:hAnsi="Arial"/>
          <w:sz w:val="22"/>
          <w:szCs w:val="22"/>
        </w:rPr>
        <w:t xml:space="preserve">A JSON Schema file describing the program data model.</w:t>
      </w:r>
    </w:p>
    <w:p>
      <w:pPr>
        <w:pStyle w:val="ListParagraph"/>
        <w:numPr>
          <w:ilvl w:val="0"/>
          <w:numId w:val="2"/>
        </w:numPr>
        <w:spacing w:after="40" w:before="40"/>
      </w:pPr>
      <w:r>
        <w:rPr>
          <w:rFonts w:ascii="Arial" w:cs="Arial" w:eastAsia="Arial" w:hAnsi="Arial"/>
          <w:sz w:val="22"/>
          <w:szCs w:val="22"/>
        </w:rPr>
        <w:t xml:space="preserve">Three hand-authored program JSON files matching the schema.</w:t>
      </w:r>
    </w:p>
    <w:p>
      <w:pPr>
        <w:pStyle w:val="ListParagraph"/>
        <w:numPr>
          <w:ilvl w:val="0"/>
          <w:numId w:val="2"/>
        </w:numPr>
        <w:spacing w:after="40" w:before="40"/>
      </w:pPr>
      <w:r>
        <w:rPr>
          <w:rFonts w:ascii="Arial" w:cs="Arial" w:eastAsia="Arial" w:hAnsi="Arial"/>
          <w:sz w:val="22"/>
          <w:szCs w:val="22"/>
        </w:rPr>
        <w:t xml:space="preserve">A short written rationale documenting which schema decisions were considered and rejected.</w:t>
      </w:r>
    </w:p>
    <w:p>
      <w:pPr>
        <w:pStyle w:val="Heading1"/>
      </w:pPr>
      <w:r>
        <w:rPr>
          <w:rFonts w:ascii="Arial" w:cs="Arial" w:eastAsia="Arial" w:hAnsi="Arial"/>
          <w:b/>
          <w:bCs/>
          <w:sz w:val="32"/>
          <w:szCs w:val="32"/>
        </w:rPr>
        <w:t xml:space="preserve">Phase 2 — Worksheet Renderers</w:t>
      </w:r>
    </w:p>
    <w:p>
      <w:pPr>
        <w:spacing w:after="120" w:before="60"/>
      </w:pPr>
      <w:r>
        <w:rPr>
          <w:rFonts w:ascii="Arial" w:cs="Arial" w:eastAsia="Arial" w:hAnsi="Arial"/>
          <w:sz w:val="22"/>
          <w:szCs w:val="22"/>
        </w:rPr>
        <w:t xml:space="preserve">Two renderers consume the same JSON schema and produce the two output formats. Both should be developed in parallel where possible to ensure the schema fits both equally well — discovering a schema gap in the PDF renderer late in development is more expensive than discovering it early.</w:t>
      </w:r>
    </w:p>
    <w:p>
      <w:pPr>
        <w:pStyle w:val="Heading2"/>
      </w:pPr>
      <w:r>
        <w:rPr>
          <w:rFonts w:ascii="Arial" w:cs="Arial" w:eastAsia="Arial" w:hAnsi="Arial"/>
          <w:b/>
          <w:bCs/>
          <w:sz w:val="26"/>
          <w:szCs w:val="26"/>
        </w:rPr>
        <w:t xml:space="preserve">Phase 2a — HTML Renderer</w:t>
      </w:r>
    </w:p>
    <w:p>
      <w:pPr>
        <w:spacing w:after="120" w:before="60"/>
      </w:pPr>
      <w:r>
        <w:rPr>
          <w:rFonts w:ascii="Arial" w:cs="Arial" w:eastAsia="Arial" w:hAnsi="Arial"/>
          <w:sz w:val="22"/>
          <w:szCs w:val="22"/>
        </w:rPr>
        <w:t xml:space="preserve">The existing prototype is a single HTML file with the program data hardcoded in JavaScript. The renderer phase generalizes this to consume the JSON schema and produce a worksheet for any program.</w:t>
      </w:r>
    </w:p>
    <w:p>
      <w:pPr>
        <w:pStyle w:val="Heading3"/>
      </w:pPr>
      <w:r>
        <w:rPr>
          <w:rFonts w:ascii="Arial" w:cs="Arial" w:eastAsia="Arial" w:hAnsi="Arial"/>
          <w:b/>
          <w:bCs/>
          <w:sz w:val="23"/>
          <w:szCs w:val="23"/>
        </w:rPr>
        <w:t xml:space="preserve">Functional requirements (already present in prototype)</w:t>
      </w:r>
    </w:p>
    <w:p>
      <w:pPr>
        <w:pStyle w:val="ListParagraph"/>
        <w:numPr>
          <w:ilvl w:val="0"/>
          <w:numId w:val="2"/>
        </w:numPr>
        <w:spacing w:after="40" w:before="40"/>
      </w:pPr>
      <w:r>
        <w:rPr>
          <w:rFonts w:ascii="Arial" w:cs="Arial" w:eastAsia="Arial" w:hAnsi="Arial"/>
          <w:sz w:val="22"/>
          <w:szCs w:val="22"/>
        </w:rPr>
        <w:t xml:space="preserve">Two-column layout: gen ed left, major right.</w:t>
      </w:r>
    </w:p>
    <w:p>
      <w:pPr>
        <w:pStyle w:val="ListParagraph"/>
        <w:numPr>
          <w:ilvl w:val="0"/>
          <w:numId w:val="2"/>
        </w:numPr>
        <w:spacing w:after="40" w:before="40"/>
      </w:pPr>
      <w:r>
        <w:rPr>
          <w:rFonts w:ascii="Arial" w:cs="Arial" w:eastAsia="Arial" w:hAnsi="Arial"/>
          <w:sz w:val="22"/>
          <w:szCs w:val="22"/>
        </w:rPr>
        <w:t xml:space="preserve">Per-row fields: checkbox, course taken, grade, term, status dropdown.</w:t>
      </w:r>
    </w:p>
    <w:p>
      <w:pPr>
        <w:pStyle w:val="ListParagraph"/>
        <w:numPr>
          <w:ilvl w:val="0"/>
          <w:numId w:val="2"/>
        </w:numPr>
        <w:spacing w:after="40" w:before="40"/>
      </w:pPr>
      <w:r>
        <w:rPr>
          <w:rFonts w:ascii="Arial" w:cs="Arial" w:eastAsia="Arial" w:hAnsi="Arial"/>
          <w:sz w:val="22"/>
          <w:szCs w:val="22"/>
        </w:rPr>
        <w:t xml:space="preserve">Conditional transfer institution sub-row when status = transferred.</w:t>
      </w:r>
    </w:p>
    <w:p>
      <w:pPr>
        <w:pStyle w:val="ListParagraph"/>
        <w:numPr>
          <w:ilvl w:val="0"/>
          <w:numId w:val="2"/>
        </w:numPr>
        <w:spacing w:after="40" w:before="40"/>
      </w:pPr>
      <w:r>
        <w:rPr>
          <w:rFonts w:ascii="Arial" w:cs="Arial" w:eastAsia="Arial" w:hAnsi="Arial"/>
          <w:sz w:val="22"/>
          <w:szCs w:val="22"/>
        </w:rPr>
        <w:t xml:space="preserve">Live progress totals (gen ed / major / graduation / total).</w:t>
      </w:r>
    </w:p>
    <w:p>
      <w:pPr>
        <w:pStyle w:val="ListParagraph"/>
        <w:numPr>
          <w:ilvl w:val="0"/>
          <w:numId w:val="2"/>
        </w:numPr>
        <w:spacing w:after="40" w:before="40"/>
      </w:pPr>
      <w:r>
        <w:rPr>
          <w:rFonts w:ascii="Arial" w:cs="Arial" w:eastAsia="Arial" w:hAnsi="Arial"/>
          <w:sz w:val="22"/>
          <w:szCs w:val="22"/>
        </w:rPr>
        <w:t xml:space="preserve">Track toggle (ISU / IAI / Associate's) that swaps the left column.</w:t>
      </w:r>
    </w:p>
    <w:p>
      <w:pPr>
        <w:pStyle w:val="ListParagraph"/>
        <w:numPr>
          <w:ilvl w:val="0"/>
          <w:numId w:val="2"/>
        </w:numPr>
        <w:spacing w:after="40" w:before="40"/>
      </w:pPr>
      <w:r>
        <w:rPr>
          <w:rFonts w:ascii="Arial" w:cs="Arial" w:eastAsia="Arial" w:hAnsi="Arial"/>
          <w:sz w:val="22"/>
          <w:szCs w:val="22"/>
        </w:rPr>
        <w:t xml:space="preserve">Associate's degree metadata fields, including IAI GECC inclusion.</w:t>
      </w:r>
    </w:p>
    <w:p>
      <w:pPr>
        <w:pStyle w:val="ListParagraph"/>
        <w:numPr>
          <w:ilvl w:val="0"/>
          <w:numId w:val="2"/>
        </w:numPr>
        <w:spacing w:after="40" w:before="40"/>
      </w:pPr>
      <w:r>
        <w:rPr>
          <w:rFonts w:ascii="Arial" w:cs="Arial" w:eastAsia="Arial" w:hAnsi="Arial"/>
          <w:sz w:val="22"/>
          <w:szCs w:val="22"/>
        </w:rPr>
        <w:t xml:space="preserve">Graduation requirements panel: trackable items with checkboxes, narrative items as text.</w:t>
      </w:r>
    </w:p>
    <w:p>
      <w:pPr>
        <w:pStyle w:val="ListParagraph"/>
        <w:numPr>
          <w:ilvl w:val="0"/>
          <w:numId w:val="2"/>
        </w:numPr>
        <w:spacing w:after="40" w:before="40"/>
      </w:pPr>
      <w:r>
        <w:rPr>
          <w:rFonts w:ascii="Arial" w:cs="Arial" w:eastAsia="Arial" w:hAnsi="Arial"/>
          <w:sz w:val="22"/>
          <w:szCs w:val="22"/>
        </w:rPr>
        <w:t xml:space="preserve">Print stylesheet: letter landscape, decoration stripped, form controls flattened to printable equivalents.</w:t>
      </w:r>
    </w:p>
    <w:p>
      <w:pPr>
        <w:pStyle w:val="Heading3"/>
      </w:pPr>
      <w:r>
        <w:rPr>
          <w:rFonts w:ascii="Arial" w:cs="Arial" w:eastAsia="Arial" w:hAnsi="Arial"/>
          <w:b/>
          <w:bCs/>
          <w:sz w:val="23"/>
          <w:szCs w:val="23"/>
        </w:rPr>
        <w:t xml:space="preserve">New requirements for Phase 2a</w:t>
      </w:r>
    </w:p>
    <w:p>
      <w:pPr>
        <w:pStyle w:val="ListParagraph"/>
        <w:numPr>
          <w:ilvl w:val="0"/>
          <w:numId w:val="2"/>
        </w:numPr>
        <w:spacing w:after="40" w:before="40"/>
      </w:pPr>
      <w:r>
        <w:rPr>
          <w:rFonts w:ascii="Arial" w:cs="Arial" w:eastAsia="Arial" w:hAnsi="Arial"/>
          <w:sz w:val="22"/>
          <w:szCs w:val="22"/>
        </w:rPr>
        <w:t xml:space="preserve">Cross-reference propagation: marking ECO 101 as completed in the major column should automatically credit the IAI Soc/Beh Sci slot. Similarly for MAT 121/145 and Math.</w:t>
      </w:r>
    </w:p>
    <w:p>
      <w:pPr>
        <w:pStyle w:val="ListParagraph"/>
        <w:numPr>
          <w:ilvl w:val="0"/>
          <w:numId w:val="2"/>
        </w:numPr>
        <w:spacing w:after="40" w:before="40"/>
      </w:pPr>
      <w:r>
        <w:rPr>
          <w:rFonts w:ascii="Arial" w:cs="Arial" w:eastAsia="Arial" w:hAnsi="Arial"/>
          <w:sz w:val="22"/>
          <w:szCs w:val="22"/>
        </w:rPr>
        <w:t xml:space="preserve">Per-program rendering: the renderer takes a program ID (or URL parameter) and loads the corresponding JSON.</w:t>
      </w:r>
    </w:p>
    <w:p>
      <w:pPr>
        <w:pStyle w:val="ListParagraph"/>
        <w:numPr>
          <w:ilvl w:val="0"/>
          <w:numId w:val="2"/>
        </w:numPr>
        <w:spacing w:after="40" w:before="40"/>
      </w:pPr>
      <w:r>
        <w:rPr>
          <w:rFonts w:ascii="Arial" w:cs="Arial" w:eastAsia="Arial" w:hAnsi="Arial"/>
          <w:sz w:val="22"/>
          <w:szCs w:val="22"/>
        </w:rPr>
        <w:t xml:space="preserve">Persistence: at minimum, export-to-JSON and import-from-JSON so a student can save and resume work. (LocalStorage is acceptable for the static version; do not build server-side storage in this phase.)</w:t>
      </w:r>
    </w:p>
    <w:p>
      <w:pPr>
        <w:pStyle w:val="ListParagraph"/>
        <w:numPr>
          <w:ilvl w:val="0"/>
          <w:numId w:val="2"/>
        </w:numPr>
        <w:spacing w:after="40" w:before="40"/>
      </w:pPr>
      <w:r>
        <w:rPr>
          <w:rFonts w:ascii="Arial" w:cs="Arial" w:eastAsia="Arial" w:hAnsi="Arial"/>
          <w:sz w:val="22"/>
          <w:szCs w:val="22"/>
        </w:rPr>
        <w:t xml:space="preserve">Schema version awareness: the rendered worksheet should display which catalog year it represents and warn if the user loads a saved file from a different catalog year than the current renderer schema.</w:t>
      </w:r>
    </w:p>
    <w:p>
      <w:pPr>
        <w:pStyle w:val="Heading2"/>
      </w:pPr>
      <w:r>
        <w:rPr>
          <w:rFonts w:ascii="Arial" w:cs="Arial" w:eastAsia="Arial" w:hAnsi="Arial"/>
          <w:b/>
          <w:bCs/>
          <w:sz w:val="26"/>
          <w:szCs w:val="26"/>
        </w:rPr>
        <w:t xml:space="preserve">Phase 2b — PDF Renderer</w:t>
      </w:r>
    </w:p>
    <w:p>
      <w:pPr>
        <w:spacing w:after="120" w:before="60"/>
      </w:pPr>
      <w:r>
        <w:rPr>
          <w:rFonts w:ascii="Arial" w:cs="Arial" w:eastAsia="Arial" w:hAnsi="Arial"/>
          <w:sz w:val="22"/>
          <w:szCs w:val="22"/>
        </w:rPr>
        <w:t xml:space="preserve">The PDF renderer produces fillable AcroForm PDFs from the same program JSON. Recommended toolchain: Python with reportlab (page layout) and pypdf (form field injection), but any equivalent stack that produces standards-compliant AcroForm PDFs is acceptable. Avoid PDF JavaScript — it does not run reliably outside Adobe Acrobat and creates a misleading interactivity expectation.</w:t>
      </w:r>
    </w:p>
    <w:p>
      <w:pPr>
        <w:pStyle w:val="Heading3"/>
      </w:pPr>
      <w:r>
        <w:rPr>
          <w:rFonts w:ascii="Arial" w:cs="Arial" w:eastAsia="Arial" w:hAnsi="Arial"/>
          <w:b/>
          <w:bCs/>
          <w:sz w:val="23"/>
          <w:szCs w:val="23"/>
        </w:rPr>
        <w:t xml:space="preserve">Functional requirements</w:t>
      </w:r>
    </w:p>
    <w:p>
      <w:pPr>
        <w:pStyle w:val="ListParagraph"/>
        <w:numPr>
          <w:ilvl w:val="0"/>
          <w:numId w:val="2"/>
        </w:numPr>
        <w:spacing w:after="40" w:before="40"/>
      </w:pPr>
      <w:r>
        <w:rPr>
          <w:rFonts w:ascii="Arial" w:cs="Arial" w:eastAsia="Arial" w:hAnsi="Arial"/>
          <w:sz w:val="22"/>
          <w:szCs w:val="22"/>
        </w:rPr>
        <w:t xml:space="preserve">Page layout that mirrors the HTML version's two-column structure (gen ed left, major right).</w:t>
      </w:r>
    </w:p>
    <w:p>
      <w:pPr>
        <w:pStyle w:val="ListParagraph"/>
        <w:numPr>
          <w:ilvl w:val="0"/>
          <w:numId w:val="2"/>
        </w:numPr>
        <w:spacing w:after="40" w:before="40"/>
      </w:pPr>
      <w:r>
        <w:rPr>
          <w:rFonts w:ascii="Arial" w:cs="Arial" w:eastAsia="Arial" w:hAnsi="Arial"/>
          <w:sz w:val="22"/>
          <w:szCs w:val="22"/>
        </w:rPr>
        <w:t xml:space="preserve">Per-row fillable fields: checkbox, course taken (text), grade (text), term (text), status (dropdown).</w:t>
      </w:r>
    </w:p>
    <w:p>
      <w:pPr>
        <w:pStyle w:val="ListParagraph"/>
        <w:numPr>
          <w:ilvl w:val="0"/>
          <w:numId w:val="2"/>
        </w:numPr>
        <w:spacing w:after="40" w:before="40"/>
      </w:pPr>
      <w:r>
        <w:rPr>
          <w:rFonts w:ascii="Arial" w:cs="Arial" w:eastAsia="Arial" w:hAnsi="Arial"/>
          <w:sz w:val="22"/>
          <w:szCs w:val="22"/>
        </w:rPr>
        <w:t xml:space="preserve">A permanently-visible "transferred from" field for each row, since the PDF cannot conditionally show it.</w:t>
      </w:r>
    </w:p>
    <w:p>
      <w:pPr>
        <w:pStyle w:val="ListParagraph"/>
        <w:numPr>
          <w:ilvl w:val="0"/>
          <w:numId w:val="2"/>
        </w:numPr>
        <w:spacing w:after="40" w:before="40"/>
      </w:pPr>
      <w:r>
        <w:rPr>
          <w:rFonts w:ascii="Arial" w:cs="Arial" w:eastAsia="Arial" w:hAnsi="Arial"/>
          <w:sz w:val="22"/>
          <w:szCs w:val="22"/>
        </w:rPr>
        <w:t xml:space="preserve">Three separate PDFs per program — one for each gen-ed track (ISU / IAI / Associate's). Naming convention: &lt;program&gt;-&lt;track&gt;.pdf.</w:t>
      </w:r>
    </w:p>
    <w:p>
      <w:pPr>
        <w:pStyle w:val="ListParagraph"/>
        <w:numPr>
          <w:ilvl w:val="0"/>
          <w:numId w:val="2"/>
        </w:numPr>
        <w:spacing w:after="40" w:before="40"/>
      </w:pPr>
      <w:r>
        <w:rPr>
          <w:rFonts w:ascii="Arial" w:cs="Arial" w:eastAsia="Arial" w:hAnsi="Arial"/>
          <w:sz w:val="22"/>
          <w:szCs w:val="22"/>
        </w:rPr>
        <w:t xml:space="preserve">A graduation requirements section with checkbox-fillable items and static narrative text.</w:t>
      </w:r>
    </w:p>
    <w:p>
      <w:pPr>
        <w:pStyle w:val="ListParagraph"/>
        <w:numPr>
          <w:ilvl w:val="0"/>
          <w:numId w:val="2"/>
        </w:numPr>
        <w:spacing w:after="40" w:before="40"/>
      </w:pPr>
      <w:r>
        <w:rPr>
          <w:rFonts w:ascii="Arial" w:cs="Arial" w:eastAsia="Arial" w:hAnsi="Arial"/>
          <w:sz w:val="22"/>
          <w:szCs w:val="22"/>
        </w:rPr>
        <w:t xml:space="preserve">Header block with student information fields (name, UID, advisor, date) and the program/catalog year.</w:t>
      </w:r>
    </w:p>
    <w:p>
      <w:pPr>
        <w:pStyle w:val="ListParagraph"/>
        <w:numPr>
          <w:ilvl w:val="0"/>
          <w:numId w:val="2"/>
        </w:numPr>
        <w:spacing w:after="40" w:before="40"/>
      </w:pPr>
      <w:r>
        <w:rPr>
          <w:rFonts w:ascii="Arial" w:cs="Arial" w:eastAsia="Arial" w:hAnsi="Arial"/>
          <w:sz w:val="22"/>
          <w:szCs w:val="22"/>
        </w:rPr>
        <w:t xml:space="preserve">All fields tab-navigable in standard reading order.</w:t>
      </w:r>
    </w:p>
    <w:p>
      <w:pPr>
        <w:pStyle w:val="ListParagraph"/>
        <w:numPr>
          <w:ilvl w:val="0"/>
          <w:numId w:val="2"/>
        </w:numPr>
        <w:spacing w:after="40" w:before="40"/>
      </w:pPr>
      <w:r>
        <w:rPr>
          <w:rFonts w:ascii="Arial" w:cs="Arial" w:eastAsia="Arial" w:hAnsi="Arial"/>
          <w:sz w:val="22"/>
          <w:szCs w:val="22"/>
        </w:rPr>
        <w:t xml:space="preserve">Field-level metadata that allows a future automation pass to extract filled values back to JSON if needed.</w:t>
      </w:r>
    </w:p>
    <w:p>
      <w:pPr>
        <w:pStyle w:val="Heading3"/>
      </w:pPr>
      <w:r>
        <w:rPr>
          <w:rFonts w:ascii="Arial" w:cs="Arial" w:eastAsia="Arial" w:hAnsi="Arial"/>
          <w:b/>
          <w:bCs/>
          <w:sz w:val="23"/>
          <w:szCs w:val="23"/>
        </w:rPr>
        <w:t xml:space="preserve">Out of scope for Phase 2b</w:t>
      </w:r>
    </w:p>
    <w:p>
      <w:pPr>
        <w:pStyle w:val="ListParagraph"/>
        <w:numPr>
          <w:ilvl w:val="0"/>
          <w:numId w:val="2"/>
        </w:numPr>
        <w:spacing w:after="40" w:before="40"/>
      </w:pPr>
      <w:r>
        <w:rPr>
          <w:rFonts w:ascii="Arial" w:cs="Arial" w:eastAsia="Arial" w:hAnsi="Arial"/>
          <w:sz w:val="22"/>
          <w:szCs w:val="22"/>
        </w:rPr>
        <w:t xml:space="preserve">PDF JavaScript-based interactivity (live totals, conditional fields, cross-reference propagation).</w:t>
      </w:r>
    </w:p>
    <w:p>
      <w:pPr>
        <w:pStyle w:val="ListParagraph"/>
        <w:numPr>
          <w:ilvl w:val="0"/>
          <w:numId w:val="2"/>
        </w:numPr>
        <w:spacing w:after="40" w:before="40"/>
      </w:pPr>
      <w:r>
        <w:rPr>
          <w:rFonts w:ascii="Arial" w:cs="Arial" w:eastAsia="Arial" w:hAnsi="Arial"/>
          <w:sz w:val="22"/>
          <w:szCs w:val="22"/>
        </w:rPr>
        <w:t xml:space="preserve">Form-flattening or signature workflows — these are downstream concerns.</w:t>
      </w:r>
    </w:p>
    <w:p>
      <w:pPr>
        <w:pStyle w:val="Heading1"/>
      </w:pPr>
      <w:r>
        <w:rPr>
          <w:rFonts w:ascii="Arial" w:cs="Arial" w:eastAsia="Arial" w:hAnsi="Arial"/>
          <w:b/>
          <w:bCs/>
          <w:sz w:val="32"/>
          <w:szCs w:val="32"/>
        </w:rPr>
        <w:t xml:space="preserve">Phase 3 — Catalog Ingestion Pipeline</w:t>
      </w:r>
    </w:p>
    <w:p>
      <w:pPr>
        <w:spacing w:after="120" w:before="60"/>
      </w:pPr>
      <w:r>
        <w:rPr>
          <w:rFonts w:ascii="Arial" w:cs="Arial" w:eastAsia="Arial" w:hAnsi="Arial"/>
          <w:sz w:val="22"/>
          <w:szCs w:val="22"/>
        </w:rPr>
        <w:t xml:space="preserve">Build only after Phases 1 and 2 are stable. The scraper exists to populate the schema, so the schema must be settled first. The catalog is hand-maintained in the institution's CMS and rendered as a network of linked pages — there is no upstream API to query, and CourseDog (which pulls from PeopleSoft) is not authoritative for degree requirements.</w:t>
      </w:r>
    </w:p>
    <w:p>
      <w:pPr>
        <w:pStyle w:val="Heading2"/>
      </w:pPr>
      <w:r>
        <w:rPr>
          <w:rFonts w:ascii="Arial" w:cs="Arial" w:eastAsia="Arial" w:hAnsi="Arial"/>
          <w:b/>
          <w:bCs/>
          <w:sz w:val="26"/>
          <w:szCs w:val="26"/>
        </w:rPr>
        <w:t xml:space="preserve">Approach: deterministic scraper, not an agent</w:t>
      </w:r>
    </w:p>
    <w:p>
      <w:pPr>
        <w:spacing w:after="120" w:before="60"/>
      </w:pPr>
      <w:r>
        <w:rPr>
          <w:rFonts w:ascii="Arial" w:cs="Arial" w:eastAsia="Arial" w:hAnsi="Arial"/>
          <w:sz w:val="22"/>
          <w:szCs w:val="22"/>
        </w:rPr>
        <w:t xml:space="preserve">Catalog scraping is a structured, repetitive task against pages with relatively stable markup. A deterministic Python scraper using BeautifulSoup (or Playwright if JavaScript-rendered content becomes a problem) is the right tool. An LLM should only be in the loop for two narrow purposes:</w:t>
      </w:r>
    </w:p>
    <w:p>
      <w:pPr>
        <w:pStyle w:val="ListParagraph"/>
        <w:numPr>
          <w:ilvl w:val="0"/>
          <w:numId w:val="3"/>
        </w:numPr>
        <w:spacing w:after="40" w:before="40"/>
      </w:pPr>
      <w:r>
        <w:rPr>
          <w:rFonts w:ascii="Arial" w:cs="Arial" w:eastAsia="Arial" w:hAnsi="Arial"/>
          <w:sz w:val="22"/>
          <w:szCs w:val="22"/>
        </w:rPr>
        <w:t xml:space="preserve">Structural drift detection — flag when the scraper's selectors return suspicious or empty results, suggesting the page template has changed.</w:t>
      </w:r>
    </w:p>
    <w:p>
      <w:pPr>
        <w:pStyle w:val="ListParagraph"/>
        <w:numPr>
          <w:ilvl w:val="0"/>
          <w:numId w:val="3"/>
        </w:numPr>
        <w:spacing w:after="40" w:before="40"/>
      </w:pPr>
      <w:r>
        <w:rPr>
          <w:rFonts w:ascii="Arial" w:cs="Arial" w:eastAsia="Arial" w:hAnsi="Arial"/>
          <w:sz w:val="22"/>
          <w:szCs w:val="22"/>
        </w:rPr>
        <w:t xml:space="preserve">Prose parsing — handle the irregular bits like "Take 1 of the following" choice groups, footnoted exceptions, and free-text caveats that resist deterministic extraction.</w:t>
      </w:r>
    </w:p>
    <w:p>
      <w:pPr>
        <w:spacing w:after="120" w:before="60"/>
      </w:pPr>
      <w:r>
        <w:rPr>
          <w:rFonts w:ascii="Arial" w:cs="Arial" w:eastAsia="Arial" w:hAnsi="Arial"/>
          <w:sz w:val="22"/>
          <w:szCs w:val="22"/>
        </w:rPr>
        <w:t xml:space="preserve">Both LLM uses should produce structured output that is reviewed by a human before changes go live. Do not let an LLM directly modify the canonical program JSON files without review — these files drive student-facing advising, and silent corruption is worse than missing data.</w:t>
      </w:r>
    </w:p>
    <w:p>
      <w:pPr>
        <w:pStyle w:val="Heading2"/>
      </w:pPr>
      <w:r>
        <w:rPr>
          <w:rFonts w:ascii="Arial" w:cs="Arial" w:eastAsia="Arial" w:hAnsi="Arial"/>
          <w:b/>
          <w:bCs/>
          <w:sz w:val="26"/>
          <w:szCs w:val="26"/>
        </w:rPr>
        <w:t xml:space="preserve">Pipeline shape</w:t>
      </w:r>
    </w:p>
    <w:p>
      <w:pPr>
        <w:pStyle w:val="ListParagraph"/>
        <w:numPr>
          <w:ilvl w:val="0"/>
          <w:numId w:val="3"/>
        </w:numPr>
        <w:spacing w:after="40" w:before="40"/>
      </w:pPr>
      <w:r>
        <w:rPr>
          <w:rFonts w:ascii="Arial" w:cs="Arial" w:eastAsia="Arial" w:hAnsi="Arial"/>
          <w:sz w:val="22"/>
          <w:szCs w:val="22"/>
        </w:rPr>
        <w:t xml:space="preserve">Crawler discovers all program-requirement pages from the catalog index.</w:t>
      </w:r>
    </w:p>
    <w:p>
      <w:pPr>
        <w:pStyle w:val="ListParagraph"/>
        <w:numPr>
          <w:ilvl w:val="0"/>
          <w:numId w:val="3"/>
        </w:numPr>
        <w:spacing w:after="40" w:before="40"/>
      </w:pPr>
      <w:r>
        <w:rPr>
          <w:rFonts w:ascii="Arial" w:cs="Arial" w:eastAsia="Arial" w:hAnsi="Arial"/>
          <w:sz w:val="22"/>
          <w:szCs w:val="22"/>
        </w:rPr>
        <w:t xml:space="preserve">Scraper extracts requirement structure into the program JSON schema.</w:t>
      </w:r>
    </w:p>
    <w:p>
      <w:pPr>
        <w:pStyle w:val="ListParagraph"/>
        <w:numPr>
          <w:ilvl w:val="0"/>
          <w:numId w:val="3"/>
        </w:numPr>
        <w:spacing w:after="40" w:before="40"/>
      </w:pPr>
      <w:r>
        <w:rPr>
          <w:rFonts w:ascii="Arial" w:cs="Arial" w:eastAsia="Arial" w:hAnsi="Arial"/>
          <w:sz w:val="22"/>
          <w:szCs w:val="22"/>
        </w:rPr>
        <w:t xml:space="preserve">Validator runs the resulting JSON against the schema and against a set of invariants (e.g., total credit hours match, every required course resolves to a real course code).</w:t>
      </w:r>
    </w:p>
    <w:p>
      <w:pPr>
        <w:pStyle w:val="ListParagraph"/>
        <w:numPr>
          <w:ilvl w:val="0"/>
          <w:numId w:val="3"/>
        </w:numPr>
        <w:spacing w:after="40" w:before="40"/>
      </w:pPr>
      <w:r>
        <w:rPr>
          <w:rFonts w:ascii="Arial" w:cs="Arial" w:eastAsia="Arial" w:hAnsi="Arial"/>
          <w:sz w:val="22"/>
          <w:szCs w:val="22"/>
        </w:rPr>
        <w:t xml:space="preserve">Diff tool compares new JSON files against the previous catalog year's files and produces a human-readable change report.</w:t>
      </w:r>
    </w:p>
    <w:p>
      <w:pPr>
        <w:pStyle w:val="ListParagraph"/>
        <w:numPr>
          <w:ilvl w:val="0"/>
          <w:numId w:val="3"/>
        </w:numPr>
        <w:spacing w:after="40" w:before="40"/>
      </w:pPr>
      <w:r>
        <w:rPr>
          <w:rFonts w:ascii="Arial" w:cs="Arial" w:eastAsia="Arial" w:hAnsi="Arial"/>
          <w:sz w:val="22"/>
          <w:szCs w:val="22"/>
        </w:rPr>
        <w:t xml:space="preserve">Human review approves the changes; approved JSON files are committed to the repo and become the new canonical source for the renderers.</w:t>
      </w:r>
    </w:p>
    <w:p>
      <w:pPr>
        <w:pStyle w:val="Heading2"/>
      </w:pPr>
      <w:r>
        <w:rPr>
          <w:rFonts w:ascii="Arial" w:cs="Arial" w:eastAsia="Arial" w:hAnsi="Arial"/>
          <w:b/>
          <w:bCs/>
          <w:sz w:val="26"/>
          <w:szCs w:val="26"/>
        </w:rPr>
        <w:t xml:space="preserve">CourseDog as a sanity check</w:t>
      </w:r>
    </w:p>
    <w:p>
      <w:pPr>
        <w:spacing w:after="120" w:before="60"/>
      </w:pPr>
      <w:r>
        <w:rPr>
          <w:rFonts w:ascii="Arial" w:cs="Arial" w:eastAsia="Arial" w:hAnsi="Arial"/>
          <w:sz w:val="22"/>
          <w:szCs w:val="22"/>
        </w:rPr>
        <w:t xml:space="preserve">While CourseDog is not authoritative for requirements, it can be queried to verify that course codes extracted from the catalog actually exist in Campus Solutions. This is a useful integrity check — if the catalog references a course that CourseDog has never heard of, that's almost certainly a catalog typo worth flagging to the registrar.</w:t>
      </w:r>
    </w:p>
    <w:p>
      <w:pPr>
        <w:pStyle w:val="Heading2"/>
      </w:pPr>
      <w:r>
        <w:rPr>
          <w:rFonts w:ascii="Arial" w:cs="Arial" w:eastAsia="Arial" w:hAnsi="Arial"/>
          <w:b/>
          <w:bCs/>
          <w:sz w:val="26"/>
          <w:szCs w:val="26"/>
        </w:rPr>
        <w:t xml:space="preserve">Cadence</w:t>
      </w:r>
    </w:p>
    <w:p>
      <w:pPr>
        <w:pStyle w:val="ListParagraph"/>
        <w:numPr>
          <w:ilvl w:val="0"/>
          <w:numId w:val="2"/>
        </w:numPr>
        <w:spacing w:after="40" w:before="40"/>
      </w:pPr>
      <w:r>
        <w:rPr>
          <w:rFonts w:ascii="Arial" w:cs="Arial" w:eastAsia="Arial" w:hAnsi="Arial"/>
          <w:sz w:val="22"/>
          <w:szCs w:val="22"/>
        </w:rPr>
        <w:t xml:space="preserve">Scheduled run: twice yearly, aligned with catalog publication (typically May/August for fall, December for spring).</w:t>
      </w:r>
    </w:p>
    <w:p>
      <w:pPr>
        <w:pStyle w:val="ListParagraph"/>
        <w:numPr>
          <w:ilvl w:val="0"/>
          <w:numId w:val="2"/>
        </w:numPr>
        <w:spacing w:after="40" w:before="40"/>
      </w:pPr>
      <w:r>
        <w:rPr>
          <w:rFonts w:ascii="Arial" w:cs="Arial" w:eastAsia="Arial" w:hAnsi="Arial"/>
          <w:sz w:val="22"/>
          <w:szCs w:val="22"/>
        </w:rPr>
        <w:t xml:space="preserve">On-demand: any time the registrar publishes a mid-cycle correction.</w:t>
      </w:r>
    </w:p>
    <w:p>
      <w:pPr>
        <w:pStyle w:val="ListParagraph"/>
        <w:numPr>
          <w:ilvl w:val="0"/>
          <w:numId w:val="2"/>
        </w:numPr>
        <w:spacing w:after="40" w:before="40"/>
      </w:pPr>
      <w:r>
        <w:rPr>
          <w:rFonts w:ascii="Arial" w:cs="Arial" w:eastAsia="Arial" w:hAnsi="Arial"/>
          <w:sz w:val="22"/>
          <w:szCs w:val="22"/>
        </w:rPr>
        <w:t xml:space="preserve">Output of every run: a diff report, even if no changes are detected, for audit purposes.</w:t>
      </w:r>
    </w:p>
    <w:p>
      <w:pPr>
        <w:pStyle w:val="Heading1"/>
      </w:pPr>
      <w:r>
        <w:rPr>
          <w:rFonts w:ascii="Arial" w:cs="Arial" w:eastAsia="Arial" w:hAnsi="Arial"/>
          <w:b/>
          <w:bCs/>
          <w:sz w:val="32"/>
          <w:szCs w:val="32"/>
        </w:rPr>
        <w:t xml:space="preserve">Phase 4 — Per-Community-College Articulated Worksheets (Stretch)</w:t>
      </w:r>
    </w:p>
    <w:p>
      <w:pPr>
        <w:spacing w:after="120" w:before="60"/>
      </w:pPr>
      <w:r>
        <w:rPr>
          <w:rFonts w:ascii="Arial" w:cs="Arial" w:eastAsia="Arial" w:hAnsi="Arial"/>
          <w:sz w:val="22"/>
          <w:szCs w:val="22"/>
        </w:rPr>
        <w:t xml:space="preserve">Once the foundation is proven, the system can be extended to produce community-college-specific worksheets for each of Illinois' 48 community colleges. Each worksheet is pre-populated with the exact courses at that CC that articulate to ISU requirements, allowing a transfer student to see at a glance which of their completed or in-progress CC courses fulfill which ISU slots.</w:t>
      </w:r>
    </w:p>
    <w:p>
      <w:pPr>
        <w:pStyle w:val="Heading2"/>
      </w:pPr>
      <w:r>
        <w:rPr>
          <w:rFonts w:ascii="Arial" w:cs="Arial" w:eastAsia="Arial" w:hAnsi="Arial"/>
          <w:b/>
          <w:bCs/>
          <w:sz w:val="26"/>
          <w:szCs w:val="26"/>
        </w:rPr>
        <w:t xml:space="preserve">Why this is now tractable</w:t>
      </w:r>
    </w:p>
    <w:p>
      <w:pPr>
        <w:spacing w:after="120" w:before="60"/>
      </w:pPr>
      <w:r>
        <w:rPr>
          <w:rFonts w:ascii="Arial" w:cs="Arial" w:eastAsia="Arial" w:hAnsi="Arial"/>
          <w:sz w:val="22"/>
          <w:szCs w:val="22"/>
        </w:rPr>
        <w:t xml:space="preserve">The naive math suggests roughly 100 programs × 48 colleges = 4,800 worksheets, which appears unmanageable. But the system does not author 4,800 worksheets — it authors two normalized datasets (programs and articulation tables) and renders their intersection on demand. The work is in the data, not the artifacts.</w:t>
      </w:r>
    </w:p>
    <w:p>
      <w:pPr>
        <w:pStyle w:val="Heading2"/>
      </w:pPr>
      <w:r>
        <w:rPr>
          <w:rFonts w:ascii="Arial" w:cs="Arial" w:eastAsia="Arial" w:hAnsi="Arial"/>
          <w:b/>
          <w:bCs/>
          <w:sz w:val="26"/>
          <w:szCs w:val="26"/>
        </w:rPr>
        <w:t xml:space="preserve">New data source: articulation tables</w:t>
      </w:r>
    </w:p>
    <w:p>
      <w:pPr>
        <w:spacing w:after="120" w:before="60"/>
      </w:pPr>
      <w:r>
        <w:rPr>
          <w:rFonts w:ascii="Arial" w:cs="Arial" w:eastAsia="Arial" w:hAnsi="Arial"/>
          <w:sz w:val="22"/>
          <w:szCs w:val="22"/>
        </w:rPr>
        <w:t xml:space="preserve">The registrar maintains transfer credit equivalency tables that map specific CC courses to their ISU equivalents. The shape of the articulation JSON is approximately:</w:t>
      </w:r>
    </w:p>
    <w:p>
      <w:pPr>
        <w:pStyle w:val="ListParagraph"/>
        <w:numPr>
          <w:ilvl w:val="0"/>
          <w:numId w:val="2"/>
        </w:numPr>
        <w:spacing w:after="40" w:before="40"/>
      </w:pPr>
      <w:r>
        <w:rPr>
          <w:rFonts w:ascii="Arial" w:cs="Arial" w:eastAsia="Arial" w:hAnsi="Arial"/>
          <w:sz w:val="22"/>
          <w:szCs w:val="22"/>
        </w:rPr>
        <w:t xml:space="preserve">CC identifier (institution name and IPEDS or internal ID).</w:t>
      </w:r>
    </w:p>
    <w:p>
      <w:pPr>
        <w:pStyle w:val="ListParagraph"/>
        <w:numPr>
          <w:ilvl w:val="0"/>
          <w:numId w:val="2"/>
        </w:numPr>
        <w:spacing w:after="40" w:before="40"/>
      </w:pPr>
      <w:r>
        <w:rPr>
          <w:rFonts w:ascii="Arial" w:cs="Arial" w:eastAsia="Arial" w:hAnsi="Arial"/>
          <w:sz w:val="22"/>
          <w:szCs w:val="22"/>
        </w:rPr>
        <w:t xml:space="preserve">CC course code and title.</w:t>
      </w:r>
    </w:p>
    <w:p>
      <w:pPr>
        <w:pStyle w:val="ListParagraph"/>
        <w:numPr>
          <w:ilvl w:val="0"/>
          <w:numId w:val="2"/>
        </w:numPr>
        <w:spacing w:after="40" w:before="40"/>
      </w:pPr>
      <w:r>
        <w:rPr>
          <w:rFonts w:ascii="Arial" w:cs="Arial" w:eastAsia="Arial" w:hAnsi="Arial"/>
          <w:sz w:val="22"/>
          <w:szCs w:val="22"/>
        </w:rPr>
        <w:t xml:space="preserve">ISU equivalent course code (or "general elective" / "departmental review required").</w:t>
      </w:r>
    </w:p>
    <w:p>
      <w:pPr>
        <w:pStyle w:val="ListParagraph"/>
        <w:numPr>
          <w:ilvl w:val="0"/>
          <w:numId w:val="2"/>
        </w:numPr>
        <w:spacing w:after="40" w:before="40"/>
      </w:pPr>
      <w:r>
        <w:rPr>
          <w:rFonts w:ascii="Arial" w:cs="Arial" w:eastAsia="Arial" w:hAnsi="Arial"/>
          <w:sz w:val="22"/>
          <w:szCs w:val="22"/>
        </w:rPr>
        <w:t xml:space="preserve">List of ISU requirement slot identifiers this course fulfills, referencing the slot IDs defined in the program schema.</w:t>
      </w:r>
    </w:p>
    <w:p>
      <w:pPr>
        <w:pStyle w:val="ListParagraph"/>
        <w:numPr>
          <w:ilvl w:val="0"/>
          <w:numId w:val="2"/>
        </w:numPr>
        <w:spacing w:after="40" w:before="40"/>
      </w:pPr>
      <w:r>
        <w:rPr>
          <w:rFonts w:ascii="Arial" w:cs="Arial" w:eastAsia="Arial" w:hAnsi="Arial"/>
          <w:sz w:val="22"/>
          <w:szCs w:val="22"/>
        </w:rPr>
        <w:t xml:space="preserve">Effective date and expiration date (transfer equivalencies change over time).</w:t>
      </w:r>
    </w:p>
    <w:p>
      <w:pPr>
        <w:pStyle w:val="ListParagraph"/>
        <w:numPr>
          <w:ilvl w:val="0"/>
          <w:numId w:val="2"/>
        </w:numPr>
        <w:spacing w:after="40" w:before="40"/>
      </w:pPr>
      <w:r>
        <w:rPr>
          <w:rFonts w:ascii="Arial" w:cs="Arial" w:eastAsia="Arial" w:hAnsi="Arial"/>
          <w:sz w:val="22"/>
          <w:szCs w:val="22"/>
        </w:rPr>
        <w:t xml:space="preserve">Footnotes or conditional logic (e.g., "counts only if combined with [other course]").</w:t>
      </w:r>
    </w:p>
    <w:p>
      <w:pPr>
        <w:pStyle w:val="Heading2"/>
      </w:pPr>
      <w:r>
        <w:rPr>
          <w:rFonts w:ascii="Arial" w:cs="Arial" w:eastAsia="Arial" w:hAnsi="Arial"/>
          <w:b/>
          <w:bCs/>
          <w:sz w:val="26"/>
          <w:szCs w:val="26"/>
        </w:rPr>
        <w:t xml:space="preserve">Required scoping conversation</w:t>
      </w:r>
    </w:p>
    <w:p>
      <w:pPr>
        <w:spacing w:after="120" w:before="60"/>
      </w:pPr>
      <w:r>
        <w:rPr>
          <w:rFonts w:ascii="Arial" w:cs="Arial" w:eastAsia="Arial" w:hAnsi="Arial"/>
          <w:sz w:val="22"/>
          <w:szCs w:val="22"/>
        </w:rPr>
        <w:t xml:space="preserve">Before committing to Phase 4, the project owner must have a conversation with whoever maintains the transfer equivalency tables to understand:</w:t>
      </w:r>
    </w:p>
    <w:p>
      <w:pPr>
        <w:pStyle w:val="ListParagraph"/>
        <w:numPr>
          <w:ilvl w:val="0"/>
          <w:numId w:val="2"/>
        </w:numPr>
        <w:spacing w:after="40" w:before="40"/>
      </w:pPr>
      <w:r>
        <w:rPr>
          <w:rFonts w:ascii="Arial" w:cs="Arial" w:eastAsia="Arial" w:hAnsi="Arial"/>
          <w:sz w:val="22"/>
          <w:szCs w:val="22"/>
        </w:rPr>
        <w:t xml:space="preserve">What format does this data exist in today (spreadsheet, database table, CMS export)?</w:t>
      </w:r>
    </w:p>
    <w:p>
      <w:pPr>
        <w:pStyle w:val="ListParagraph"/>
        <w:numPr>
          <w:ilvl w:val="0"/>
          <w:numId w:val="2"/>
        </w:numPr>
        <w:spacing w:after="40" w:before="40"/>
      </w:pPr>
      <w:r>
        <w:rPr>
          <w:rFonts w:ascii="Arial" w:cs="Arial" w:eastAsia="Arial" w:hAnsi="Arial"/>
          <w:sz w:val="22"/>
          <w:szCs w:val="22"/>
        </w:rPr>
        <w:t xml:space="preserve">How frequently does it update, and through what process?</w:t>
      </w:r>
    </w:p>
    <w:p>
      <w:pPr>
        <w:pStyle w:val="ListParagraph"/>
        <w:numPr>
          <w:ilvl w:val="0"/>
          <w:numId w:val="2"/>
        </w:numPr>
        <w:spacing w:after="40" w:before="40"/>
      </w:pPr>
      <w:r>
        <w:rPr>
          <w:rFonts w:ascii="Arial" w:cs="Arial" w:eastAsia="Arial" w:hAnsi="Arial"/>
          <w:sz w:val="22"/>
          <w:szCs w:val="22"/>
        </w:rPr>
        <w:t xml:space="preserve">How are footnotes, conditional rules, and "departmental review required" cases represented?</w:t>
      </w:r>
    </w:p>
    <w:p>
      <w:pPr>
        <w:pStyle w:val="ListParagraph"/>
        <w:numPr>
          <w:ilvl w:val="0"/>
          <w:numId w:val="2"/>
        </w:numPr>
        <w:spacing w:after="40" w:before="40"/>
      </w:pPr>
      <w:r>
        <w:rPr>
          <w:rFonts w:ascii="Arial" w:cs="Arial" w:eastAsia="Arial" w:hAnsi="Arial"/>
          <w:sz w:val="22"/>
          <w:szCs w:val="22"/>
        </w:rPr>
        <w:t xml:space="preserve">Is there a feed or export mechanism, or does this need to be a periodic manual extract?</w:t>
      </w:r>
    </w:p>
    <w:p>
      <w:pPr>
        <w:pStyle w:val="Heading2"/>
      </w:pPr>
      <w:r>
        <w:rPr>
          <w:rFonts w:ascii="Arial" w:cs="Arial" w:eastAsia="Arial" w:hAnsi="Arial"/>
          <w:b/>
          <w:bCs/>
          <w:sz w:val="26"/>
          <w:szCs w:val="26"/>
        </w:rPr>
        <w:t xml:space="preserve">Pilot-then-scale strategy</w:t>
      </w:r>
    </w:p>
    <w:p>
      <w:pPr>
        <w:spacing w:after="120" w:before="60"/>
      </w:pPr>
      <w:r>
        <w:rPr>
          <w:rFonts w:ascii="Arial" w:cs="Arial" w:eastAsia="Arial" w:hAnsi="Arial"/>
          <w:sz w:val="22"/>
          <w:szCs w:val="22"/>
        </w:rPr>
        <w:t xml:space="preserve">Rather than scoping all 48 × all programs upfront, build the architecture for the full scope but pilot with a deliberately small slice. Suggested pilot:</w:t>
      </w:r>
    </w:p>
    <w:p>
      <w:pPr>
        <w:pStyle w:val="ListParagraph"/>
        <w:numPr>
          <w:ilvl w:val="0"/>
          <w:numId w:val="2"/>
        </w:numPr>
        <w:spacing w:after="40" w:before="40"/>
      </w:pPr>
      <w:r>
        <w:rPr>
          <w:rFonts w:ascii="Arial" w:cs="Arial" w:eastAsia="Arial" w:hAnsi="Arial"/>
          <w:sz w:val="22"/>
          <w:szCs w:val="22"/>
        </w:rPr>
        <w:t xml:space="preserve">Three CCs that send the highest volume of transfers to ISU. Likely candidates include Heartland Community College (proximity), College of DuPage, and Parkland College — but the actual pick should come from the registrar's transfer-volume data.</w:t>
      </w:r>
    </w:p>
    <w:p>
      <w:pPr>
        <w:pStyle w:val="ListParagraph"/>
        <w:numPr>
          <w:ilvl w:val="0"/>
          <w:numId w:val="2"/>
        </w:numPr>
        <w:spacing w:after="40" w:before="40"/>
      </w:pPr>
      <w:r>
        <w:rPr>
          <w:rFonts w:ascii="Arial" w:cs="Arial" w:eastAsia="Arial" w:hAnsi="Arial"/>
          <w:sz w:val="22"/>
          <w:szCs w:val="22"/>
        </w:rPr>
        <w:t xml:space="preserve">Three high-volume transfer programs. Likely candidates: Business (or Accounting), Nursing, Education.</w:t>
      </w:r>
    </w:p>
    <w:p>
      <w:pPr>
        <w:pStyle w:val="ListParagraph"/>
        <w:numPr>
          <w:ilvl w:val="0"/>
          <w:numId w:val="2"/>
        </w:numPr>
        <w:spacing w:after="40" w:before="40"/>
      </w:pPr>
      <w:r>
        <w:rPr>
          <w:rFonts w:ascii="Arial" w:cs="Arial" w:eastAsia="Arial" w:hAnsi="Arial"/>
          <w:sz w:val="22"/>
          <w:szCs w:val="22"/>
        </w:rPr>
        <w:t xml:space="preserve">Total pilot scope: nine CC-specific worksheets in each of two output formats (HTML + PDF).</w:t>
      </w:r>
    </w:p>
    <w:p>
      <w:pPr>
        <w:spacing w:after="120" w:before="60"/>
      </w:pPr>
      <w:r>
        <w:rPr>
          <w:rFonts w:ascii="Arial" w:cs="Arial" w:eastAsia="Arial" w:hAnsi="Arial"/>
          <w:sz w:val="22"/>
          <w:szCs w:val="22"/>
        </w:rPr>
        <w:t xml:space="preserve">If the architecture handles those nine cleanly, it scales to all 4,800. The pilot also surfaces articulation-data edge cases on a manageable scale before they multiply.</w:t>
      </w:r>
    </w:p>
    <w:p>
      <w:pPr>
        <w:pStyle w:val="Heading2"/>
      </w:pPr>
      <w:r>
        <w:rPr>
          <w:rFonts w:ascii="Arial" w:cs="Arial" w:eastAsia="Arial" w:hAnsi="Arial"/>
          <w:b/>
          <w:bCs/>
          <w:sz w:val="26"/>
          <w:szCs w:val="26"/>
        </w:rPr>
        <w:t xml:space="preserve">Distribution implications</w:t>
      </w:r>
    </w:p>
    <w:p>
      <w:pPr>
        <w:spacing w:after="120" w:before="60"/>
      </w:pPr>
      <w:r>
        <w:rPr>
          <w:rFonts w:ascii="Arial" w:cs="Arial" w:eastAsia="Arial" w:hAnsi="Arial"/>
          <w:sz w:val="22"/>
          <w:szCs w:val="22"/>
        </w:rPr>
        <w:t xml:space="preserve">CC-specific worksheets are a stronger institutional artifact than generic ones — "the Heartland-to-ISU Accounting plan" is more compelling than "the ISU Accounting plan." That specificity tends to attract institutional attention as a transfer-recruitment asset, an IBHE reporting artifact, or an enrollment-marketing tool. This may help reframe distribution conversations: it's harder to characterize as territorial encroachment when the artifact is clearly a registrar-driven advising tool tied to a specific transfer partnership.</w:t>
      </w:r>
    </w:p>
    <w:p>
      <w:pPr>
        <w:pStyle w:val="Heading1"/>
      </w:pPr>
      <w:r>
        <w:rPr>
          <w:rFonts w:ascii="Arial" w:cs="Arial" w:eastAsia="Arial" w:hAnsi="Arial"/>
          <w:b/>
          <w:bCs/>
          <w:sz w:val="32"/>
          <w:szCs w:val="32"/>
        </w:rPr>
        <w:t xml:space="preserve">Open Questions</w:t>
      </w:r>
    </w:p>
    <w:p>
      <w:pPr>
        <w:pStyle w:val="ListParagraph"/>
        <w:numPr>
          <w:ilvl w:val="0"/>
          <w:numId w:val="2"/>
        </w:numPr>
        <w:spacing w:after="40" w:before="40"/>
      </w:pPr>
      <w:r>
        <w:rPr>
          <w:rFonts w:ascii="Arial" w:cs="Arial" w:eastAsia="Arial" w:hAnsi="Arial"/>
          <w:sz w:val="22"/>
          <w:szCs w:val="22"/>
        </w:rPr>
        <w:t xml:space="preserve">Where does the rendered HTML worksheet live? Internal CIPD or advising-staff page, Canvas, or distributed as a download? This determines whether persistence and analytics are needed.</w:t>
      </w:r>
    </w:p>
    <w:p>
      <w:pPr>
        <w:pStyle w:val="ListParagraph"/>
        <w:numPr>
          <w:ilvl w:val="0"/>
          <w:numId w:val="2"/>
        </w:numPr>
        <w:spacing w:after="40" w:before="40"/>
      </w:pPr>
      <w:r>
        <w:rPr>
          <w:rFonts w:ascii="Arial" w:cs="Arial" w:eastAsia="Arial" w:hAnsi="Arial"/>
          <w:sz w:val="22"/>
          <w:szCs w:val="22"/>
        </w:rPr>
        <w:t xml:space="preserve">Where are the PDFs distributed? Email attachment, SharePoint, Canvas module, or printed and handed out? Each has different file-naming and version-control implications.</w:t>
      </w:r>
    </w:p>
    <w:p>
      <w:pPr>
        <w:pStyle w:val="ListParagraph"/>
        <w:numPr>
          <w:ilvl w:val="0"/>
          <w:numId w:val="2"/>
        </w:numPr>
        <w:spacing w:after="40" w:before="40"/>
      </w:pPr>
      <w:r>
        <w:rPr>
          <w:rFonts w:ascii="Arial" w:cs="Arial" w:eastAsia="Arial" w:hAnsi="Arial"/>
          <w:sz w:val="22"/>
          <w:szCs w:val="22"/>
        </w:rPr>
        <w:t xml:space="preserve">Who owns the canonical program JSON files between catalog cycles? CIPD, the Registrar, or college-level advising offices? This affects whether the pipeline produces pull requests or commits directly.</w:t>
      </w:r>
    </w:p>
    <w:p>
      <w:pPr>
        <w:pStyle w:val="ListParagraph"/>
        <w:numPr>
          <w:ilvl w:val="0"/>
          <w:numId w:val="2"/>
        </w:numPr>
        <w:spacing w:after="40" w:before="40"/>
      </w:pPr>
      <w:r>
        <w:rPr>
          <w:rFonts w:ascii="Arial" w:cs="Arial" w:eastAsia="Arial" w:hAnsi="Arial"/>
          <w:sz w:val="22"/>
          <w:szCs w:val="22"/>
        </w:rPr>
        <w:t xml:space="preserve">How are catalog-year transitions handled for students mid-degree? A student admitted under the 2024–2025 catalog may be entitled to those requirements even after the 2026–2027 catalog supersedes them. The schema should support multiple active catalog years simultaneously.</w:t>
      </w:r>
    </w:p>
    <w:p>
      <w:pPr>
        <w:pStyle w:val="ListParagraph"/>
        <w:numPr>
          <w:ilvl w:val="0"/>
          <w:numId w:val="2"/>
        </w:numPr>
        <w:spacing w:after="40" w:before="40"/>
      </w:pPr>
      <w:r>
        <w:rPr>
          <w:rFonts w:ascii="Arial" w:cs="Arial" w:eastAsia="Arial" w:hAnsi="Arial"/>
          <w:sz w:val="22"/>
          <w:szCs w:val="22"/>
        </w:rPr>
        <w:t xml:space="preserve">Are there programs with requirement structures the schema cannot express? Performance majors with audition requirements, BSN clinical sequences, and BS in Ed. licensure requirements may all need accommodations.</w:t>
      </w:r>
    </w:p>
    <w:p>
      <w:pPr>
        <w:pStyle w:val="ListParagraph"/>
        <w:numPr>
          <w:ilvl w:val="0"/>
          <w:numId w:val="2"/>
        </w:numPr>
        <w:spacing w:after="40" w:before="40"/>
      </w:pPr>
      <w:r>
        <w:rPr>
          <w:rFonts w:ascii="Arial" w:cs="Arial" w:eastAsia="Arial" w:hAnsi="Arial"/>
          <w:sz w:val="22"/>
          <w:szCs w:val="22"/>
        </w:rPr>
        <w:t xml:space="preserve">For Phase 4: who at the registrar's office is the data steward for transfer equivalencies, and what is their availability to support the pilot?</w:t>
      </w:r>
    </w:p>
    <w:p>
      <w:pPr>
        <w:pStyle w:val="ListParagraph"/>
        <w:numPr>
          <w:ilvl w:val="0"/>
          <w:numId w:val="2"/>
        </w:numPr>
        <w:spacing w:after="40" w:before="40"/>
      </w:pPr>
      <w:r>
        <w:rPr>
          <w:rFonts w:ascii="Arial" w:cs="Arial" w:eastAsia="Arial" w:hAnsi="Arial"/>
          <w:sz w:val="22"/>
          <w:szCs w:val="22"/>
        </w:rPr>
        <w:t xml:space="preserve">For Phase 4: how should expired or recently-changed equivalencies be displayed to a student who took the course before the change?</w:t>
      </w:r>
    </w:p>
    <w:p>
      <w:pPr>
        <w:pStyle w:val="Heading1"/>
      </w:pPr>
      <w:r>
        <w:rPr>
          <w:rFonts w:ascii="Arial" w:cs="Arial" w:eastAsia="Arial" w:hAnsi="Arial"/>
          <w:b/>
          <w:bCs/>
          <w:sz w:val="32"/>
          <w:szCs w:val="32"/>
        </w:rPr>
        <w:t xml:space="preserve">Success Criteria</w:t>
      </w:r>
    </w:p>
    <w:p>
      <w:pPr>
        <w:pStyle w:val="ListParagraph"/>
        <w:numPr>
          <w:ilvl w:val="0"/>
          <w:numId w:val="2"/>
        </w:numPr>
        <w:spacing w:after="40" w:before="40"/>
      </w:pPr>
      <w:r>
        <w:rPr>
          <w:rFonts w:ascii="Arial" w:cs="Arial" w:eastAsia="Arial" w:hAnsi="Arial"/>
          <w:sz w:val="22"/>
          <w:szCs w:val="22"/>
        </w:rPr>
        <w:t xml:space="preserve">Phase 1: a single JSON Schema cleanly expresses three structurally different programs.</w:t>
      </w:r>
    </w:p>
    <w:p>
      <w:pPr>
        <w:pStyle w:val="ListParagraph"/>
        <w:numPr>
          <w:ilvl w:val="0"/>
          <w:numId w:val="2"/>
        </w:numPr>
        <w:spacing w:after="40" w:before="40"/>
      </w:pPr>
      <w:r>
        <w:rPr>
          <w:rFonts w:ascii="Arial" w:cs="Arial" w:eastAsia="Arial" w:hAnsi="Arial"/>
          <w:sz w:val="22"/>
          <w:szCs w:val="22"/>
        </w:rPr>
        <w:t xml:space="preserve">Phase 2a: the HTML renderer produces a usable interactive worksheet for at least five undergraduate programs from JSON alone.</w:t>
      </w:r>
    </w:p>
    <w:p>
      <w:pPr>
        <w:pStyle w:val="ListParagraph"/>
        <w:numPr>
          <w:ilvl w:val="0"/>
          <w:numId w:val="2"/>
        </w:numPr>
        <w:spacing w:after="40" w:before="40"/>
      </w:pPr>
      <w:r>
        <w:rPr>
          <w:rFonts w:ascii="Arial" w:cs="Arial" w:eastAsia="Arial" w:hAnsi="Arial"/>
          <w:sz w:val="22"/>
          <w:szCs w:val="22"/>
        </w:rPr>
        <w:t xml:space="preserve">Phase 2b: the PDF renderer produces fillable PDFs for the same five programs, in all three gen-ed track variants each.</w:t>
      </w:r>
    </w:p>
    <w:p>
      <w:pPr>
        <w:pStyle w:val="ListParagraph"/>
        <w:numPr>
          <w:ilvl w:val="0"/>
          <w:numId w:val="2"/>
        </w:numPr>
        <w:spacing w:after="40" w:before="40"/>
      </w:pPr>
      <w:r>
        <w:rPr>
          <w:rFonts w:ascii="Arial" w:cs="Arial" w:eastAsia="Arial" w:hAnsi="Arial"/>
          <w:sz w:val="22"/>
          <w:szCs w:val="22"/>
        </w:rPr>
        <w:t xml:space="preserve">Phase 3: a biannual scraper run produces validated JSON for the full undergraduate catalog with a human-reviewable diff.</w:t>
      </w:r>
    </w:p>
    <w:p>
      <w:pPr>
        <w:pStyle w:val="ListParagraph"/>
        <w:numPr>
          <w:ilvl w:val="0"/>
          <w:numId w:val="2"/>
        </w:numPr>
        <w:spacing w:after="40" w:before="40"/>
      </w:pPr>
      <w:r>
        <w:rPr>
          <w:rFonts w:ascii="Arial" w:cs="Arial" w:eastAsia="Arial" w:hAnsi="Arial"/>
          <w:sz w:val="22"/>
          <w:szCs w:val="22"/>
        </w:rPr>
        <w:t xml:space="preserve">Phase 4 (stretch): the pilot produces nine CC-specific worksheets across three CCs and three programs, in both formats.</w:t>
      </w:r>
    </w:p>
    <w:p>
      <w:pPr>
        <w:pStyle w:val="ListParagraph"/>
        <w:numPr>
          <w:ilvl w:val="0"/>
          <w:numId w:val="2"/>
        </w:numPr>
        <w:spacing w:after="40" w:before="40"/>
      </w:pPr>
      <w:r>
        <w:rPr>
          <w:rFonts w:ascii="Arial" w:cs="Arial" w:eastAsia="Arial" w:hAnsi="Arial"/>
          <w:sz w:val="22"/>
          <w:szCs w:val="22"/>
        </w:rPr>
        <w:t xml:space="preserve">Operational: an advising appointment can be conducted from the worksheet end to end, including printing or filling a copy for the student's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E1126"/>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2026-05-07T18:37:25.960Z</dcterms:created>
  <dcterms:modified xsi:type="dcterms:W3CDTF">2026-05-07T18:37:25.961Z</dcterms:modified>
</cp:coreProperties>
</file>

<file path=docProps/custom.xml><?xml version="1.0" encoding="utf-8"?>
<Properties xmlns="http://schemas.openxmlformats.org/officeDocument/2006/custom-properties" xmlns:vt="http://schemas.openxmlformats.org/officeDocument/2006/docPropsVTypes"/>
</file>