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4"/>
          <w:szCs w:val="34"/>
        </w:rPr>
        <w:t xml:space="preserve">LSH Intern Time-Off Requests</w:t>
      </w:r>
    </w:p>
    <w:p>
      <w:pPr>
        <w:pBdr>
          <w:bottom w:val="single" w:color="1F3864" w:sz="8" w:space="6"/>
        </w:pBdr>
        <w:spacing w:after="200"/>
      </w:pPr>
      <w:r>
        <w:rPr>
          <w:rFonts w:ascii="Calibri" w:cs="Calibri" w:eastAsia="Calibri" w:hAnsi="Calibri"/>
          <w:color w:val="595959"/>
          <w:sz w:val="22"/>
          <w:szCs w:val="22"/>
        </w:rPr>
        <w:t xml:space="preserve">September 2026 – June 2027</w:t>
      </w:r>
    </w:p>
    <w:p>
      <w:pPr>
        <w:spacing w:after="200" w:before="0"/>
      </w:pPr>
      <w:r>
        <w:rPr>
          <w:rFonts w:ascii="Calibri" w:cs="Calibri" w:eastAsia="Calibri" w:hAnsi="Calibri"/>
          <w:i/>
          <w:iCs/>
          <w:color w:val="595959"/>
          <w:sz w:val="20"/>
          <w:szCs w:val="20"/>
        </w:rPr>
        <w:t xml:space="preserve">Reasons are deliberately not recorded. Each request carries only what is needed to schedule it: how fixed the date is, and what partial accommodation works.</w:t>
      </w:r>
    </w:p>
    <w:p>
      <w:pPr>
        <w:spacing w:after="60" w:before="0"/>
      </w:pPr>
      <w:r>
        <w:rPr>
          <w:rFonts w:ascii="Calibri" w:cs="Calibri" w:eastAsia="Calibri" w:hAnsi="Calibri"/>
          <w:b/>
          <w:bCs/>
          <w:color w:val="1F3864"/>
          <w:sz w:val="20"/>
          <w:szCs w:val="20"/>
        </w:rPr>
        <w:t xml:space="preserve">Hard</w:t>
      </w:r>
      <w:r>
        <w:rPr>
          <w:rFonts w:ascii="Calibri" w:cs="Calibri" w:eastAsia="Calibri" w:hAnsi="Calibri"/>
          <w:sz w:val="20"/>
          <w:szCs w:val="20"/>
        </w:rPr>
        <w:t xml:space="preserve"> — fixed external commitment, cannot be moved.</w:t>
      </w:r>
    </w:p>
    <w:p>
      <w:pPr>
        <w:spacing w:after="60" w:before="0"/>
      </w:pPr>
      <w:r>
        <w:rPr>
          <w:rFonts w:ascii="Calibri" w:cs="Calibri" w:eastAsia="Calibri" w:hAnsi="Calibri"/>
          <w:b/>
          <w:bCs/>
          <w:color w:val="1F3864"/>
          <w:sz w:val="20"/>
          <w:szCs w:val="20"/>
        </w:rPr>
        <w:t xml:space="preserve">Soft</w:t>
      </w:r>
      <w:r>
        <w:rPr>
          <w:rFonts w:ascii="Calibri" w:cs="Calibri" w:eastAsia="Calibri" w:hAnsi="Calibri"/>
          <w:sz w:val="20"/>
          <w:szCs w:val="20"/>
        </w:rPr>
        <w:t xml:space="preserve"> — requested; accommodate where the rotation allows.</w:t>
      </w:r>
    </w:p>
    <w:p>
      <w:pPr>
        <w:spacing w:after="240" w:before="0"/>
      </w:pPr>
      <w:r>
        <w:rPr>
          <w:rFonts w:ascii="Calibri" w:cs="Calibri" w:eastAsia="Calibri" w:hAnsi="Calibri"/>
          <w:b/>
          <w:bCs/>
          <w:color w:val="1F3864"/>
          <w:sz w:val="20"/>
          <w:szCs w:val="20"/>
        </w:rPr>
        <w:t xml:space="preserve">Preference</w:t>
      </w:r>
      <w:r>
        <w:rPr>
          <w:rFonts w:ascii="Calibri" w:cs="Calibri" w:eastAsia="Calibri" w:hAnsi="Calibri"/>
          <w:sz w:val="20"/>
          <w:szCs w:val="20"/>
        </w:rPr>
        <w:t xml:space="preserve"> — general scheduling preference, no specific date.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50"/>
        <w:gridCol w:w="1450"/>
        <w:gridCol w:w="1100"/>
        <w:gridCol w:w="3560"/>
        <w:gridCol w:w="1800"/>
      </w:tblGrid>
      <w:tr>
        <w:trPr>
          <w:tblHeader/>
        </w:trPr>
        <w:tc>
          <w:tcPr>
            <w:tcW w:type="dxa" w:w="1450"/>
            <w:tcBorders>
              <w:top w:val="single" w:color="BFBFBF" w:sz="4"/>
              <w:left w:val="single" w:color="BFBFBF" w:sz="4"/>
              <w:bottom w:val="single" w:color="BFBFBF" w:sz="4"/>
              <w:right w:val="single" w:color="BFBFBF" w:sz="4"/>
            </w:tcBorders>
            <w:shd w:fill="1F3864" w:color="auto" w:val="clear"/>
            <w:tcMar>
              <w:top w:type="dxa" w:w="110"/>
              <w:left w:type="dxa" w:w="130"/>
              <w:bottom w:type="dxa" w:w="110"/>
              <w:right w:type="dxa" w:w="130"/>
            </w:tcMar>
          </w:tcPr>
          <w:p>
            <w:pPr>
              <w:spacing w:after="0" w:before="0"/>
            </w:pPr>
            <w:r>
              <w:rPr>
                <w:rFonts w:ascii="Calibri" w:cs="Calibri" w:eastAsia="Calibri" w:hAnsi="Calibri"/>
                <w:b/>
                <w:bCs/>
                <w:color w:val="FFFFFF"/>
                <w:sz w:val="19"/>
                <w:szCs w:val="19"/>
              </w:rPr>
              <w:t xml:space="preserve">Intern</w:t>
            </w:r>
          </w:p>
        </w:tc>
        <w:tc>
          <w:tcPr>
            <w:tcW w:type="dxa" w:w="1450"/>
            <w:tcBorders>
              <w:top w:val="single" w:color="BFBFBF" w:sz="4"/>
              <w:left w:val="single" w:color="BFBFBF" w:sz="4"/>
              <w:bottom w:val="single" w:color="BFBFBF" w:sz="4"/>
              <w:right w:val="single" w:color="BFBFBF" w:sz="4"/>
            </w:tcBorders>
            <w:shd w:fill="1F3864" w:color="auto" w:val="clear"/>
            <w:tcMar>
              <w:top w:type="dxa" w:w="110"/>
              <w:left w:type="dxa" w:w="130"/>
              <w:bottom w:type="dxa" w:w="110"/>
              <w:right w:type="dxa" w:w="130"/>
            </w:tcMar>
          </w:tcPr>
          <w:p>
            <w:pPr>
              <w:spacing w:after="0" w:before="0"/>
            </w:pPr>
            <w:r>
              <w:rPr>
                <w:rFonts w:ascii="Calibri" w:cs="Calibri" w:eastAsia="Calibri" w:hAnsi="Calibri"/>
                <w:b/>
                <w:bCs/>
                <w:color w:val="FFFFFF"/>
                <w:sz w:val="19"/>
                <w:szCs w:val="19"/>
              </w:rPr>
              <w:t xml:space="preserve">Dates</w:t>
            </w:r>
          </w:p>
        </w:tc>
        <w:tc>
          <w:tcPr>
            <w:tcW w:type="dxa" w:w="1100"/>
            <w:tcBorders>
              <w:top w:val="single" w:color="BFBFBF" w:sz="4"/>
              <w:left w:val="single" w:color="BFBFBF" w:sz="4"/>
              <w:bottom w:val="single" w:color="BFBFBF" w:sz="4"/>
              <w:right w:val="single" w:color="BFBFBF" w:sz="4"/>
            </w:tcBorders>
            <w:shd w:fill="1F3864" w:color="auto" w:val="clear"/>
            <w:tcMar>
              <w:top w:type="dxa" w:w="110"/>
              <w:left w:type="dxa" w:w="130"/>
              <w:bottom w:type="dxa" w:w="110"/>
              <w:right w:type="dxa" w:w="130"/>
            </w:tcMar>
          </w:tcPr>
          <w:p>
            <w:pPr>
              <w:spacing w:after="0" w:before="0"/>
            </w:pPr>
            <w:r>
              <w:rPr>
                <w:rFonts w:ascii="Calibri" w:cs="Calibri" w:eastAsia="Calibri" w:hAnsi="Calibri"/>
                <w:b/>
                <w:bCs/>
                <w:color w:val="FFFFFF"/>
                <w:sz w:val="19"/>
                <w:szCs w:val="19"/>
              </w:rPr>
              <w:t xml:space="preserve">Tier</w:t>
            </w:r>
          </w:p>
        </w:tc>
        <w:tc>
          <w:tcPr>
            <w:tcW w:type="dxa" w:w="3560"/>
            <w:tcBorders>
              <w:top w:val="single" w:color="BFBFBF" w:sz="4"/>
              <w:left w:val="single" w:color="BFBFBF" w:sz="4"/>
              <w:bottom w:val="single" w:color="BFBFBF" w:sz="4"/>
              <w:right w:val="single" w:color="BFBFBF" w:sz="4"/>
            </w:tcBorders>
            <w:shd w:fill="1F3864" w:color="auto" w:val="clear"/>
            <w:tcMar>
              <w:top w:type="dxa" w:w="110"/>
              <w:left w:type="dxa" w:w="130"/>
              <w:bottom w:type="dxa" w:w="110"/>
              <w:right w:type="dxa" w:w="130"/>
            </w:tcMar>
          </w:tcPr>
          <w:p>
            <w:pPr>
              <w:spacing w:after="0" w:before="0"/>
            </w:pPr>
            <w:r>
              <w:rPr>
                <w:rFonts w:ascii="Calibri" w:cs="Calibri" w:eastAsia="Calibri" w:hAnsi="Calibri"/>
                <w:b/>
                <w:bCs/>
                <w:color w:val="FFFFFF"/>
                <w:sz w:val="19"/>
                <w:szCs w:val="19"/>
              </w:rPr>
              <w:t xml:space="preserve">Acceptable accommodation</w:t>
            </w:r>
          </w:p>
        </w:tc>
        <w:tc>
          <w:tcPr>
            <w:tcW w:type="dxa" w:w="1800"/>
            <w:tcBorders>
              <w:top w:val="single" w:color="BFBFBF" w:sz="4"/>
              <w:left w:val="single" w:color="BFBFBF" w:sz="4"/>
              <w:bottom w:val="single" w:color="BFBFBF" w:sz="4"/>
              <w:right w:val="single" w:color="BFBFBF" w:sz="4"/>
            </w:tcBorders>
            <w:shd w:fill="1F3864" w:color="auto" w:val="clear"/>
            <w:tcMar>
              <w:top w:type="dxa" w:w="110"/>
              <w:left w:type="dxa" w:w="130"/>
              <w:bottom w:type="dxa" w:w="110"/>
              <w:right w:type="dxa" w:w="130"/>
            </w:tcMar>
          </w:tcPr>
          <w:p>
            <w:pPr>
              <w:spacing w:after="0" w:before="0"/>
            </w:pPr>
            <w:r>
              <w:rPr>
                <w:rFonts w:ascii="Calibri" w:cs="Calibri" w:eastAsia="Calibri" w:hAnsi="Calibri"/>
                <w:b/>
                <w:bCs/>
                <w:color w:val="FFFFFF"/>
                <w:sz w:val="19"/>
                <w:szCs w:val="19"/>
              </w:rPr>
              <w:t xml:space="preserve">Status</w:t>
            </w:r>
          </w:p>
        </w:tc>
      </w:tr>
      <w:tr>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Oghenesume</w:t>
            </w:r>
          </w:p>
        </w:tc>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Jan 30–31</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1F3864"/>
                <w:sz w:val="19"/>
                <w:szCs w:val="19"/>
              </w:rPr>
              <w:t xml:space="preserve">Hard</w:t>
            </w:r>
          </w:p>
        </w:tc>
        <w:tc>
          <w:tcPr>
            <w:tcW w:type="dxa" w:w="3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Full days off</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375623"/>
                <w:sz w:val="19"/>
                <w:szCs w:val="19"/>
              </w:rPr>
              <w:t xml:space="preserve">Granted</w:t>
            </w:r>
          </w:p>
        </w:tc>
      </w:tr>
      <w:tr>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
            </w:r>
          </w:p>
        </w:tc>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Apr 9–12</w:t>
            </w:r>
          </w:p>
        </w:tc>
        <w:tc>
          <w:tcPr>
            <w:tcW w:type="dxa" w:w="11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Soft</w:t>
            </w:r>
          </w:p>
        </w:tc>
        <w:tc>
          <w:tcPr>
            <w:tcW w:type="dxa" w:w="356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4/10–11 full days; 4/9 &amp; 4/12 short call is sufficient</w:t>
            </w:r>
          </w:p>
        </w:tc>
        <w:tc>
          <w:tcPr>
            <w:tcW w:type="dxa" w:w="18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375623"/>
                <w:sz w:val="19"/>
                <w:szCs w:val="19"/>
              </w:rPr>
              <w:t xml:space="preserve">Granted as noted</w:t>
            </w:r>
          </w:p>
        </w:tc>
      </w:tr>
      <w:tr>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MacNeille</w:t>
            </w:r>
          </w:p>
        </w:tc>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Oct 1–2</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Soft</w:t>
            </w:r>
          </w:p>
        </w:tc>
        <w:tc>
          <w:tcPr>
            <w:tcW w:type="dxa" w:w="3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Not starting the month on night float</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7F6000"/>
                <w:sz w:val="19"/>
                <w:szCs w:val="19"/>
              </w:rPr>
              <w:t xml:space="preserve">Partial — one night remains 10/2</w:t>
            </w:r>
          </w:p>
        </w:tc>
      </w:tr>
      <w:tr>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
            </w:r>
          </w:p>
        </w:tc>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Oct 17–18</w:t>
            </w:r>
          </w:p>
        </w:tc>
        <w:tc>
          <w:tcPr>
            <w:tcW w:type="dxa" w:w="11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Soft</w:t>
            </w:r>
          </w:p>
        </w:tc>
        <w:tc>
          <w:tcPr>
            <w:tcW w:type="dxa" w:w="356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Full days off</w:t>
            </w:r>
          </w:p>
        </w:tc>
        <w:tc>
          <w:tcPr>
            <w:tcW w:type="dxa" w:w="18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375623"/>
                <w:sz w:val="19"/>
                <w:szCs w:val="19"/>
              </w:rPr>
              <w:t xml:space="preserve">Granted</w:t>
            </w:r>
          </w:p>
        </w:tc>
      </w:tr>
      <w:tr>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
            </w:r>
          </w:p>
        </w:tc>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October</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Preference</w:t>
            </w:r>
          </w:p>
        </w:tc>
        <w:tc>
          <w:tcPr>
            <w:tcW w:type="dxa" w:w="3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No more than one night-float week in the month</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375623"/>
                <w:sz w:val="19"/>
                <w:szCs w:val="19"/>
              </w:rPr>
              <w:t xml:space="preserve">Granted — one week, 10/11–16</w:t>
            </w:r>
          </w:p>
        </w:tc>
      </w:tr>
      <w:tr>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
            </w:r>
          </w:p>
        </w:tc>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Dec 20–25</w:t>
            </w:r>
          </w:p>
        </w:tc>
        <w:tc>
          <w:tcPr>
            <w:tcW w:type="dxa" w:w="11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Soft</w:t>
            </w:r>
          </w:p>
        </w:tc>
        <w:tc>
          <w:tcPr>
            <w:tcW w:type="dxa" w:w="356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No night float; day shifts are fine</w:t>
            </w:r>
          </w:p>
        </w:tc>
        <w:tc>
          <w:tcPr>
            <w:tcW w:type="dxa" w:w="18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375623"/>
                <w:sz w:val="19"/>
                <w:szCs w:val="19"/>
              </w:rPr>
              <w:t xml:space="preserve">Granted</w:t>
            </w:r>
          </w:p>
        </w:tc>
      </w:tr>
      <w:tr>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
            </w:r>
          </w:p>
        </w:tc>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Dec 31</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Preference</w:t>
            </w:r>
          </w:p>
        </w:tc>
        <w:tc>
          <w:tcPr>
            <w:tcW w:type="dxa" w:w="3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Short call</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375623"/>
                <w:sz w:val="19"/>
                <w:szCs w:val="19"/>
              </w:rPr>
              <w:t xml:space="preserve">Granted</w:t>
            </w:r>
          </w:p>
        </w:tc>
      </w:tr>
      <w:tr>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Anna Li</w:t>
            </w:r>
          </w:p>
        </w:tc>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Sep 4</w:t>
            </w:r>
          </w:p>
        </w:tc>
        <w:tc>
          <w:tcPr>
            <w:tcW w:type="dxa" w:w="11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Soft</w:t>
            </w:r>
          </w:p>
        </w:tc>
        <w:tc>
          <w:tcPr>
            <w:tcW w:type="dxa" w:w="356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Short call</w:t>
            </w:r>
          </w:p>
        </w:tc>
        <w:tc>
          <w:tcPr>
            <w:tcW w:type="dxa" w:w="18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375623"/>
                <w:sz w:val="19"/>
                <w:szCs w:val="19"/>
              </w:rPr>
              <w:t xml:space="preserve">Granted</w:t>
            </w:r>
          </w:p>
        </w:tc>
      </w:tr>
      <w:tr>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
            </w:r>
          </w:p>
        </w:tc>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Sep 5</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1F3864"/>
                <w:sz w:val="19"/>
                <w:szCs w:val="19"/>
              </w:rPr>
              <w:t xml:space="preserve">Hard</w:t>
            </w:r>
          </w:p>
        </w:tc>
        <w:tc>
          <w:tcPr>
            <w:tcW w:type="dxa" w:w="3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Full day off</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9C0006"/>
                <w:sz w:val="19"/>
                <w:szCs w:val="19"/>
              </w:rPr>
              <w:t xml:space="preserve">Not accommodated — see below</w:t>
            </w:r>
          </w:p>
        </w:tc>
      </w:tr>
      <w:tr>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
            </w:r>
          </w:p>
        </w:tc>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Sep 6</w:t>
            </w:r>
          </w:p>
        </w:tc>
        <w:tc>
          <w:tcPr>
            <w:tcW w:type="dxa" w:w="11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Soft</w:t>
            </w:r>
          </w:p>
        </w:tc>
        <w:tc>
          <w:tcPr>
            <w:tcW w:type="dxa" w:w="356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Full day off</w:t>
            </w:r>
          </w:p>
        </w:tc>
        <w:tc>
          <w:tcPr>
            <w:tcW w:type="dxa" w:w="18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375623"/>
                <w:sz w:val="19"/>
                <w:szCs w:val="19"/>
              </w:rPr>
              <w:t xml:space="preserve">Granted</w:t>
            </w:r>
          </w:p>
        </w:tc>
      </w:tr>
      <w:tr>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Kennedy</w:t>
            </w:r>
          </w:p>
        </w:tc>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Nov 7–8</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1F3864"/>
                <w:sz w:val="19"/>
                <w:szCs w:val="19"/>
              </w:rPr>
              <w:t xml:space="preserve">Hard</w:t>
            </w:r>
          </w:p>
        </w:tc>
        <w:tc>
          <w:tcPr>
            <w:tcW w:type="dxa" w:w="3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Full days off</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375623"/>
                <w:sz w:val="19"/>
                <w:szCs w:val="19"/>
              </w:rPr>
              <w:t xml:space="preserve">Granted</w:t>
            </w:r>
          </w:p>
        </w:tc>
      </w:tr>
      <w:tr>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Bronson</w:t>
            </w:r>
          </w:p>
        </w:tc>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Preference</w:t>
            </w:r>
          </w:p>
        </w:tc>
        <w:tc>
          <w:tcPr>
            <w:tcW w:type="dxa" w:w="356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No outsized share of Friday long calls</w:t>
            </w:r>
          </w:p>
        </w:tc>
        <w:tc>
          <w:tcPr>
            <w:tcW w:type="dxa" w:w="18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375623"/>
                <w:sz w:val="19"/>
                <w:szCs w:val="19"/>
              </w:rPr>
              <w:t xml:space="preserve">Met</w:t>
            </w:r>
          </w:p>
        </w:tc>
      </w:tr>
      <w:tr>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Zaidi</w:t>
            </w:r>
          </w:p>
        </w:tc>
        <w:tc>
          <w:tcPr>
            <w:tcW w:type="dxa" w:w="145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w:t>
            </w:r>
          </w:p>
        </w:tc>
        <w:tc>
          <w:tcPr>
            <w:tcW w:type="dxa" w:w="3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No requests</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before="0"/>
              <w:jc w:val="left"/>
            </w:pPr>
            <w:r>
              <w:rPr>
                <w:rFonts w:ascii="Calibri" w:cs="Calibri" w:eastAsia="Calibri" w:hAnsi="Calibri"/>
                <w:b w:val="false"/>
                <w:bCs w:val="false"/>
                <w:color w:val="595959"/>
                <w:sz w:val="19"/>
                <w:szCs w:val="19"/>
              </w:rPr>
              <w:t xml:space="preserve">—</w:t>
            </w:r>
          </w:p>
        </w:tc>
      </w:tr>
      <w:tr>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bCs/>
                <w:color w:val="000000"/>
                <w:sz w:val="19"/>
                <w:szCs w:val="19"/>
              </w:rPr>
              <w:t xml:space="preserve">Matsuoka</w:t>
            </w:r>
          </w:p>
        </w:tc>
        <w:tc>
          <w:tcPr>
            <w:tcW w:type="dxa" w:w="145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w:t>
            </w:r>
          </w:p>
        </w:tc>
        <w:tc>
          <w:tcPr>
            <w:tcW w:type="dxa" w:w="356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000000"/>
                <w:sz w:val="19"/>
                <w:szCs w:val="19"/>
              </w:rPr>
              <w:t xml:space="preserve">No requests</w:t>
            </w:r>
          </w:p>
        </w:tc>
        <w:tc>
          <w:tcPr>
            <w:tcW w:type="dxa" w:w="1800"/>
            <w:tcBorders>
              <w:top w:val="single" w:color="BFBFBF" w:sz="4"/>
              <w:left w:val="single" w:color="BFBFBF" w:sz="4"/>
              <w:bottom w:val="single" w:color="BFBFBF" w:sz="4"/>
              <w:right w:val="single" w:color="BFBFBF" w:sz="4"/>
            </w:tcBorders>
            <w:shd w:fill="F2F5FA" w:color="auto" w:val="clear"/>
            <w:tcMar>
              <w:top w:type="dxa" w:w="90"/>
              <w:left w:type="dxa" w:w="130"/>
              <w:bottom w:type="dxa" w:w="90"/>
              <w:right w:type="dxa" w:w="130"/>
            </w:tcMar>
          </w:tcPr>
          <w:p>
            <w:pPr>
              <w:spacing w:after="0" w:before="0"/>
              <w:jc w:val="left"/>
            </w:pPr>
            <w:r>
              <w:rPr>
                <w:rFonts w:ascii="Calibri" w:cs="Calibri" w:eastAsia="Calibri" w:hAnsi="Calibri"/>
                <w:b w:val="false"/>
                <w:bCs w:val="false"/>
                <w:color w:val="595959"/>
                <w:sz w:val="19"/>
                <w:szCs w:val="19"/>
              </w:rPr>
              <w:t xml:space="preserve">—</w:t>
            </w:r>
          </w:p>
        </w:tc>
      </w:tr>
    </w:tbl>
    <w:p>
      <w:pPr>
        <w:pStyle w:val="Heading2"/>
        <w:spacing w:after="120" w:before="300"/>
      </w:pPr>
      <w:r>
        <w:rPr>
          <w:rFonts w:ascii="Calibri" w:cs="Calibri" w:eastAsia="Calibri" w:hAnsi="Calibri"/>
          <w:b/>
          <w:bCs/>
          <w:color w:val="1F3864"/>
          <w:sz w:val="24"/>
          <w:szCs w:val="24"/>
        </w:rPr>
        <w:t xml:space="preserve">Outstanding</w:t>
      </w:r>
    </w:p>
    <w:p>
      <w:pPr>
        <w:spacing w:after="120" w:before="0"/>
      </w:pPr>
      <w:r>
        <w:rPr>
          <w:rFonts w:ascii="Calibri" w:cs="Calibri" w:eastAsia="Calibri" w:hAnsi="Calibri"/>
          <w:b/>
          <w:bCs/>
          <w:sz w:val="20"/>
          <w:szCs w:val="20"/>
        </w:rPr>
        <w:t xml:space="preserve">Anna Li, Sep 5. </w:t>
      </w:r>
      <w:r>
        <w:rPr>
          <w:rFonts w:ascii="Calibri" w:cs="Calibri" w:eastAsia="Calibri" w:hAnsi="Calibri"/>
          <w:sz w:val="20"/>
          <w:szCs w:val="20"/>
        </w:rPr>
        <w:t xml:space="preserve">The only request in the year that could not be met. The first week of September is fully constrained and the shift cannot be reassigned within the rotation rules. It requires a senior or float to cover.</w:t>
      </w:r>
    </w:p>
    <w:p>
      <w:pPr>
        <w:pStyle w:val="Heading2"/>
        <w:spacing w:after="120" w:before="300"/>
      </w:pPr>
      <w:r>
        <w:rPr>
          <w:rFonts w:ascii="Calibri" w:cs="Calibri" w:eastAsia="Calibri" w:hAnsi="Calibri"/>
          <w:b/>
          <w:bCs/>
          <w:color w:val="1F3864"/>
          <w:sz w:val="24"/>
          <w:szCs w:val="24"/>
        </w:rPr>
        <w:t xml:space="preserve">Confirmation needed</w:t>
      </w:r>
    </w:p>
    <w:p>
      <w:pPr>
        <w:spacing w:after="120" w:before="0"/>
      </w:pPr>
      <w:r>
        <w:rPr>
          <w:rFonts w:ascii="Calibri" w:cs="Calibri" w:eastAsia="Calibri" w:hAnsi="Calibri"/>
          <w:sz w:val="20"/>
          <w:szCs w:val="20"/>
        </w:rPr>
        <w:t xml:space="preserve">Firmness is on record for three entries only — Oghenesume Jan 30–31, Anna Li Sep 5, and Kennedy Nov 7–8. The remaining tiers are drawn from how each request was worded and should be confirmed with the interns before the schedule is locked.</w:t>
      </w:r>
    </w:p>
    <w:p>
      <w:pPr>
        <w:pStyle w:val="Heading2"/>
        <w:spacing w:after="120" w:before="300"/>
      </w:pPr>
      <w:r>
        <w:rPr>
          <w:rFonts w:ascii="Calibri" w:cs="Calibri" w:eastAsia="Calibri" w:hAnsi="Calibri"/>
          <w:b/>
          <w:bCs/>
          <w:color w:val="1F3864"/>
          <w:sz w:val="24"/>
          <w:szCs w:val="24"/>
        </w:rPr>
        <w:t xml:space="preserve">Note on intake</w:t>
      </w:r>
    </w:p>
    <w:p>
      <w:pPr>
        <w:spacing w:after="120" w:before="0"/>
      </w:pPr>
      <w:r>
        <w:rPr>
          <w:rFonts w:ascii="Calibri" w:cs="Calibri" w:eastAsia="Calibri" w:hAnsi="Calibri"/>
          <w:sz w:val="20"/>
          <w:szCs w:val="20"/>
        </w:rPr>
        <w:t xml:space="preserve">Recommend that future request forms collect dates, tier, and acceptable accommodation, and not reasons. This gives the scheduler everything needed to decide while keeping personal detail out of a shared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2026-08-19T14:20:14.447Z</dcterms:created>
  <dcterms:modified xsi:type="dcterms:W3CDTF">2026-08-19T14:20:14.447Z</dcterms:modified>
</cp:coreProperties>
</file>

<file path=docProps/custom.xml><?xml version="1.0" encoding="utf-8"?>
<Properties xmlns="http://schemas.openxmlformats.org/officeDocument/2006/custom-properties" xmlns:vt="http://schemas.openxmlformats.org/officeDocument/2006/docPropsVTypes"/>
</file>