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D38"/>
          <w:sz w:val="40"/>
          <w:szCs w:val="40"/>
        </w:rPr>
        <w:t xml:space="preserve">Website: questions still open</w:t>
      </w:r>
    </w:p>
    <w:p>
      <w:pPr>
        <w:pBdr>
          <w:bottom w:val="single" w:color="C9C0B2" w:sz="6" w:space="10"/>
        </w:pBdr>
        <w:spacing w:after="300"/>
      </w:pPr>
      <w:r>
        <w:rPr>
          <w:rFonts w:ascii="Calibri" w:cs="Calibri" w:eastAsia="Calibri" w:hAnsi="Calibri"/>
          <w:color w:val="5C5346"/>
          <w:sz w:val="20"/>
          <w:szCs w:val="20"/>
        </w:rPr>
        <w:t xml:space="preserve">Finding Balance Counseling  ·  Reem Glasco, LPC-S  ·  Updated 30 October 2026</w:t>
      </w:r>
    </w:p>
    <w:p>
      <w:pPr>
        <w:spacing w:after="150" w:line="276"/>
      </w:pPr>
      <w:r>
        <w:rPr>
          <w:rFonts w:ascii="Calibri" w:cs="Calibri" w:eastAsia="Calibri" w:hAnsi="Calibri"/>
          <w:color w:val="2A2620"/>
          <w:sz w:val="21"/>
          <w:szCs w:val="21"/>
        </w:rPr>
        <w:t xml:space="preserve">Nineteen questions remain. The original numbering is kept, so a gap means that question is answered and done. Items marked NEW were raised by the work since the last version.</w:t>
      </w:r>
    </w:p>
    <w:p>
      <w:pPr>
        <w:spacing w:after="150" w:line="276"/>
      </w:pPr>
      <w:r>
        <w:rPr>
          <w:rFonts w:ascii="Calibri" w:cs="Calibri" w:eastAsia="Calibri" w:hAnsi="Calibri"/>
          <w:color w:val="2A2620"/>
          <w:sz w:val="21"/>
          <w:szCs w:val="21"/>
        </w:rPr>
        <w:t xml:space="preserve">Closed since the last list: 27, settled by the decision to drop the client portal from the site entirely rather than by finding the URL; 29, now that Reem’s portrait is on the About page and all six associates have photographs; and the question of how many years of clinical experience the site should claim, which stays as written. 42 is not closed but is reframed, because it used to depend on 27.</w:t>
      </w:r>
    </w:p>
    <w:p>
      <w:pPr>
        <w:pStyle w:val="Heading1"/>
        <w:pBdr>
          <w:bottom w:val="single" w:color="7A5C1F" w:sz="10" w:space="8"/>
        </w:pBdr>
        <w:spacing w:after="150" w:before="400"/>
      </w:pPr>
      <w:r>
        <w:rPr>
          <w:rFonts w:ascii="Calibri" w:cs="Calibri" w:eastAsia="Calibri" w:hAnsi="Calibri"/>
          <w:b/>
          <w:bCs/>
          <w:color w:val="1F2D38"/>
          <w:sz w:val="28"/>
          <w:szCs w:val="28"/>
        </w:rPr>
        <w:t xml:space="preserve">Part 1 — For Reem</w:t>
      </w:r>
    </w:p>
    <w:p>
      <w:pPr>
        <w:pStyle w:val="Heading2"/>
        <w:spacing w:after="110" w:before="270"/>
      </w:pPr>
      <w:r>
        <w:rPr>
          <w:rFonts w:ascii="Calibri" w:cs="Calibri" w:eastAsia="Calibri" w:hAnsi="Calibri"/>
          <w:b/>
          <w:bCs/>
          <w:color w:val="7A5C1F"/>
          <w:sz w:val="22"/>
          <w:szCs w:val="22"/>
        </w:rPr>
        <w:t xml:space="preserve">Two that are waiting on her right now</w:t>
      </w:r>
    </w:p>
    <w:p>
      <w:pPr>
        <w:keepNext/>
        <w:spacing w:after="40" w:before="200"/>
        <w:ind w:left="470" w:hanging="470"/>
      </w:pPr>
      <w:r>
        <w:rPr>
          <w:rFonts w:ascii="Calibri" w:cs="Calibri" w:eastAsia="Calibri" w:hAnsi="Calibri"/>
          <w:b/>
          <w:bCs/>
          <w:color w:val="7A5C1F"/>
          <w:sz w:val="22"/>
          <w:szCs w:val="22"/>
        </w:rPr>
        <w:t xml:space="preserve">52.  </w:t>
      </w:r>
      <w:r>
        <w:rPr>
          <w:rFonts w:ascii="Calibri" w:cs="Calibri" w:eastAsia="Calibri" w:hAnsi="Calibri"/>
          <w:b/>
          <w:bCs/>
          <w:color w:val="2A2620"/>
          <w:sz w:val="22"/>
          <w:szCs w:val="22"/>
        </w:rPr>
        <w:t xml:space="preserve">Which email address should client-facing pages use?</w:t>
      </w:r>
    </w:p>
    <w:p>
      <w:pPr>
        <w:spacing w:after="60" w:line="264"/>
        <w:ind w:left="470"/>
      </w:pPr>
      <w:r>
        <w:rPr>
          <w:rFonts w:ascii="Calibri" w:cs="Calibri" w:eastAsia="Calibri" w:hAnsi="Calibri"/>
          <w:i/>
          <w:iCs/>
          <w:color w:val="5C5346"/>
          <w:sz w:val="19"/>
          <w:szCs w:val="19"/>
        </w:rPr>
        <w:t xml:space="preserve">NEW. The “Email Reem” button sits on 26 pages, including every therapy page, and currently points at the supervision address, which is a personal Gmail. A prospective client reading the trauma page and clicking it writes to a personal inbox rather than to info@findingbalancecounselingpllc.com. Two problems in one button: enquiries land in the wrong place, and a personal Gmail is the wrong intake channel for whatever a distressed person might put in a first message. The fix is ready to apply as soon as the address is settled: client-facing pages route to the practice address, therapist-facing pages keep the supervision one.</w:t>
      </w:r>
    </w:p>
    <w:p>
      <w:pPr>
        <w:keepNext/>
        <w:spacing w:after="40" w:before="200"/>
        <w:ind w:left="470" w:hanging="470"/>
      </w:pPr>
      <w:r>
        <w:rPr>
          <w:rFonts w:ascii="Calibri" w:cs="Calibri" w:eastAsia="Calibri" w:hAnsi="Calibri"/>
          <w:b/>
          <w:bCs/>
          <w:color w:val="7A5C1F"/>
          <w:sz w:val="22"/>
          <w:szCs w:val="22"/>
        </w:rPr>
        <w:t xml:space="preserve">53.  </w:t>
      </w:r>
      <w:r>
        <w:rPr>
          <w:rFonts w:ascii="Calibri" w:cs="Calibri" w:eastAsia="Calibri" w:hAnsi="Calibri"/>
          <w:b/>
          <w:bCs/>
          <w:color w:val="2A2620"/>
          <w:sz w:val="22"/>
          <w:szCs w:val="22"/>
        </w:rPr>
        <w:t xml:space="preserve">Is the Hushmail account from the old site still active, and what does it cost?</w:t>
      </w:r>
    </w:p>
    <w:p>
      <w:pPr>
        <w:spacing w:after="60" w:line="264"/>
        <w:ind w:left="470"/>
      </w:pPr>
      <w:r>
        <w:rPr>
          <w:rFonts w:ascii="Calibri" w:cs="Calibri" w:eastAsia="Calibri" w:hAnsi="Calibri"/>
          <w:i/>
          <w:iCs/>
          <w:color w:val="5C5346"/>
          <w:sz w:val="19"/>
          <w:szCs w:val="19"/>
        </w:rPr>
        <w:t xml:space="preserve">NEW. The old site used Hushmail. Three things follow from the answer. Whether the practice is still paying for something unused. Whether a secure intake form should replace the current appointment form, which builds an ordinary email and receives nothing. And whether Hushmail is needed at all, because if the practice ends up on SimplePractice or TherapyNotes, both include HIPAA intake forms and a signed BAA in the base subscription, and paying Hushmail separately would buy the same capability twice.</w:t>
      </w:r>
    </w:p>
    <w:p>
      <w:pPr>
        <w:pBdr>
          <w:left w:val="single" w:color="7A5C1F" w:sz="18" w:space="12"/>
        </w:pBdr>
        <w:spacing w:after="120" w:before="120" w:line="264"/>
        <w:ind w:left="470"/>
      </w:pPr>
      <w:r>
        <w:rPr>
          <w:rFonts w:ascii="Calibri" w:cs="Calibri" w:eastAsia="Calibri" w:hAnsi="Calibri"/>
          <w:color w:val="2A2620"/>
          <w:sz w:val="19"/>
          <w:szCs w:val="19"/>
        </w:rPr>
        <w:t xml:space="preserve">Nothing on the site is a privacy problem today. The appointment form has no server behind it: it composes a message in the visitor’s own mail app and nothing is transmitted or stored. It now warns, twice, against putting any personal or clinical information in it. The question is what intake should look like once a client starts writing real detail.</w:t>
      </w:r>
    </w:p>
    <w:p>
      <w:pPr>
        <w:pStyle w:val="Heading2"/>
        <w:spacing w:after="110" w:before="270"/>
      </w:pPr>
      <w:r>
        <w:rPr>
          <w:rFonts w:ascii="Calibri" w:cs="Calibri" w:eastAsia="Calibri" w:hAnsi="Calibri"/>
          <w:b/>
          <w:bCs/>
          <w:color w:val="7A5C1F"/>
          <w:sz w:val="22"/>
          <w:szCs w:val="22"/>
        </w:rPr>
        <w:t xml:space="preserve">Still outstanding</w:t>
      </w:r>
    </w:p>
    <w:p>
      <w:pPr>
        <w:keepNext/>
        <w:spacing w:after="40" w:before="200"/>
        <w:ind w:left="470" w:hanging="470"/>
      </w:pPr>
      <w:r>
        <w:rPr>
          <w:rFonts w:ascii="Calibri" w:cs="Calibri" w:eastAsia="Calibri" w:hAnsi="Calibri"/>
          <w:b/>
          <w:bCs/>
          <w:color w:val="7A5C1F"/>
          <w:sz w:val="22"/>
          <w:szCs w:val="22"/>
        </w:rPr>
        <w:t xml:space="preserve">5.  </w:t>
      </w:r>
      <w:r>
        <w:rPr>
          <w:rFonts w:ascii="Calibri" w:cs="Calibri" w:eastAsia="Calibri" w:hAnsi="Calibri"/>
          <w:b/>
          <w:bCs/>
          <w:color w:val="2A2620"/>
          <w:sz w:val="22"/>
          <w:szCs w:val="22"/>
        </w:rPr>
        <w:t xml:space="preserve">What is Emmy Laursen’s session fee?</w:t>
      </w:r>
    </w:p>
    <w:p>
      <w:pPr>
        <w:spacing w:after="60" w:line="264"/>
        <w:ind w:left="470"/>
      </w:pPr>
      <w:r>
        <w:rPr>
          <w:rFonts w:ascii="Calibri" w:cs="Calibri" w:eastAsia="Calibri" w:hAnsi="Calibri"/>
          <w:i/>
          <w:iCs/>
          <w:color w:val="5C5346"/>
          <w:sz w:val="19"/>
          <w:szCs w:val="19"/>
        </w:rPr>
        <w:t xml:space="preserve">She is the only associate whose card reads “Ask in the consult” in both columns. The rest of the roster reads $100 to $150. Her own profile page is now live, so the gap is more visible than it was.</w:t>
      </w:r>
    </w:p>
    <w:p>
      <w:pPr>
        <w:keepNext/>
        <w:spacing w:after="40" w:before="200"/>
        <w:ind w:left="470" w:hanging="470"/>
      </w:pPr>
      <w:r>
        <w:rPr>
          <w:rFonts w:ascii="Calibri" w:cs="Calibri" w:eastAsia="Calibri" w:hAnsi="Calibri"/>
          <w:b/>
          <w:bCs/>
          <w:color w:val="7A5C1F"/>
          <w:sz w:val="22"/>
          <w:szCs w:val="22"/>
        </w:rPr>
        <w:t xml:space="preserve">14.  </w:t>
      </w:r>
      <w:r>
        <w:rPr>
          <w:rFonts w:ascii="Calibri" w:cs="Calibri" w:eastAsia="Calibri" w:hAnsi="Calibri"/>
          <w:b/>
          <w:bCs/>
          <w:color w:val="2A2620"/>
          <w:sz w:val="22"/>
          <w:szCs w:val="22"/>
        </w:rPr>
        <w:t xml:space="preserve">What is the next retreat date, format and fee?</w:t>
      </w:r>
    </w:p>
    <w:p>
      <w:pPr>
        <w:spacing w:after="60" w:line="264"/>
        <w:ind w:left="470"/>
      </w:pPr>
      <w:r>
        <w:rPr>
          <w:rFonts w:ascii="Calibri" w:cs="Calibri" w:eastAsia="Calibri" w:hAnsi="Calibri"/>
          <w:i/>
          <w:iCs/>
          <w:color w:val="5C5346"/>
          <w:sz w:val="19"/>
          <w:szCs w:val="19"/>
        </w:rPr>
        <w:t xml:space="preserve">Still blank. The retreats page sends people to the contact form instead of letting them book.</w:t>
      </w:r>
    </w:p>
    <w:p>
      <w:pPr>
        <w:keepNext/>
        <w:spacing w:after="40" w:before="200"/>
        <w:ind w:left="470" w:hanging="470"/>
      </w:pPr>
      <w:r>
        <w:rPr>
          <w:rFonts w:ascii="Calibri" w:cs="Calibri" w:eastAsia="Calibri" w:hAnsi="Calibri"/>
          <w:b/>
          <w:bCs/>
          <w:color w:val="7A5C1F"/>
          <w:sz w:val="22"/>
          <w:szCs w:val="22"/>
        </w:rPr>
        <w:t xml:space="preserve">15.  </w:t>
      </w:r>
      <w:r>
        <w:rPr>
          <w:rFonts w:ascii="Calibri" w:cs="Calibri" w:eastAsia="Calibri" w:hAnsi="Calibri"/>
          <w:b/>
          <w:bCs/>
          <w:color w:val="2A2620"/>
          <w:sz w:val="22"/>
          <w:szCs w:val="22"/>
        </w:rPr>
        <w:t xml:space="preserve">What is the next ethics CEU offering — date and fee?</w:t>
      </w:r>
    </w:p>
    <w:p>
      <w:pPr>
        <w:spacing w:after="60" w:line="264"/>
        <w:ind w:left="470"/>
      </w:pPr>
      <w:r>
        <w:rPr>
          <w:rFonts w:ascii="Calibri" w:cs="Calibri" w:eastAsia="Calibri" w:hAnsi="Calibri"/>
          <w:i/>
          <w:iCs/>
          <w:color w:val="5C5346"/>
          <w:sz w:val="19"/>
          <w:szCs w:val="19"/>
        </w:rPr>
        <w:t xml:space="preserve">Same page, same problem. This is the only thing standing between that page and a working Course listing in its structured data, which needs a date and a price to validate.</w:t>
      </w:r>
    </w:p>
    <w:p>
      <w:pPr>
        <w:keepNext/>
        <w:spacing w:after="40" w:before="200"/>
        <w:ind w:left="470" w:hanging="470"/>
      </w:pPr>
      <w:r>
        <w:rPr>
          <w:rFonts w:ascii="Calibri" w:cs="Calibri" w:eastAsia="Calibri" w:hAnsi="Calibri"/>
          <w:b/>
          <w:bCs/>
          <w:color w:val="7A5C1F"/>
          <w:sz w:val="22"/>
          <w:szCs w:val="22"/>
        </w:rPr>
        <w:t xml:space="preserve">43.  </w:t>
      </w:r>
      <w:r>
        <w:rPr>
          <w:rFonts w:ascii="Calibri" w:cs="Calibri" w:eastAsia="Calibri" w:hAnsi="Calibri"/>
          <w:b/>
          <w:bCs/>
          <w:color w:val="2A2620"/>
          <w:sz w:val="22"/>
          <w:szCs w:val="22"/>
        </w:rPr>
        <w:t xml:space="preserve">Is the online ethics CEU delivered live, or as a recording?</w:t>
      </w:r>
    </w:p>
    <w:p>
      <w:pPr>
        <w:spacing w:after="60" w:line="264"/>
        <w:ind w:left="470"/>
      </w:pPr>
      <w:r>
        <w:rPr>
          <w:rFonts w:ascii="Calibri" w:cs="Calibri" w:eastAsia="Calibri" w:hAnsi="Calibri"/>
          <w:i/>
          <w:iCs/>
          <w:color w:val="5C5346"/>
          <w:sz w:val="19"/>
          <w:szCs w:val="19"/>
        </w:rPr>
        <w:t xml:space="preserve">Under 22 TAC §681.140(h) self-study is capped at one hour per renewal period, and a recording counts as self-study while a live session does not. The site advises readers to ask this of any online CE. It should be able to answer it about Reem’s own.</w:t>
      </w:r>
    </w:p>
    <w:p>
      <w:pPr>
        <w:keepNext/>
        <w:spacing w:after="40" w:before="200"/>
        <w:ind w:left="470" w:hanging="470"/>
      </w:pPr>
      <w:r>
        <w:rPr>
          <w:rFonts w:ascii="Calibri" w:cs="Calibri" w:eastAsia="Calibri" w:hAnsi="Calibri"/>
          <w:b/>
          <w:bCs/>
          <w:color w:val="7A5C1F"/>
          <w:sz w:val="22"/>
          <w:szCs w:val="22"/>
        </w:rPr>
        <w:t xml:space="preserve">44.  </w:t>
      </w:r>
      <w:r>
        <w:rPr>
          <w:rFonts w:ascii="Calibri" w:cs="Calibri" w:eastAsia="Calibri" w:hAnsi="Calibri"/>
          <w:b/>
          <w:bCs/>
          <w:color w:val="2A2620"/>
          <w:sz w:val="22"/>
          <w:szCs w:val="22"/>
        </w:rPr>
        <w:t xml:space="preserve">Does the practice issue superbills for equine clients?</w:t>
      </w:r>
    </w:p>
    <w:p>
      <w:pPr>
        <w:spacing w:after="60" w:line="264"/>
        <w:ind w:left="470"/>
      </w:pPr>
      <w:r>
        <w:rPr>
          <w:rFonts w:ascii="Calibri" w:cs="Calibri" w:eastAsia="Calibri" w:hAnsi="Calibri"/>
          <w:i/>
          <w:iCs/>
          <w:color w:val="5C5346"/>
          <w:sz w:val="19"/>
          <w:szCs w:val="19"/>
        </w:rPr>
        <w:t xml:space="preserve">The blog post states plainly that equine sessions are not billed to insurance. If clients can still claim out of network with a superbill, that changes the answer usefully for a lot of people.</w:t>
      </w:r>
    </w:p>
    <w:p>
      <w:pPr>
        <w:keepNext/>
        <w:spacing w:after="40" w:before="200"/>
        <w:ind w:left="470" w:hanging="470"/>
      </w:pPr>
      <w:r>
        <w:rPr>
          <w:rFonts w:ascii="Calibri" w:cs="Calibri" w:eastAsia="Calibri" w:hAnsi="Calibri"/>
          <w:b/>
          <w:bCs/>
          <w:color w:val="7A5C1F"/>
          <w:sz w:val="22"/>
          <w:szCs w:val="22"/>
        </w:rPr>
        <w:t xml:space="preserve">45.  </w:t>
      </w:r>
      <w:r>
        <w:rPr>
          <w:rFonts w:ascii="Calibri" w:cs="Calibri" w:eastAsia="Calibri" w:hAnsi="Calibri"/>
          <w:b/>
          <w:bCs/>
          <w:color w:val="2A2620"/>
          <w:sz w:val="22"/>
          <w:szCs w:val="22"/>
        </w:rPr>
        <w:t xml:space="preserve">Sign off the rebuilt Good Faith Estimate.</w:t>
      </w:r>
    </w:p>
    <w:p>
      <w:pPr>
        <w:spacing w:after="60" w:line="264"/>
        <w:ind w:left="470"/>
      </w:pPr>
      <w:r>
        <w:rPr>
          <w:rFonts w:ascii="Calibri" w:cs="Calibri" w:eastAsia="Calibri" w:hAnsi="Calibri"/>
          <w:i/>
          <w:iCs/>
          <w:color w:val="5C5346"/>
          <w:sz w:val="19"/>
          <w:szCs w:val="19"/>
        </w:rPr>
        <w:t xml:space="preserve">Rebuilt at $240 per 50-minute session, with trail walk at $125 and equine at $185 to $240, the EIN removed, the date range left blank to fill per client, and the No Surprises Act dispute-rights section added, which the old one lacked entirely. One item needs her judgment rather than mine: the CPT code. The old document said 90837 in its header and 90834 in its body. 90834 covers 38 to 52 minutes, which is what a 50-minute session is, so that is what I used. It is a billing decision.</w:t>
      </w:r>
    </w:p>
    <w:p>
      <w:pPr>
        <w:keepNext/>
        <w:spacing w:after="40" w:before="200"/>
        <w:ind w:left="470" w:hanging="470"/>
      </w:pPr>
      <w:r>
        <w:rPr>
          <w:rFonts w:ascii="Calibri" w:cs="Calibri" w:eastAsia="Calibri" w:hAnsi="Calibri"/>
          <w:b/>
          <w:bCs/>
          <w:color w:val="7A5C1F"/>
          <w:sz w:val="22"/>
          <w:szCs w:val="22"/>
        </w:rPr>
        <w:t xml:space="preserve">46.  </w:t>
      </w:r>
      <w:r>
        <w:rPr>
          <w:rFonts w:ascii="Calibri" w:cs="Calibri" w:eastAsia="Calibri" w:hAnsi="Calibri"/>
          <w:b/>
          <w:bCs/>
          <w:color w:val="2A2620"/>
          <w:sz w:val="22"/>
          <w:szCs w:val="22"/>
        </w:rPr>
        <w:t xml:space="preserve">Read the three blog posts.</w:t>
      </w:r>
    </w:p>
    <w:p>
      <w:pPr>
        <w:spacing w:after="60" w:line="264"/>
        <w:ind w:left="470"/>
      </w:pPr>
      <w:r>
        <w:rPr>
          <w:rFonts w:ascii="Calibri" w:cs="Calibri" w:eastAsia="Calibri" w:hAnsi="Calibri"/>
          <w:i/>
          <w:iCs/>
          <w:color w:val="5C5346"/>
          <w:sz w:val="19"/>
          <w:szCs w:val="19"/>
        </w:rPr>
        <w:t xml:space="preserve">Trauma-informed supervision, equine therapy and insurance, and walk and talk therapy. They are live, they are in her voice and they make clinical claims.</w:t>
      </w:r>
    </w:p>
    <w:p>
      <w:pPr>
        <w:keepNext/>
        <w:spacing w:after="40" w:before="200"/>
        <w:ind w:left="470" w:hanging="470"/>
      </w:pPr>
      <w:r>
        <w:rPr>
          <w:rFonts w:ascii="Calibri" w:cs="Calibri" w:eastAsia="Calibri" w:hAnsi="Calibri"/>
          <w:b/>
          <w:bCs/>
          <w:color w:val="7A5C1F"/>
          <w:sz w:val="22"/>
          <w:szCs w:val="22"/>
        </w:rPr>
        <w:t xml:space="preserve">47.  </w:t>
      </w:r>
      <w:r>
        <w:rPr>
          <w:rFonts w:ascii="Calibri" w:cs="Calibri" w:eastAsia="Calibri" w:hAnsi="Calibri"/>
          <w:b/>
          <w:bCs/>
          <w:color w:val="2A2620"/>
          <w:sz w:val="22"/>
          <w:szCs w:val="22"/>
        </w:rPr>
        <w:t xml:space="preserve">Review the privacy policy page.</w:t>
      </w:r>
    </w:p>
    <w:p>
      <w:pPr>
        <w:spacing w:after="60" w:line="264"/>
        <w:ind w:left="470"/>
      </w:pPr>
      <w:r>
        <w:rPr>
          <w:rFonts w:ascii="Calibri" w:cs="Calibri" w:eastAsia="Calibri" w:hAnsi="Calibri"/>
          <w:i/>
          <w:iCs/>
          <w:color w:val="5C5346"/>
          <w:sz w:val="19"/>
          <w:szCs w:val="19"/>
        </w:rPr>
        <w:t xml:space="preserve">It covers the website only and says so, pointing clinical privacy at the Notice of Privacy Practices. One line changed this week: it no longer says that anything clinical belongs in the client portal, because there is no longer a portal on the site.</w:t>
      </w:r>
    </w:p>
    <w:p>
      <w:pPr>
        <w:keepNext/>
        <w:spacing w:after="40" w:before="200"/>
        <w:ind w:left="470" w:hanging="470"/>
      </w:pPr>
      <w:r>
        <w:rPr>
          <w:rFonts w:ascii="Calibri" w:cs="Calibri" w:eastAsia="Calibri" w:hAnsi="Calibri"/>
          <w:b/>
          <w:bCs/>
          <w:color w:val="7A5C1F"/>
          <w:sz w:val="22"/>
          <w:szCs w:val="22"/>
        </w:rPr>
        <w:t xml:space="preserve">48.  </w:t>
      </w:r>
      <w:r>
        <w:rPr>
          <w:rFonts w:ascii="Calibri" w:cs="Calibri" w:eastAsia="Calibri" w:hAnsi="Calibri"/>
          <w:b/>
          <w:bCs/>
          <w:color w:val="2A2620"/>
          <w:sz w:val="22"/>
          <w:szCs w:val="22"/>
        </w:rPr>
        <w:t xml:space="preserve">Is the fee table as intended?</w:t>
      </w:r>
    </w:p>
    <w:p>
      <w:pPr>
        <w:spacing w:after="60" w:line="264"/>
        <w:ind w:left="470"/>
      </w:pPr>
      <w:r>
        <w:rPr>
          <w:rFonts w:ascii="Calibri" w:cs="Calibri" w:eastAsia="Calibri" w:hAnsi="Calibri"/>
          <w:i/>
          <w:iCs/>
          <w:color w:val="5C5346"/>
          <w:sz w:val="19"/>
          <w:szCs w:val="19"/>
        </w:rPr>
        <w:t xml:space="preserve">Trail walk at $125 for an hour sits beside $240 for a 50-minute online session and $185 to $240 for equine. Trail walk is the cheapest hour on offer by a wide margin, and all three are visible side by side on the therapy page. The FAQ fee list used to hide the equine price behind “additional fees apply”; it now states it, so the figure is public in five places and needs to be right.</w:t>
      </w:r>
    </w:p>
    <w:p>
      <w:pPr>
        <w:keepNext/>
        <w:spacing w:after="40" w:before="200"/>
        <w:ind w:left="470" w:hanging="470"/>
      </w:pPr>
      <w:r>
        <w:rPr>
          <w:rFonts w:ascii="Calibri" w:cs="Calibri" w:eastAsia="Calibri" w:hAnsi="Calibri"/>
          <w:b/>
          <w:bCs/>
          <w:color w:val="7A5C1F"/>
          <w:sz w:val="22"/>
          <w:szCs w:val="22"/>
        </w:rPr>
        <w:t xml:space="preserve">54.  </w:t>
      </w:r>
      <w:r>
        <w:rPr>
          <w:rFonts w:ascii="Calibri" w:cs="Calibri" w:eastAsia="Calibri" w:hAnsi="Calibri"/>
          <w:b/>
          <w:bCs/>
          <w:color w:val="2A2620"/>
          <w:sz w:val="22"/>
          <w:szCs w:val="22"/>
        </w:rPr>
        <w:t xml:space="preserve">Should each associate approve their own page before it is promoted?</w:t>
      </w:r>
    </w:p>
    <w:p>
      <w:pPr>
        <w:spacing w:after="60" w:line="264"/>
        <w:ind w:left="470"/>
      </w:pPr>
      <w:r>
        <w:rPr>
          <w:rFonts w:ascii="Calibri" w:cs="Calibri" w:eastAsia="Calibri" w:hAnsi="Calibri"/>
          <w:i/>
          <w:iCs/>
          <w:color w:val="5C5346"/>
          <w:sz w:val="19"/>
          <w:szCs w:val="19"/>
        </w:rPr>
        <w:t xml:space="preserve">NEW. All six now have a page of their own with a photograph, their bio in their own words, their fee, their focus areas and their direct email and phone. Nobody’s words were rewritten. But these are six other people’s professional reputations on a public site, and none of them has seen the page. Reem’s own entry is the exception: Dave asked for hers to be cleaned up, and it was.</w:t>
      </w:r>
    </w:p>
    <w:p>
      <w:pPr>
        <w:pStyle w:val="Heading1"/>
        <w:pBdr>
          <w:bottom w:val="single" w:color="7A5C1F" w:sz="10" w:space="8"/>
        </w:pBdr>
        <w:spacing w:after="150" w:before="400"/>
      </w:pPr>
      <w:r>
        <w:rPr>
          <w:rFonts w:ascii="Calibri" w:cs="Calibri" w:eastAsia="Calibri" w:hAnsi="Calibri"/>
          <w:b/>
          <w:bCs/>
          <w:color w:val="1F2D38"/>
          <w:sz w:val="28"/>
          <w:szCs w:val="28"/>
        </w:rPr>
        <w:t xml:space="preserve">Part 2 — For Dave: infrastructure and accounts</w:t>
      </w:r>
    </w:p>
    <w:p>
      <w:pPr>
        <w:keepNext/>
        <w:spacing w:after="40" w:before="200"/>
        <w:ind w:left="470" w:hanging="470"/>
      </w:pPr>
      <w:r>
        <w:rPr>
          <w:rFonts w:ascii="Calibri" w:cs="Calibri" w:eastAsia="Calibri" w:hAnsi="Calibri"/>
          <w:b/>
          <w:bCs/>
          <w:color w:val="7A5C1F"/>
          <w:sz w:val="22"/>
          <w:szCs w:val="22"/>
        </w:rPr>
        <w:t xml:space="preserve">23.  </w:t>
      </w:r>
      <w:r>
        <w:rPr>
          <w:rFonts w:ascii="Calibri" w:cs="Calibri" w:eastAsia="Calibri" w:hAnsi="Calibri"/>
          <w:b/>
          <w:bCs/>
          <w:color w:val="2A2620"/>
          <w:sz w:val="22"/>
          <w:szCs w:val="22"/>
        </w:rPr>
        <w:t xml:space="preserve">Update the existing Google Business Profile.</w:t>
      </w:r>
    </w:p>
    <w:p>
      <w:pPr>
        <w:spacing w:after="60" w:line="264"/>
        <w:ind w:left="470"/>
      </w:pPr>
      <w:r>
        <w:rPr>
          <w:rFonts w:ascii="Calibri" w:cs="Calibri" w:eastAsia="Calibri" w:hAnsi="Calibri"/>
          <w:i/>
          <w:iCs/>
          <w:color w:val="5C5346"/>
          <w:sz w:val="19"/>
          <w:szCs w:val="19"/>
        </w:rPr>
        <w:t xml:space="preserve">In progress. Four fields: the website, which likely still points at the old site; the address, where switching to a service area in Austin will probably trigger re-verification; the name, which must read Finding Balance Counseling with nothing appended; and the primary category, Counselor. Still the highest-leverage single item in either audit.</w:t>
      </w:r>
    </w:p>
    <w:p>
      <w:pPr>
        <w:keepNext/>
        <w:spacing w:after="40" w:before="200"/>
        <w:ind w:left="470" w:hanging="470"/>
      </w:pPr>
      <w:r>
        <w:rPr>
          <w:rFonts w:ascii="Calibri" w:cs="Calibri" w:eastAsia="Calibri" w:hAnsi="Calibri"/>
          <w:b/>
          <w:bCs/>
          <w:color w:val="7A5C1F"/>
          <w:sz w:val="22"/>
          <w:szCs w:val="22"/>
        </w:rPr>
        <w:t xml:space="preserve">25.  </w:t>
      </w:r>
      <w:r>
        <w:rPr>
          <w:rFonts w:ascii="Calibri" w:cs="Calibri" w:eastAsia="Calibri" w:hAnsi="Calibri"/>
          <w:b/>
          <w:bCs/>
          <w:color w:val="2A2620"/>
          <w:sz w:val="22"/>
          <w:szCs w:val="22"/>
        </w:rPr>
        <w:t xml:space="preserve">Three directories still unchecked.</w:t>
      </w:r>
    </w:p>
    <w:p>
      <w:pPr>
        <w:spacing w:after="60" w:line="264"/>
        <w:ind w:left="470"/>
      </w:pPr>
      <w:r>
        <w:rPr>
          <w:rFonts w:ascii="Calibri" w:cs="Calibri" w:eastAsia="Calibri" w:hAnsi="Calibri"/>
          <w:i/>
          <w:iCs/>
          <w:color w:val="5C5346"/>
          <w:sz w:val="19"/>
          <w:szCs w:val="19"/>
        </w:rPr>
        <w:t xml:space="preserve">EMDRIA and the NARM Training Institute are confirmed and wired into the schema. Still to check: Somatic Experiencing International, TherapyDen and GoodTherapy. The first matters most, because the structured data claims Somatic Experiencing Practitioner and nothing yet corroborates it.</w:t>
      </w:r>
    </w:p>
    <w:p>
      <w:pPr>
        <w:keepNext/>
        <w:spacing w:after="40" w:before="200"/>
        <w:ind w:left="470" w:hanging="470"/>
      </w:pPr>
      <w:r>
        <w:rPr>
          <w:rFonts w:ascii="Calibri" w:cs="Calibri" w:eastAsia="Calibri" w:hAnsi="Calibri"/>
          <w:b/>
          <w:bCs/>
          <w:color w:val="7A5C1F"/>
          <w:sz w:val="22"/>
          <w:szCs w:val="22"/>
        </w:rPr>
        <w:t xml:space="preserve">49.  </w:t>
      </w:r>
      <w:r>
        <w:rPr>
          <w:rFonts w:ascii="Calibri" w:cs="Calibri" w:eastAsia="Calibri" w:hAnsi="Calibri"/>
          <w:b/>
          <w:bCs/>
          <w:color w:val="2A2620"/>
          <w:sz w:val="22"/>
          <w:szCs w:val="22"/>
        </w:rPr>
        <w:t xml:space="preserve">When does findingbalancecounselingpllc.com redirect?</w:t>
      </w:r>
    </w:p>
    <w:p>
      <w:pPr>
        <w:spacing w:after="60" w:line="264"/>
        <w:ind w:left="470"/>
      </w:pPr>
      <w:r>
        <w:rPr>
          <w:rFonts w:ascii="Calibri" w:cs="Calibri" w:eastAsia="Calibri" w:hAnsi="Calibri"/>
          <w:i/>
          <w:iCs/>
          <w:color w:val="5C5346"/>
          <w:sz w:val="19"/>
          <w:szCs w:val="19"/>
        </w:rPr>
        <w:t xml:space="preserve">The old WordPress site is still live on that domain, serving outdated fees, the old roster and “coming soon” pages, and competing with the new site for the practice’s own name. Nothing is waiting on it except Reem’s approval of the new site. The domain itself stays registered, because the practice email runs on it.</w:t>
      </w:r>
    </w:p>
    <w:p>
      <w:pPr>
        <w:keepNext/>
        <w:spacing w:after="40" w:before="200"/>
        <w:ind w:left="470" w:hanging="470"/>
      </w:pPr>
      <w:r>
        <w:rPr>
          <w:rFonts w:ascii="Calibri" w:cs="Calibri" w:eastAsia="Calibri" w:hAnsi="Calibri"/>
          <w:b/>
          <w:bCs/>
          <w:color w:val="7A5C1F"/>
          <w:sz w:val="22"/>
          <w:szCs w:val="22"/>
        </w:rPr>
        <w:t xml:space="preserve">42.  </w:t>
      </w:r>
      <w:r>
        <w:rPr>
          <w:rFonts w:ascii="Calibri" w:cs="Calibri" w:eastAsia="Calibri" w:hAnsi="Calibri"/>
          <w:b/>
          <w:bCs/>
          <w:color w:val="2A2620"/>
          <w:sz w:val="22"/>
          <w:szCs w:val="22"/>
        </w:rPr>
        <w:t xml:space="preserve">How should the $85 retreat deposit be collected?</w:t>
      </w:r>
    </w:p>
    <w:p>
      <w:pPr>
        <w:spacing w:after="60" w:line="264"/>
        <w:ind w:left="470"/>
      </w:pPr>
      <w:r>
        <w:rPr>
          <w:rFonts w:ascii="Calibri" w:cs="Calibri" w:eastAsia="Calibri" w:hAnsi="Calibri"/>
          <w:i/>
          <w:iCs/>
          <w:color w:val="5C5346"/>
          <w:sz w:val="19"/>
          <w:szCs w:val="19"/>
        </w:rPr>
        <w:t xml:space="preserve">Reframed. It used to depend on the client portal; with the portal dropped, it needs a payment route of its own — a Stripe or Square link is the smallest thing that works, with a written refund policy and a receipt trail. Still a build rather than a copy change, and still blocked on question 14.</w:t>
      </w:r>
    </w:p>
    <w:p>
      <w:pPr>
        <w:pStyle w:val="Heading1"/>
        <w:pBdr>
          <w:bottom w:val="single" w:color="7A5C1F" w:sz="10" w:space="8"/>
        </w:pBdr>
        <w:spacing w:after="150" w:before="400"/>
      </w:pPr>
      <w:r>
        <w:rPr>
          <w:rFonts w:ascii="Calibri" w:cs="Calibri" w:eastAsia="Calibri" w:hAnsi="Calibri"/>
          <w:b/>
          <w:bCs/>
          <w:color w:val="1F2D38"/>
          <w:sz w:val="28"/>
          <w:szCs w:val="28"/>
        </w:rPr>
        <w:t xml:space="preserve">Part 3 — Decisions</w:t>
      </w:r>
    </w:p>
    <w:p>
      <w:pPr>
        <w:keepNext/>
        <w:spacing w:after="40" w:before="200"/>
        <w:ind w:left="470" w:hanging="470"/>
      </w:pPr>
      <w:r>
        <w:rPr>
          <w:rFonts w:ascii="Calibri" w:cs="Calibri" w:eastAsia="Calibri" w:hAnsi="Calibri"/>
          <w:b/>
          <w:bCs/>
          <w:color w:val="7A5C1F"/>
          <w:sz w:val="22"/>
          <w:szCs w:val="22"/>
        </w:rPr>
        <w:t xml:space="preserve">37.  </w:t>
      </w:r>
      <w:r>
        <w:rPr>
          <w:rFonts w:ascii="Calibri" w:cs="Calibri" w:eastAsia="Calibri" w:hAnsi="Calibri"/>
          <w:b/>
          <w:bCs/>
          <w:color w:val="2A2620"/>
          <w:sz w:val="22"/>
          <w:szCs w:val="22"/>
        </w:rPr>
        <w:t xml:space="preserve">Can the built output be removed from version control?</w:t>
      </w:r>
    </w:p>
    <w:p>
      <w:pPr>
        <w:spacing w:after="60" w:line="264"/>
        <w:ind w:left="470"/>
      </w:pPr>
      <w:r>
        <w:rPr>
          <w:rFonts w:ascii="Calibri" w:cs="Calibri" w:eastAsia="Calibri" w:hAnsi="Calibri"/>
          <w:i/>
          <w:iCs/>
          <w:color w:val="5C5346"/>
          <w:sz w:val="19"/>
          <w:szCs w:val="19"/>
        </w:rPr>
        <w:t xml:space="preserve">Cloudflare rebuilds from source on push, so dist/ does not need to be tracked. 84 files are. The cache-busting hash sits in every page’s head, so one CSS change shows up as a 30-file diff. Related and quicker: the device mount reports every file as mode 755, so git currently sees a change on roughly 170 files that have not changed. “git config core.filemode false” in that repo stops it.</w:t>
      </w:r>
    </w:p>
    <w:p>
      <w:pPr>
        <w:keepNext/>
        <w:spacing w:after="40" w:before="200"/>
        <w:ind w:left="470" w:hanging="470"/>
      </w:pPr>
      <w:r>
        <w:rPr>
          <w:rFonts w:ascii="Calibri" w:cs="Calibri" w:eastAsia="Calibri" w:hAnsi="Calibri"/>
          <w:b/>
          <w:bCs/>
          <w:color w:val="7A5C1F"/>
          <w:sz w:val="22"/>
          <w:szCs w:val="22"/>
        </w:rPr>
        <w:t xml:space="preserve">50.  </w:t>
      </w:r>
      <w:r>
        <w:rPr>
          <w:rFonts w:ascii="Calibri" w:cs="Calibri" w:eastAsia="Calibri" w:hAnsi="Calibri"/>
          <w:b/>
          <w:bCs/>
          <w:color w:val="2A2620"/>
          <w:sz w:val="22"/>
          <w:szCs w:val="22"/>
        </w:rPr>
        <w:t xml:space="preserve">What happens to the logo?</w:t>
      </w:r>
    </w:p>
    <w:p>
      <w:pPr>
        <w:spacing w:after="60" w:line="264"/>
        <w:ind w:left="470"/>
      </w:pPr>
      <w:r>
        <w:rPr>
          <w:rFonts w:ascii="Calibri" w:cs="Calibri" w:eastAsia="Calibri" w:hAnsi="Calibri"/>
          <w:i/>
          <w:iCs/>
          <w:color w:val="5C5346"/>
          <w:sz w:val="19"/>
          <w:szCs w:val="19"/>
        </w:rPr>
        <w:t xml:space="preserve">The second version is close: central Texas vegetation, the site’s own navy and brass, type set outside the circle. It is still a raster file whose lettering will not hold at favicon size, and the letterspacing in “COUNSELING, PLLC” is uneven. Options: use the circle alone as a graphic and keep the text wordmark, or have it redrawn as vector. The horse-head mark cut from the emblem is already serving as the tab icon.</w:t>
      </w:r>
    </w:p>
    <w:p>
      <w:pPr>
        <w:keepNext/>
        <w:spacing w:after="40" w:before="200"/>
        <w:ind w:left="470" w:hanging="470"/>
      </w:pPr>
      <w:r>
        <w:rPr>
          <w:rFonts w:ascii="Calibri" w:cs="Calibri" w:eastAsia="Calibri" w:hAnsi="Calibri"/>
          <w:b/>
          <w:bCs/>
          <w:color w:val="7A5C1F"/>
          <w:sz w:val="22"/>
          <w:szCs w:val="22"/>
        </w:rPr>
        <w:t xml:space="preserve">51.  </w:t>
      </w:r>
      <w:r>
        <w:rPr>
          <w:rFonts w:ascii="Calibri" w:cs="Calibri" w:eastAsia="Calibri" w:hAnsi="Calibri"/>
          <w:b/>
          <w:bCs/>
          <w:color w:val="2A2620"/>
          <w:sz w:val="22"/>
          <w:szCs w:val="22"/>
        </w:rPr>
        <w:t xml:space="preserve">Soft graphics on the long pages?</w:t>
      </w:r>
    </w:p>
    <w:p>
      <w:pPr>
        <w:spacing w:after="60" w:line="264"/>
        <w:ind w:left="470"/>
      </w:pPr>
      <w:r>
        <w:rPr>
          <w:rFonts w:ascii="Calibri" w:cs="Calibri" w:eastAsia="Calibri" w:hAnsi="Calibri"/>
          <w:i/>
          <w:iCs/>
          <w:color w:val="5C5346"/>
          <w:sz w:val="19"/>
          <w:szCs w:val="19"/>
        </w:rPr>
        <w:t xml:space="preserve">The Approach section still runs about 5,000 words across five pages without a single visual break. The six associate photographs have improved the therapy and associates pages considerably, which is some evidence for doing the same elsewhere. No effect on rankings.</w:t>
      </w:r>
    </w:p>
    <w:p>
      <w:pPr>
        <w:pStyle w:val="Heading1"/>
        <w:pBdr>
          <w:bottom w:val="single" w:color="7A5C1F" w:sz="10" w:space="8"/>
        </w:pBdr>
        <w:spacing w:after="150" w:before="400"/>
      </w:pPr>
      <w:r>
        <w:rPr>
          <w:rFonts w:ascii="Calibri" w:cs="Calibri" w:eastAsia="Calibri" w:hAnsi="Calibri"/>
          <w:b/>
          <w:bCs/>
          <w:color w:val="1F2D38"/>
          <w:sz w:val="28"/>
          <w:szCs w:val="28"/>
        </w:rPr>
        <w:t xml:space="preserve">What changed since the last list</w:t>
      </w:r>
    </w:p>
    <w:p>
      <w:pPr>
        <w:spacing w:after="150" w:line="276"/>
      </w:pPr>
      <w:r>
        <w:rPr>
          <w:rFonts w:ascii="Calibri" w:cs="Calibri" w:eastAsia="Calibri" w:hAnsi="Calibri"/>
          <w:color w:val="2A2620"/>
          <w:sz w:val="21"/>
          <w:szCs w:val="21"/>
        </w:rPr>
        <w:t xml:space="preserve">For the record:</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The client portal is gone from the site</w:t>
      </w:r>
    </w:p>
    <w:p>
      <w:pPr>
        <w:spacing w:after="40" w:line="264"/>
        <w:ind w:left="470"/>
      </w:pPr>
      <w:r>
        <w:rPr>
          <w:rFonts w:ascii="Calibri" w:cs="Calibri" w:eastAsia="Calibri" w:hAnsi="Calibri"/>
          <w:i/>
          <w:iCs/>
          <w:color w:val="5C5346"/>
          <w:sz w:val="19"/>
          <w:szCs w:val="19"/>
        </w:rPr>
        <w:t xml:space="preserve">Question 27 was answered by deciding not to have one on the website. The /contact/client-portal/ page is deleted and 301s to /contact/, and every button, link and mention is removed from the forms page, the contact page, the appointment page, the privacy policy, each associate profile and the site configuration.</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All six associates have their own page</w:t>
      </w:r>
    </w:p>
    <w:p>
      <w:pPr>
        <w:spacing w:after="40" w:line="264"/>
        <w:ind w:left="470"/>
      </w:pPr>
      <w:r>
        <w:rPr>
          <w:rFonts w:ascii="Calibri" w:cs="Calibri" w:eastAsia="Calibri" w:hAnsi="Calibri"/>
          <w:i/>
          <w:iCs/>
          <w:color w:val="5C5346"/>
          <w:sz w:val="19"/>
          <w:szCs w:val="19"/>
        </w:rPr>
        <w:t xml:space="preserve">Photograph, bio in their own words, fee, sliding scale, focus areas, and direct email and phone. The hub page keeps the summary table. Each page carries its own Person markup naming Reem as supervisor.</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The appointment form no longer invites clinical detail</w:t>
      </w:r>
    </w:p>
    <w:p>
      <w:pPr>
        <w:spacing w:after="40" w:line="264"/>
        <w:ind w:left="470"/>
      </w:pPr>
      <w:r>
        <w:rPr>
          <w:rFonts w:ascii="Calibri" w:cs="Calibri" w:eastAsia="Calibri" w:hAnsi="Calibri"/>
          <w:i/>
          <w:iCs/>
          <w:color w:val="5C5346"/>
          <w:sz w:val="19"/>
          <w:szCs w:val="19"/>
        </w:rPr>
        <w:t xml:space="preserve">The open-ended “what brings you here” box is removed, “what are you looking for” is now free text rather than a menu, and the page warns twice, in plain words, against putting any personal information in an ordinary email.</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The therapy page gives the associates their own section</w:t>
      </w:r>
    </w:p>
    <w:p>
      <w:pPr>
        <w:spacing w:after="40" w:line="264"/>
        <w:ind w:left="470"/>
      </w:pPr>
      <w:r>
        <w:rPr>
          <w:rFonts w:ascii="Calibri" w:cs="Calibri" w:eastAsia="Calibri" w:hAnsi="Calibri"/>
          <w:i/>
          <w:iCs/>
          <w:color w:val="5C5346"/>
          <w:sz w:val="19"/>
          <w:szCs w:val="19"/>
        </w:rPr>
        <w:t xml:space="preserve">The associates card was buried in a grid of presenting problems, which is a different question from who you see. It now has its own band directly after that grid, with all six faces linking to their pages.</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Supervisor since 2009, computed</w:t>
      </w:r>
    </w:p>
    <w:p>
      <w:pPr>
        <w:spacing w:after="40" w:line="264"/>
        <w:ind w:left="470"/>
      </w:pPr>
      <w:r>
        <w:rPr>
          <w:rFonts w:ascii="Calibri" w:cs="Calibri" w:eastAsia="Calibri" w:hAnsi="Calibri"/>
          <w:i/>
          <w:iCs/>
          <w:color w:val="5C5346"/>
          <w:sz w:val="19"/>
          <w:szCs w:val="19"/>
        </w:rPr>
        <w:t xml:space="preserve">The About and home pages read “2009, 17 years”, with the span calculated from the current year rather than typed, so it does not go stale every January.</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The equine fee is stated on the FAQ</w:t>
      </w:r>
    </w:p>
    <w:p>
      <w:pPr>
        <w:spacing w:after="40" w:line="264"/>
        <w:ind w:left="470"/>
      </w:pPr>
      <w:r>
        <w:rPr>
          <w:rFonts w:ascii="Calibri" w:cs="Calibri" w:eastAsia="Calibri" w:hAnsi="Calibri"/>
          <w:i/>
          <w:iCs/>
          <w:color w:val="5C5346"/>
          <w:sz w:val="19"/>
          <w:szCs w:val="19"/>
        </w:rPr>
        <w:t xml:space="preserve">It was the last page still saying “additional fees apply” while four others quoted $185 to $240. The FAQ is where people go for fees.</w:t>
      </w:r>
    </w:p>
    <w:p>
      <w:pPr>
        <w:spacing w:after="30" w:before="140"/>
        <w:ind w:left="470" w:hanging="470"/>
      </w:pPr>
      <w:r>
        <w:rPr>
          <w:rFonts w:ascii="Calibri" w:cs="Calibri" w:eastAsia="Calibri" w:hAnsi="Calibri"/>
          <w:b/>
          <w:bCs/>
          <w:color w:val="7A5C1F"/>
          <w:sz w:val="21"/>
          <w:szCs w:val="21"/>
        </w:rPr>
        <w:t xml:space="preserve">✓  </w:t>
      </w:r>
      <w:r>
        <w:rPr>
          <w:rFonts w:ascii="Calibri" w:cs="Calibri" w:eastAsia="Calibri" w:hAnsi="Calibri"/>
          <w:b/>
          <w:bCs/>
          <w:color w:val="2A2620"/>
          <w:sz w:val="21"/>
          <w:szCs w:val="21"/>
        </w:rPr>
        <w:t xml:space="preserve">Reem’s portrait replaced the watercolour on the About page</w:t>
      </w:r>
    </w:p>
    <w:p>
      <w:pPr>
        <w:spacing w:after="40" w:line="264"/>
        <w:ind w:left="470"/>
      </w:pPr>
      <w:r>
        <w:rPr>
          <w:rFonts w:ascii="Calibri" w:cs="Calibri" w:eastAsia="Calibri" w:hAnsi="Calibri"/>
          <w:i/>
          <w:iCs/>
          <w:color w:val="5C5346"/>
          <w:sz w:val="19"/>
          <w:szCs w:val="19"/>
        </w:rPr>
        <w:t xml:space="preserve">621 by 785, which closes question 29.</w:t>
      </w:r>
    </w:p>
    <w:p>
      <w:r>
        <w:br w:type="page"/>
      </w:r>
    </w:p>
    <w:p>
      <w:pPr>
        <w:pStyle w:val="Heading1"/>
        <w:pBdr>
          <w:bottom w:val="single" w:color="7A5C1F" w:sz="10" w:space="8"/>
        </w:pBdr>
        <w:spacing w:after="150" w:before="0"/>
      </w:pPr>
      <w:r>
        <w:rPr>
          <w:rFonts w:ascii="Calibri" w:cs="Calibri" w:eastAsia="Calibri" w:hAnsi="Calibri"/>
          <w:b/>
          <w:bCs/>
          <w:color w:val="1F2D38"/>
          <w:sz w:val="28"/>
          <w:szCs w:val="28"/>
        </w:rPr>
        <w:t xml:space="preserve">The four that block the most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60"/>
        <w:gridCol w:w="6400"/>
        <w:gridCol w:w="1640"/>
      </w:tblGrid>
      <w:tr>
        <w:trPr>
          <w:tblHeader/>
        </w:trPr>
        <w:tc>
          <w:tcPr>
            <w:tcW w:type="dxa" w:w="760"/>
            <w:shd w:fill="EFE9DE" w:val="clear"/>
            <w:tcMar>
              <w:top w:type="dxa" w:w="90"/>
              <w:left w:type="dxa" w:w="120"/>
              <w:bottom w:type="dxa" w:w="90"/>
              <w:right w:type="dxa" w:w="120"/>
            </w:tcMar>
          </w:tcPr>
          <w:p>
            <w:r>
              <w:rPr>
                <w:rFonts w:ascii="Calibri" w:cs="Calibri" w:eastAsia="Calibri" w:hAnsi="Calibri"/>
                <w:b/>
                <w:bCs/>
                <w:color w:val="1F2D38"/>
                <w:sz w:val="19"/>
                <w:szCs w:val="19"/>
              </w:rPr>
              <w:t xml:space="preserve">No.</w:t>
            </w:r>
          </w:p>
        </w:tc>
        <w:tc>
          <w:tcPr>
            <w:tcW w:type="dxa" w:w="6400"/>
            <w:shd w:fill="EFE9DE" w:val="clear"/>
            <w:tcMar>
              <w:top w:type="dxa" w:w="90"/>
              <w:left w:type="dxa" w:w="120"/>
              <w:bottom w:type="dxa" w:w="90"/>
              <w:right w:type="dxa" w:w="120"/>
            </w:tcMar>
          </w:tcPr>
          <w:p>
            <w:r>
              <w:rPr>
                <w:rFonts w:ascii="Calibri" w:cs="Calibri" w:eastAsia="Calibri" w:hAnsi="Calibri"/>
                <w:b/>
                <w:bCs/>
                <w:color w:val="1F2D38"/>
                <w:sz w:val="19"/>
                <w:szCs w:val="19"/>
              </w:rPr>
              <w:t xml:space="preserve">Question</w:t>
            </w:r>
          </w:p>
        </w:tc>
        <w:tc>
          <w:tcPr>
            <w:tcW w:type="dxa" w:w="1640"/>
            <w:shd w:fill="EFE9DE" w:val="clear"/>
            <w:tcMar>
              <w:top w:type="dxa" w:w="90"/>
              <w:left w:type="dxa" w:w="120"/>
              <w:bottom w:type="dxa" w:w="90"/>
              <w:right w:type="dxa" w:w="120"/>
            </w:tcMar>
          </w:tcPr>
          <w:p>
            <w:r>
              <w:rPr>
                <w:rFonts w:ascii="Calibri" w:cs="Calibri" w:eastAsia="Calibri" w:hAnsi="Calibri"/>
                <w:b/>
                <w:bCs/>
                <w:color w:val="1F2D38"/>
                <w:sz w:val="19"/>
                <w:szCs w:val="19"/>
              </w:rPr>
              <w:t xml:space="preserve">Owner</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52</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Which email address client-facing pages use</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Reem</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54</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Associates approve their own pages</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Reem</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15</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Ethics CEU date and fee</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Reem</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23</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Google Business Profile</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Dave</w:t>
            </w:r>
          </w:p>
        </w:tc>
      </w:tr>
    </w:tbl>
    <w:p>
      <w:pPr>
        <w:spacing w:before="200" w:line="264"/>
      </w:pPr>
      <w:r>
        <w:rPr>
          <w:rFonts w:ascii="Calibri" w:cs="Calibri" w:eastAsia="Calibri" w:hAnsi="Calibri"/>
          <w:i/>
          <w:iCs/>
          <w:color w:val="5C5346"/>
          <w:sz w:val="19"/>
          <w:szCs w:val="19"/>
        </w:rPr>
        <w:t xml:space="preserve">52 is a one-line fix waiting on one answer, and it is wrong on 26 pages until then. 54 is six other people’s reputations published without their sign-off. 15 unblocks a page and its structured data. 23 remains the highest-leverage single item in either audit.</w:t>
      </w:r>
    </w:p>
    <w:sectPr>
      <w:pgSz w:w="12240" w:h="15840" w:orient="portrait"/>
      <w:pgMar w:top="1080" w:right="1180" w:bottom="1080" w:left="11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62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questions still open</dc:title>
  <dc:creator>Finding Balance Counseling</dc:creator>
  <cp:lastModifiedBy>Un-named</cp:lastModifiedBy>
  <cp:revision>1</cp:revision>
  <dcterms:created xsi:type="dcterms:W3CDTF">2026-10-30T15:38:23.599Z</dcterms:created>
  <dcterms:modified xsi:type="dcterms:W3CDTF">2026-10-30T15:38:23.601Z</dcterms:modified>
</cp:coreProperties>
</file>

<file path=docProps/custom.xml><?xml version="1.0" encoding="utf-8"?>
<Properties xmlns="http://schemas.openxmlformats.org/officeDocument/2006/custom-properties" xmlns:vt="http://schemas.openxmlformats.org/officeDocument/2006/docPropsVTypes"/>
</file>